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12380A">
      <w:pPr>
        <w:spacing w:before="480" w:after="480" w:line="288" w:lineRule="auto"/>
        <w:ind w:left="0"/>
        <w:jc w:val="center"/>
        <w:rPr>
          <w:rFonts w:hint="eastAsia" w:ascii="宋体" w:hAnsi="宋体" w:eastAsia="宋体" w:cs="宋体"/>
          <w:sz w:val="32"/>
          <w:szCs w:val="32"/>
        </w:rPr>
      </w:pPr>
      <w:r>
        <w:rPr>
          <w:rFonts w:hint="eastAsia" w:ascii="宋体" w:hAnsi="宋体" w:eastAsia="宋体" w:cs="宋体"/>
          <w:b/>
          <w:sz w:val="32"/>
          <w:szCs w:val="32"/>
        </w:rPr>
        <w:t>L2业务域/职能域/共性技术域地图设计文档</w:t>
      </w:r>
    </w:p>
    <w:p w14:paraId="71DF28F2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z w:val="24"/>
          <w:szCs w:val="24"/>
        </w:rPr>
        <w:t>文档说明</w:t>
      </w:r>
      <w:r>
        <w:rPr>
          <w:rFonts w:hint="eastAsia" w:ascii="宋体" w:hAnsi="宋体" w:eastAsia="宋体" w:cs="宋体"/>
          <w:sz w:val="24"/>
          <w:szCs w:val="24"/>
        </w:rPr>
        <w:t>：本文档是“企业数字健康分层地图”系列的第三部分</w:t>
      </w:r>
    </w:p>
    <w:p w14:paraId="62713D0F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sz w:val="24"/>
          <w:szCs w:val="24"/>
        </w:rPr>
        <w:t>适用对象</w:t>
      </w:r>
      <w:r>
        <w:rPr>
          <w:rFonts w:hint="eastAsia" w:ascii="宋体" w:hAnsi="宋体" w:eastAsia="宋体" w:cs="宋体"/>
          <w:sz w:val="24"/>
          <w:szCs w:val="24"/>
        </w:rPr>
        <w:t>：业务域负责人、职能域负责人（HR、财务、物资等）、技术域负责人（AI平台、数据治理、信息安全、IT基础设施等）、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咨询顾问</w:t>
      </w:r>
    </w:p>
    <w:p w14:paraId="07719CD3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sz w:val="24"/>
          <w:szCs w:val="24"/>
        </w:rPr>
        <w:t>阅读时长</w:t>
      </w:r>
      <w:r>
        <w:rPr>
          <w:rFonts w:hint="eastAsia" w:ascii="宋体" w:hAnsi="宋体" w:eastAsia="宋体" w:cs="宋体"/>
          <w:sz w:val="24"/>
          <w:szCs w:val="24"/>
        </w:rPr>
        <w:t>：约20分钟</w:t>
      </w:r>
    </w:p>
    <w:p w14:paraId="4C6B881C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前置阅读</w:t>
      </w:r>
      <w:r>
        <w:rPr>
          <w:rFonts w:hint="eastAsia" w:ascii="宋体" w:hAnsi="宋体" w:eastAsia="宋体" w:cs="宋体"/>
          <w:sz w:val="24"/>
          <w:szCs w:val="24"/>
        </w:rPr>
        <w:t>：建议先阅读《总纲》和</w:t>
      </w:r>
      <w:bookmarkStart w:id="33" w:name="_GoBack"/>
      <w:r>
        <w:rPr>
          <w:rFonts w:hint="eastAsia" w:ascii="宋体" w:hAnsi="宋体" w:eastAsia="宋体" w:cs="宋体"/>
          <w:sz w:val="24"/>
          <w:szCs w:val="24"/>
        </w:rPr>
        <w:t>《L1公司级价值链地图设计文档》</w:t>
      </w:r>
      <w:bookmarkEnd w:id="33"/>
    </w:p>
    <w:p w14:paraId="285B84A0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文档版本</w:t>
      </w:r>
      <w:r>
        <w:rPr>
          <w:rFonts w:hint="eastAsia" w:ascii="宋体" w:hAnsi="宋体" w:eastAsia="宋体" w:cs="宋体"/>
          <w:sz w:val="24"/>
          <w:szCs w:val="24"/>
        </w:rPr>
        <w:t>：V1.1（新增本体论关系说明）</w:t>
      </w:r>
    </w:p>
    <w:p w14:paraId="3E623EFC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最后更新</w:t>
      </w:r>
      <w:r>
        <w:rPr>
          <w:rFonts w:hint="eastAsia" w:ascii="宋体" w:hAnsi="宋体" w:eastAsia="宋体" w:cs="宋体"/>
          <w:sz w:val="24"/>
          <w:szCs w:val="24"/>
        </w:rPr>
        <w:t>：2026年4月</w:t>
      </w:r>
    </w:p>
    <w:p w14:paraId="1F0F2FD8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配套文档</w:t>
      </w:r>
      <w:r>
        <w:rPr>
          <w:rFonts w:hint="eastAsia" w:ascii="宋体" w:hAnsi="宋体" w:eastAsia="宋体" w:cs="宋体"/>
          <w:sz w:val="24"/>
          <w:szCs w:val="24"/>
        </w:rPr>
        <w:t>：总纲、L1设计文档、L3设计文档</w:t>
      </w:r>
    </w:p>
    <w:p w14:paraId="33B8DE03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0" w:name="heading_0"/>
      <w:r>
        <w:rPr>
          <w:rFonts w:hint="eastAsia" w:ascii="宋体" w:hAnsi="宋体" w:eastAsia="宋体" w:cs="宋体"/>
          <w:b/>
          <w:sz w:val="24"/>
          <w:szCs w:val="24"/>
        </w:rPr>
        <w:t>1. 文档目标</w:t>
      </w:r>
      <w:bookmarkEnd w:id="0"/>
    </w:p>
    <w:p w14:paraId="10B61399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本文档旨在为各领域负责人、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咨询顾问</w:t>
      </w:r>
      <w:r>
        <w:rPr>
          <w:rFonts w:hint="eastAsia" w:ascii="宋体" w:hAnsi="宋体" w:eastAsia="宋体" w:cs="宋体"/>
          <w:sz w:val="24"/>
          <w:szCs w:val="24"/>
        </w:rPr>
        <w:t>提供清晰的L2地图设计指引，帮助相关人员全面掌握L2地图的核心逻辑与实操方法，具体可实现以下目标：</w:t>
      </w:r>
    </w:p>
    <w:p w14:paraId="20E15E2C">
      <w:pPr>
        <w:numPr>
          <w:ilvl w:val="0"/>
          <w:numId w:val="1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理解L2地图的核心定位、三类域（业务域、职能域、共性技术域）的核心定义及核心区别，明确不同域的管理边界与价值定位；</w:t>
      </w:r>
    </w:p>
    <w:p w14:paraId="44090D2E">
      <w:pPr>
        <w:numPr>
          <w:ilvl w:val="0"/>
          <w:numId w:val="2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熟练掌握L2地图8个核心要素的具体含义、填写规范与核心原则，确保各域地图填写标准化、规范化；</w:t>
      </w:r>
    </w:p>
    <w:p w14:paraId="4FA9E505">
      <w:pPr>
        <w:numPr>
          <w:ilvl w:val="0"/>
          <w:numId w:val="3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通过勘探业务域、物资管理职能域、AI平台共性技术域三个完整示例，直观掌握不同类型域的地图撰写逻辑与内容填充要点；</w:t>
      </w:r>
    </w:p>
    <w:p w14:paraId="7A0D42AB">
      <w:pPr>
        <w:numPr>
          <w:ilvl w:val="0"/>
          <w:numId w:val="4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学会从数字意识、数字神经、数字器官、数字血液、数字骨架五个健康维度，科学评估每个域的健康度，实现域级问题量化诊断；</w:t>
      </w:r>
    </w:p>
    <w:p w14:paraId="797EFDD0">
      <w:pPr>
        <w:numPr>
          <w:ilvl w:val="0"/>
          <w:numId w:val="5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掌握L2地图向下拆解至L3细分场景的方法与逻辑，明确各要素的拆解对应关系，保障分层地图的连贯性；</w:t>
      </w:r>
    </w:p>
    <w:p w14:paraId="736A43BB">
      <w:pPr>
        <w:numPr>
          <w:ilvl w:val="0"/>
          <w:numId w:val="6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了解L2地图在领域本体构建中的核心作用，明晰其如何为领域本体搭建结构框架，实现L1顶层分类与L3场景级实体的有效连接。</w:t>
      </w:r>
    </w:p>
    <w:p w14:paraId="64A7B158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1" w:name="heading_1"/>
      <w:r>
        <w:rPr>
          <w:rFonts w:hint="eastAsia" w:ascii="宋体" w:hAnsi="宋体" w:eastAsia="宋体" w:cs="宋体"/>
          <w:b/>
          <w:sz w:val="24"/>
          <w:szCs w:val="24"/>
        </w:rPr>
        <w:t>2. L2地图的定位与价值</w:t>
      </w:r>
      <w:bookmarkEnd w:id="1"/>
    </w:p>
    <w:p w14:paraId="7EEE0525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2" w:name="heading_2"/>
      <w:r>
        <w:rPr>
          <w:rFonts w:hint="eastAsia" w:ascii="宋体" w:hAnsi="宋体" w:eastAsia="宋体" w:cs="宋体"/>
          <w:b/>
          <w:sz w:val="24"/>
          <w:szCs w:val="24"/>
        </w:rPr>
        <w:t>2.1 定位</w:t>
      </w:r>
      <w:bookmarkEnd w:id="2"/>
    </w:p>
    <w:p w14:paraId="1DD3BBE1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L2地图是企业数字健康分层地图体系的</w:t>
      </w:r>
      <w:r>
        <w:rPr>
          <w:rFonts w:hint="eastAsia" w:ascii="宋体" w:hAnsi="宋体" w:eastAsia="宋体" w:cs="宋体"/>
          <w:b/>
          <w:sz w:val="24"/>
          <w:szCs w:val="24"/>
        </w:rPr>
        <w:t>中间核心层</w:t>
      </w:r>
      <w:r>
        <w:rPr>
          <w:rFonts w:hint="eastAsia" w:ascii="宋体" w:hAnsi="宋体" w:eastAsia="宋体" w:cs="宋体"/>
          <w:sz w:val="24"/>
          <w:szCs w:val="24"/>
        </w:rPr>
        <w:t>，起到承上启下的关键作用：向上承接L1公司级价值链战略目标，将顶层战略拆解为各域可落地的具体方向；向下为L3细分场景设计提供精准输入，是顶层规划与场景落地的关键衔接环节。L2地图聚焦单一域（业务域、职能域或共性技术域），深入剖析域内部运作逻辑、核心流程与核心问题，实现域级精细化管理。</w:t>
      </w:r>
    </w:p>
    <w:p w14:paraId="37284A4C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三类域核心定义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3D6C1D8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FE336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域类型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2EF13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定义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995DD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来源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AD6D5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示例</w:t>
            </w:r>
          </w:p>
        </w:tc>
      </w:tr>
      <w:tr w14:paraId="2DA59EF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79341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业务域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86726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直接创造客户价值、支撑企业核心经营的业务环节，是企业价值链的核心组成部分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37357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L1价值链的每个核心环节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1CE09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勘探域、开发域、生产域、运输域、销售域</w:t>
            </w:r>
          </w:p>
        </w:tc>
      </w:tr>
      <w:tr w14:paraId="44B14C5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E32C6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职能域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BD782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不直接创造客户价值，但为所有业务域提供通用管理支撑、保障企业日常运营的管理职能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23E96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企业通用职能管理领域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0F052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HR域、财务域、物资管理域、供应链域</w:t>
            </w:r>
          </w:p>
        </w:tc>
      </w:tr>
      <w:tr w14:paraId="6A63DEA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BAD8B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共性技术域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495FA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为业务域、职能域提供基础技术支撑与技术能力输出，搭建企业数字化技术底座的平台或基础设施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A7B7A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企业数字化技术体系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DA600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AI平台域、数据治理域、信息安全域、IT基础设施域</w:t>
            </w:r>
          </w:p>
        </w:tc>
      </w:tr>
    </w:tbl>
    <w:p w14:paraId="53C41BAB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3" w:name="heading_3"/>
      <w:r>
        <w:rPr>
          <w:rFonts w:hint="eastAsia" w:ascii="宋体" w:hAnsi="宋体" w:eastAsia="宋体" w:cs="宋体"/>
          <w:b/>
          <w:sz w:val="24"/>
          <w:szCs w:val="24"/>
        </w:rPr>
        <w:t>2.2 它能回答的问题</w:t>
      </w:r>
      <w:bookmarkEnd w:id="3"/>
    </w:p>
    <w:p w14:paraId="2246442E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L2地图通过系统化梳理域内核心要素，可精准解答域管理全流程的核心问题，为域负责人决策提供依据，具体问题分类如下：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5504"/>
      </w:tblGrid>
      <w:tr w14:paraId="37C8848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0DE89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问题类型</w:t>
            </w:r>
          </w:p>
        </w:tc>
        <w:tc>
          <w:tcPr>
            <w:tcW w:w="550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65A7B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具体问题</w:t>
            </w:r>
          </w:p>
        </w:tc>
      </w:tr>
      <w:tr w14:paraId="490AF7A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163B3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域目标</w:t>
            </w:r>
          </w:p>
        </w:tc>
        <w:tc>
          <w:tcPr>
            <w:tcW w:w="550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A2F07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这个域的量化目标是什么？是否有效承接公司整体战略？目标与战略的关联性是否清晰？</w:t>
            </w:r>
          </w:p>
        </w:tc>
      </w:tr>
      <w:tr w14:paraId="2F383A5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F57F9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价值流</w:t>
            </w:r>
          </w:p>
        </w:tc>
        <w:tc>
          <w:tcPr>
            <w:tcW w:w="550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B2DB3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域内端到端核心工作流程是怎样的？流程步骤是否清晰、闭环？是否存在流程断点？</w:t>
            </w:r>
          </w:p>
        </w:tc>
      </w:tr>
      <w:tr w14:paraId="5888892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4DE30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场景</w:t>
            </w:r>
          </w:p>
        </w:tc>
        <w:tc>
          <w:tcPr>
            <w:tcW w:w="550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72D0D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域内包含哪些关键子场景？哪些子场景是痛点突出、价值贡献高的核心场景？</w:t>
            </w:r>
          </w:p>
        </w:tc>
      </w:tr>
      <w:tr w14:paraId="7A17733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B9873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能力</w:t>
            </w:r>
          </w:p>
        </w:tc>
        <w:tc>
          <w:tcPr>
            <w:tcW w:w="550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950A2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该域具备哪些差异化核心能力？能力短板与薄弱环节具体在哪？</w:t>
            </w:r>
          </w:p>
        </w:tc>
      </w:tr>
      <w:tr w14:paraId="62FD83F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A4B79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系统</w:t>
            </w:r>
          </w:p>
        </w:tc>
        <w:tc>
          <w:tcPr>
            <w:tcW w:w="550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1B4E7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支撑域内运作的核心IT系统有哪些？系统功能是否满足业务与管理需求？</w:t>
            </w:r>
          </w:p>
        </w:tc>
      </w:tr>
      <w:tr w14:paraId="72856A6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B1C95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组织</w:t>
            </w:r>
          </w:p>
        </w:tc>
        <w:tc>
          <w:tcPr>
            <w:tcW w:w="550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7FB1C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域内工作由谁负责？核心部门与岗位职责是否清晰、无重叠？</w:t>
            </w:r>
          </w:p>
        </w:tc>
      </w:tr>
      <w:tr w14:paraId="0FF6EA3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DEF5A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数据</w:t>
            </w:r>
          </w:p>
        </w:tc>
        <w:tc>
          <w:tcPr>
            <w:tcW w:w="550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DCB80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域内产生和使用哪些关键数据？数据质量、流转效率是否达标？</w:t>
            </w:r>
          </w:p>
        </w:tc>
      </w:tr>
      <w:tr w14:paraId="0B7C6E6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BD97D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脱节点</w:t>
            </w:r>
          </w:p>
        </w:tc>
        <w:tc>
          <w:tcPr>
            <w:tcW w:w="5504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E7C6A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业务、能力、IT、组织四者之间存在哪些脱节问题？脱节带来的影响是什么？</w:t>
            </w:r>
          </w:p>
        </w:tc>
      </w:tr>
    </w:tbl>
    <w:p w14:paraId="460B6FBB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4" w:name="heading_4"/>
      <w:r>
        <w:rPr>
          <w:rFonts w:hint="eastAsia" w:ascii="宋体" w:hAnsi="宋体" w:eastAsia="宋体" w:cs="宋体"/>
          <w:b/>
          <w:sz w:val="24"/>
          <w:szCs w:val="24"/>
        </w:rPr>
        <w:t>2.3 核心价值</w:t>
      </w:r>
      <w:bookmarkEnd w:id="4"/>
    </w:p>
    <w:p w14:paraId="0FF5745C">
      <w:pPr>
        <w:numPr>
          <w:ilvl w:val="0"/>
          <w:numId w:val="7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深入诊断，直击根源</w:t>
      </w:r>
      <w:r>
        <w:rPr>
          <w:rFonts w:hint="eastAsia" w:ascii="宋体" w:hAnsi="宋体" w:eastAsia="宋体" w:cs="宋体"/>
          <w:sz w:val="24"/>
          <w:szCs w:val="24"/>
        </w:rPr>
        <w:t>：突破表面问题分析，深入域内部梳理流程、能力、系统、数据等核心要素，精准定位业务-能力-IT-组织脱节的根本原因，避免问题整改浮于表面；</w:t>
      </w:r>
    </w:p>
    <w:p w14:paraId="3F0CF4E0">
      <w:pPr>
        <w:numPr>
          <w:ilvl w:val="0"/>
          <w:numId w:val="8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量化评估，优先级排序</w:t>
      </w:r>
      <w:r>
        <w:rPr>
          <w:rFonts w:hint="eastAsia" w:ascii="宋体" w:hAnsi="宋体" w:eastAsia="宋体" w:cs="宋体"/>
          <w:sz w:val="24"/>
          <w:szCs w:val="24"/>
        </w:rPr>
        <w:t>：通过五维健康评分体系，实现各域健康度量化评估，横向对比不同域的短板与优势，明确资源投入与改进优先级，让管理决策更具针对性；</w:t>
      </w:r>
    </w:p>
    <w:p w14:paraId="6604AB3F">
      <w:pPr>
        <w:numPr>
          <w:ilvl w:val="0"/>
          <w:numId w:val="9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精准导航，指导L3拆解</w:t>
      </w:r>
      <w:r>
        <w:rPr>
          <w:rFonts w:hint="eastAsia" w:ascii="宋体" w:hAnsi="宋体" w:eastAsia="宋体" w:cs="宋体"/>
          <w:sz w:val="24"/>
          <w:szCs w:val="24"/>
        </w:rPr>
        <w:t>：从域内子场景中筛选痛点突出、价值高的核心场景，为L3细分场景设计提供明确方向，保障分层地图拆解的连贯性与实用性；</w:t>
      </w:r>
    </w:p>
    <w:p w14:paraId="13F59ED5">
      <w:pPr>
        <w:numPr>
          <w:ilvl w:val="0"/>
          <w:numId w:val="10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打破壁垒，跨域协同</w:t>
      </w:r>
      <w:r>
        <w:rPr>
          <w:rFonts w:hint="eastAsia" w:ascii="宋体" w:hAnsi="宋体" w:eastAsia="宋体" w:cs="宋体"/>
          <w:sz w:val="24"/>
          <w:szCs w:val="24"/>
        </w:rPr>
        <w:t>：清晰识别业务域与职能域、共性技术域之间的依赖关系与断点问题，为跨域协同沟通提供统一依据，解决跨部门协作不畅、责任不清的问题；</w:t>
      </w:r>
    </w:p>
    <w:p w14:paraId="5D8A581F">
      <w:pPr>
        <w:numPr>
          <w:ilvl w:val="0"/>
          <w:numId w:val="11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搭建框架，支撑本体构建</w:t>
      </w:r>
      <w:r>
        <w:rPr>
          <w:rFonts w:hint="eastAsia" w:ascii="宋体" w:hAnsi="宋体" w:eastAsia="宋体" w:cs="宋体"/>
          <w:sz w:val="24"/>
          <w:szCs w:val="24"/>
        </w:rPr>
        <w:t>：L2地图定义的域目标、价值流、核心能力、数据实体等内容，为领域本体构建提供中观结构框架，是连接L1顶层分类与L3场景级实体的核心枢纽，保障企业知识体系的互联互通。</w:t>
      </w:r>
    </w:p>
    <w:p w14:paraId="7638E861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5" w:name="heading_5"/>
      <w:r>
        <w:rPr>
          <w:rFonts w:hint="eastAsia" w:ascii="宋体" w:hAnsi="宋体" w:eastAsia="宋体" w:cs="宋体"/>
          <w:b/>
          <w:sz w:val="24"/>
          <w:szCs w:val="24"/>
        </w:rPr>
        <w:t>3. L2地图的8个核心要素</w:t>
      </w:r>
      <w:bookmarkEnd w:id="5"/>
    </w:p>
    <w:p w14:paraId="5F95D46B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每个L2域（业务域、职能域、共性技术域）统一采用</w:t>
      </w:r>
      <w:r>
        <w:rPr>
          <w:rFonts w:hint="eastAsia" w:ascii="宋体" w:hAnsi="宋体" w:eastAsia="宋体" w:cs="宋体"/>
          <w:b/>
          <w:sz w:val="24"/>
          <w:szCs w:val="24"/>
        </w:rPr>
        <w:t>8要素框架</w:t>
      </w:r>
      <w:r>
        <w:rPr>
          <w:rFonts w:hint="eastAsia" w:ascii="宋体" w:hAnsi="宋体" w:eastAsia="宋体" w:cs="宋体"/>
          <w:sz w:val="24"/>
          <w:szCs w:val="24"/>
        </w:rPr>
        <w:t>设计，确保不同类型域的地图具备横向可比性，核心要素及填写要求如下：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70"/>
        <w:gridCol w:w="2070"/>
        <w:gridCol w:w="2070"/>
        <w:gridCol w:w="2070"/>
      </w:tblGrid>
      <w:tr w14:paraId="39825E6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6BC58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序号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BE804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要素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75A93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含义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EAD58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填写要求</w:t>
            </w:r>
          </w:p>
        </w:tc>
      </w:tr>
      <w:tr w14:paraId="0799937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989C1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EFB28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域目标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C0D4A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该域需达成的量化目标，直接承接公司战略与L1价值链目标，是域内工作的核心导向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5BF4D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3-5条，严格遵循SMART原则（具体、可衡量、可实现、相关、有时限），杜绝模糊化表述</w:t>
            </w:r>
          </w:p>
        </w:tc>
      </w:tr>
      <w:tr w14:paraId="3A6002D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D9AED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56B73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价值流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60951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域内端到端核心工作流程，按业务发生先后顺序梳理，体现流程闭环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050D2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5-7个步骤，用箭头连接各环节，每个步骤采用“名词+动词”短语格式，覆盖全流程不遗漏</w:t>
            </w:r>
          </w:p>
        </w:tc>
      </w:tr>
      <w:tr w14:paraId="2D8C29B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0BBAD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C7999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子场景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59C50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从价值流中拆分出的关键业务/工作场景，是后续L3细分场景的直接拆解对象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73DCA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每个价值流步骤对应1-2个子场景，优先筛选痛点突出、价值贡献高的场景，总数控制在5-10个</w:t>
            </w:r>
          </w:p>
        </w:tc>
      </w:tr>
      <w:tr w14:paraId="50A891C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B5CC1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4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C2641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核心能力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27D8E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该域区别于其他域的独有、差异化能力，是支撑价值流高效运转、实现域目标的核心保障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D5D19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4-6项，突出域内核心竞争力，体现“独有性”“优势性”，避免通用能力罗列</w:t>
            </w:r>
          </w:p>
        </w:tc>
      </w:tr>
      <w:tr w14:paraId="670809D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DB589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5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92434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支撑IT系统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40276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支撑域内价值流流转、子场景落地的核心IT系统，需明确系统核心功能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C0455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3-5个核心系统，每个系统需注明核心功能模块，禁止仅罗列系统名称</w:t>
            </w:r>
          </w:p>
        </w:tc>
      </w:tr>
      <w:tr w14:paraId="319B4F4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07B68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6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94735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关键组织/岗位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19901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承担域内核心工作的组织、部门及具体岗位，明确责任主体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EA373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列出核心负责组织，搭配2-3个关键岗位，清晰说明各岗位核心职责</w:t>
            </w:r>
          </w:p>
        </w:tc>
      </w:tr>
      <w:tr w14:paraId="6A941A3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DA109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7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4F3C3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关键数据实体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8DFED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域内产生、流转、存储、使用的核心数据对象，是域内运作的数据基础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AF0E8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5-8个核心实体，注明数据来源与具体用途，明确数据核心价值</w:t>
            </w:r>
          </w:p>
        </w:tc>
      </w:tr>
      <w:tr w14:paraId="56DE484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0232F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8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6A7F9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主要脱节点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AEC2F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域内业务、能力、IT、组织四者之间存在的脱节、断点问题，是域内核心改进点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1620B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基于访谈、数据、实际观察等事实填写，内容具体、可验证，明确问题表现与影响范围</w:t>
            </w:r>
          </w:p>
        </w:tc>
      </w:tr>
    </w:tbl>
    <w:p w14:paraId="30892E5B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6" w:name="heading_6"/>
      <w:r>
        <w:rPr>
          <w:rFonts w:hint="eastAsia" w:ascii="宋体" w:hAnsi="宋体" w:eastAsia="宋体" w:cs="宋体"/>
          <w:b/>
          <w:sz w:val="24"/>
          <w:szCs w:val="24"/>
        </w:rPr>
        <w:t>填写原则</w:t>
      </w:r>
      <w:bookmarkEnd w:id="6"/>
    </w:p>
    <w:p w14:paraId="4B88A527">
      <w:pPr>
        <w:numPr>
          <w:ilvl w:val="0"/>
          <w:numId w:val="12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域目标必须量化，禁止使用“提高效率”“优化管理”等模糊表述，需明确具体数值、时间周期；</w:t>
      </w:r>
    </w:p>
    <w:p w14:paraId="00FB28B9">
      <w:pPr>
        <w:numPr>
          <w:ilvl w:val="0"/>
          <w:numId w:val="13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价值流需覆盖域内端到端全流程，避免仅梳理局部片段，确保流程逻辑连贯、无断点；</w:t>
      </w:r>
    </w:p>
    <w:p w14:paraId="7CE8AC8B">
      <w:pPr>
        <w:numPr>
          <w:ilvl w:val="0"/>
          <w:numId w:val="14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子场景数量严格控制在5-10个，数量过多说明价值流拆分过细，需合并优化；</w:t>
      </w:r>
    </w:p>
    <w:p w14:paraId="74298792">
      <w:pPr>
        <w:numPr>
          <w:ilvl w:val="0"/>
          <w:numId w:val="15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核心能力需突出差异化，聚焦“企业独有、行业领先、支撑核心业务”的能力，不罗列基础通用能力；</w:t>
      </w:r>
    </w:p>
    <w:p w14:paraId="4F98A680">
      <w:pPr>
        <w:numPr>
          <w:ilvl w:val="0"/>
          <w:numId w:val="16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支撑IT系统需配套功能说明，清晰体现系统与业务、场景的支撑关系；</w:t>
      </w:r>
    </w:p>
    <w:p w14:paraId="32DD7E9A">
      <w:pPr>
        <w:numPr>
          <w:ilvl w:val="0"/>
          <w:numId w:val="17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脱节点需基于实际业务情况，杜绝主观臆断，确保问题真实、可落地整改。</w:t>
      </w:r>
    </w:p>
    <w:p w14:paraId="0CA2381E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7" w:name="heading_7"/>
      <w:r>
        <w:rPr>
          <w:rFonts w:hint="eastAsia" w:ascii="宋体" w:hAnsi="宋体" w:eastAsia="宋体" w:cs="宋体"/>
          <w:b/>
          <w:sz w:val="24"/>
          <w:szCs w:val="24"/>
        </w:rPr>
        <w:t>4. 示例一：业务域（海油勘探域）</w:t>
      </w:r>
      <w:bookmarkEnd w:id="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055DD9B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72F0E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要素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DAEB9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内容</w:t>
            </w:r>
          </w:p>
        </w:tc>
      </w:tr>
      <w:tr w14:paraId="10CD087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182CA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域目标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DA1AD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 勘探成功率年度提升5%；2. 勘探周期（从启动到井位部署）缩短10%；3. 勘探成本降低8%；4. 勘探作业安全事件为零</w:t>
            </w:r>
          </w:p>
        </w:tc>
      </w:tr>
      <w:tr w14:paraId="7F421AB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AB769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价值流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B9AEF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地质研究 → 物探采集（地震/测井） → 数据处理 → 解释评价 → 井位部署 → 钻前准备 → 勘探成果归档</w:t>
            </w:r>
          </w:p>
        </w:tc>
      </w:tr>
      <w:tr w14:paraId="6AD2C46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43EF2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子场景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ACCCC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地震勘探、地质建模、测井作业、数据处理、解释评价、井位论证、钻前预测</w:t>
            </w:r>
          </w:p>
        </w:tc>
      </w:tr>
      <w:tr w14:paraId="2FADBF5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420D6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核心能力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9321B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 海上复杂海域地震采集技术能力；2. 三维地质建模与解释能力；3. 勘探大数据处理算法能力；4. 勘探风险评估能力；5. 野外作业管理能力</w:t>
            </w:r>
          </w:p>
        </w:tc>
      </w:tr>
      <w:tr w14:paraId="28AEA0A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843805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支撑IT系统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1503B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 GeoEast（地震数据处理：去噪、偏移、成像）；2. Petrel（地质建模：构造建模、属性建模）；3. 勘探数据管理平台（数据存储、版本管理、共享）；4. 测井处理系统（曲线编辑、解释）；5. 井位部署软件（风险模拟、井位优化）</w:t>
            </w:r>
          </w:p>
        </w:tc>
      </w:tr>
      <w:tr w14:paraId="4C2BF7A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F5458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关键组织/岗位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19EE2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组织：勘探部、海洋地质研究院、物探事业部、勘探作业队；岗位：勘探地质师（地质研究、解释评价）、物探工程师（采集设计、数据处理）、测井工程师（测井作业、解释）、井位论证师（井位规划、风险评估）</w:t>
            </w:r>
          </w:p>
        </w:tc>
      </w:tr>
      <w:tr w14:paraId="07AE06D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99D23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关键数据实体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A4361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地震数据（原始炮集、叠加数据）、测井数据（曲线、地层参数）、地质模型（网格、属性）、井位坐标、勘探风险数据、成果报告</w:t>
            </w:r>
          </w:p>
        </w:tc>
      </w:tr>
      <w:tr w14:paraId="5FC3BB4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069E3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主要脱节点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B5AFA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 数据流转：野外采集数据需人工导入系统，回传延迟3-5天，影响后续流程效率；2. 系统互通：GeoEast与Petrel系统不互通，模型数据需手动导入导出，易出现数据错误；3. 能力短板：部分野外作业人员缺乏复杂海域采集技术，导致采集质量不达标；4. 组织协同：研究院与作业队沟通机制不畅，研究成果无法及时同步至作业现场</w:t>
            </w:r>
          </w:p>
        </w:tc>
      </w:tr>
    </w:tbl>
    <w:p w14:paraId="2985C2A2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8" w:name="heading_8"/>
      <w:r>
        <w:rPr>
          <w:rFonts w:hint="eastAsia" w:ascii="宋体" w:hAnsi="宋体" w:eastAsia="宋体" w:cs="宋体"/>
          <w:b/>
          <w:sz w:val="24"/>
          <w:szCs w:val="24"/>
        </w:rPr>
        <w:t>5. 示例二：职能域（海油物资管理域）</w:t>
      </w:r>
      <w:bookmarkEnd w:id="8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4E20004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44271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要素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F70AA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内容</w:t>
            </w:r>
          </w:p>
        </w:tc>
      </w:tr>
      <w:tr w14:paraId="6A47579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C7839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域目标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C0289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 库存周转率提升15%；2. 采购周期（从需求提报到合同签订）缩短20%；3. 物资供应保障率100%（无因缺料导致停产）；4. 紧急采购率降低30%</w:t>
            </w:r>
          </w:p>
        </w:tc>
      </w:tr>
      <w:tr w14:paraId="00F885B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95FC1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价值流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EE3C9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需求计划 → 采购执行 → 入库验收 → 仓储管理 → 领用出库 → 库存盘点 → 供应商结算</w:t>
            </w:r>
          </w:p>
        </w:tc>
      </w:tr>
      <w:tr w14:paraId="64225C4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6E90F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子场景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34D90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物资需求提报、采购招标、合同签订、到货验收、仓储上架、库存调拨、领用申请、盘点对账、供应商协同</w:t>
            </w:r>
          </w:p>
        </w:tc>
      </w:tr>
      <w:tr w14:paraId="04C743C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F7B53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核心能力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FB39D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 基于生产计划的需求预测能力；2. 采购成本控制与谈判能力；3. 仓储自动化管理能力（WMS、AGV）；4. 库存优化能力（安全库存、JIT）；5. 供应商全生命周期管理能力（评估、协同）</w:t>
            </w:r>
          </w:p>
        </w:tc>
      </w:tr>
      <w:tr w14:paraId="3FCAD24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B5551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支撑IT系统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CBF35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 ERP（采购订单管理、库存台账管理、财务结算）；2. SRM（供应商准入、绩效评估、询报价）；3. WMS（入库、出库、盘点、货位管理）；4. 采购招标平台（公开招标、电子评标）</w:t>
            </w:r>
          </w:p>
        </w:tc>
      </w:tr>
      <w:tr w14:paraId="7D2493D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0ABAD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关键组织/岗位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D524D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组织：采购中心、仓储部、供应链部；岗位：物资计划员（需求计划制定、库存分析）、采购专员（招标、合同签订）、仓库管理员（入库、出库、盘点）、供应商管理专员（供应商评估、协同对接）</w:t>
            </w:r>
          </w:p>
        </w:tc>
      </w:tr>
      <w:tr w14:paraId="09DA4E6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55479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关键数据实体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C173A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物资主数据（编码、名称、规格、价格）、库存台账（库存量、库龄、批次）、采购订单、入库单、出库单、供应商信息（资质、绩效）</w:t>
            </w:r>
          </w:p>
        </w:tc>
      </w:tr>
      <w:tr w14:paraId="353BC19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EC25B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主要脱节点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5FF3A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 需求与生产脱节：物资计划独立于生产计划制定，导致紧急采购频发、物资积压；2. 数据不同步：仓储数据人工录入ERP，数据延迟1天，库存数据准确性不足；3. 供应商协同低效：依赖邮件、传真沟通，订单状态不可视，协同效率低；4. 审批流程繁琐：采购申请采用多级手工审批，流程周期长，影响采购效率</w:t>
            </w:r>
          </w:p>
        </w:tc>
      </w:tr>
    </w:tbl>
    <w:p w14:paraId="5FB89CC4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9" w:name="heading_9"/>
      <w:r>
        <w:rPr>
          <w:rFonts w:hint="eastAsia" w:ascii="宋体" w:hAnsi="宋体" w:eastAsia="宋体" w:cs="宋体"/>
          <w:b/>
          <w:sz w:val="24"/>
          <w:szCs w:val="24"/>
        </w:rPr>
        <w:t>6. 示例三：共性技术域（AI平台域）</w:t>
      </w:r>
      <w:bookmarkEnd w:id="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0B2B99B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79629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要素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CE9AF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内容</w:t>
            </w:r>
          </w:p>
        </w:tc>
      </w:tr>
      <w:tr w14:paraId="30B8A9E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2DB30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域目标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6313A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 模型开发周期（从需求到上线）缩短50%；2. &lt;100ms（P99）；3. 模型复用率≥60%（跨项目复用）；4. AI服务可用性≥99.9%</w:t>
            </w:r>
          </w:p>
        </w:tc>
      </w:tr>
      <w:tr w14:paraId="525D8A7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E3BCB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价值流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5B411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需求分析 → 数据准备 → 模型开发 → 模型训练 → 模型评估 → 模型部署 → 模型监控 → 模型迭代</w:t>
            </w:r>
          </w:p>
        </w:tc>
      </w:tr>
      <w:tr w14:paraId="140B155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6168F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子场景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E2BB3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数据标注、特征工程、模型训练、超参调优、模型评估、模型部署、推理服务、模型监控、模型版本管理</w:t>
            </w:r>
          </w:p>
        </w:tc>
      </w:tr>
      <w:tr w14:paraId="74F5DB9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F819B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核心能力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28622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 千卡级分布式训练调度能力；2. 模型推理加速能力（量化、剪枝）；3. MLOps工程化能力（CI/CD/CT）；4. 数据标注与质量管理能力</w:t>
            </w:r>
          </w:p>
        </w:tc>
      </w:tr>
      <w:tr w14:paraId="79EA5F5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78710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支撑IT系统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473D6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 机器学习平台（Kubeflow/MLflow）：实验管理、模型注册；2. 标注平台（Label Studio）：数据标注、质量控制；3. 推理服务平台（Triton/Seldon）：模型 deployment、API网关；4. 特征存储（Feast）：特征复用、版本管理</w:t>
            </w:r>
          </w:p>
        </w:tc>
      </w:tr>
      <w:tr w14:paraId="168AC46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43CB4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关键组织/岗位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00143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组织：数字化中心、AI算法部；岗位：算法工程师（模型开发、参数调优）、MLOps工程师（模型部署、监控运维）、AI产品经理（需求分析、业务对接）、数据标注员</w:t>
            </w:r>
          </w:p>
        </w:tc>
      </w:tr>
      <w:tr w14:paraId="3EF96F2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1D3C4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关键数据实体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DE6D7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训练数据集（原始、清洗后）、测试数据集、标注数据、特征库、模型文件（pkl/onnx）、模型版本记录、推理日志、监控指标（延迟、吞吐、准确率）</w:t>
            </w:r>
          </w:p>
        </w:tc>
      </w:tr>
      <w:tr w14:paraId="6CF2F3D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8A6EB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主要脱节点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1D9F7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1. 业务脱节：算法团队对业务痛点了解不足，开发模型无法解决实际业务问题；2. 数据脱节：训练数据与线上实际运行数据分布不一致，模型上线后效果快速衰减；3. 部署割裂：开发环境与生产环境不统一，模型部署周期平均长达2周；4. 监控缺失：模型上线后无全流程效果监控，性能下降无法及时发现</w:t>
            </w:r>
          </w:p>
        </w:tc>
      </w:tr>
    </w:tbl>
    <w:p w14:paraId="5E33AC2C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10" w:name="heading_10"/>
      <w:r>
        <w:rPr>
          <w:rFonts w:hint="eastAsia" w:ascii="宋体" w:hAnsi="宋体" w:eastAsia="宋体" w:cs="宋体"/>
          <w:b/>
          <w:sz w:val="24"/>
          <w:szCs w:val="24"/>
        </w:rPr>
        <w:t>7. 五维健康观测（L2级）</w:t>
      </w:r>
      <w:bookmarkEnd w:id="10"/>
    </w:p>
    <w:p w14:paraId="2B80D361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L2级五维健康观测针对单个域独立评估，从数字意识、数字神经、数字器官、数字血液、数字骨架五个维度，量化域内健康水平，为改进提供精准方向。</w:t>
      </w:r>
      <w:r>
        <w:rPr>
          <w:rFonts w:hint="eastAsia" w:ascii="宋体" w:hAnsi="宋体" w:eastAsia="宋体" w:cs="宋体"/>
          <w:b/>
          <w:sz w:val="24"/>
          <w:szCs w:val="24"/>
        </w:rPr>
        <w:t>以海油勘探域为例</w:t>
      </w:r>
      <w:r>
        <w:rPr>
          <w:rFonts w:hint="eastAsia" w:ascii="宋体" w:hAnsi="宋体" w:eastAsia="宋体" w:cs="宋体"/>
          <w:sz w:val="24"/>
          <w:szCs w:val="24"/>
        </w:rPr>
        <w:t>，具体评估标准如下：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380"/>
        <w:gridCol w:w="1380"/>
        <w:gridCol w:w="1380"/>
        <w:gridCol w:w="1380"/>
        <w:gridCol w:w="1380"/>
        <w:gridCol w:w="1380"/>
      </w:tblGrid>
      <w:tr w14:paraId="38A8F76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C4384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健康维度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5B273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在L2层的含义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A2F22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典型观测指标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C7521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健康标准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3C776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示例评分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56D48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问题识别</w:t>
            </w:r>
          </w:p>
        </w:tc>
      </w:tr>
      <w:tr w14:paraId="1DD658A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6D45F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数字意识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FFB00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域目标是否量化、是否承接公司战略、是否分解至具体岗位，体现域内数字化管理的顶层认知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247B8E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• 域目标可追溯至L1战略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• 岗位KPI对齐度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• 域内投资与目标匹配度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5DA96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目标可追溯；KPI对齐率&gt;80%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36E91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3/5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098C8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目标已量化，但未分解至具体岗位，岗位KPI与域目标脱节</w:t>
            </w:r>
          </w:p>
        </w:tc>
      </w:tr>
      <w:tr w14:paraId="14CBB047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3FD8E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数字神经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51F705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域内价值流流转效率、跨岗位协同效果、异常问题处理速度，体现域内流程运转流畅度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92EEE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• 价值流各步骤周期时间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• 跨岗位返工率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• 异常处理响应时间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130FD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总周期&lt;行业标杆；</w:t>
            </w:r>
          </w:p>
          <w:p w14:paraId="3701BAA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返工率&lt;10%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D55C4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2/5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828DB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野外数据采集至数据处理环节延迟3天，流程流转效率低下</w:t>
            </w:r>
          </w:p>
        </w:tc>
      </w:tr>
      <w:tr w14:paraId="3BC4525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50F07A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数字器官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08FE8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支撑IT系统功能覆盖度、用户采纳率、使用体验，体现系统对业务的支撑能力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02B7E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• 系统功能使用率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• 日活/月活比例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• 用户NPS/满意度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BE73FC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使用率&gt;80%；NPS&gt;0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ABCA9B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2/5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839BB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Petrel系统建模模块使用率仅40%，系统功能未被充分利用</w:t>
            </w:r>
          </w:p>
        </w:tc>
      </w:tr>
      <w:tr w14:paraId="67EE73D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127BA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数字血液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3798B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关键数据实体的质量、时效性、共享程度，体现域内数据支撑能力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E67BA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• 数据准确率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• 数据延迟（采集到可用）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• 数据共享API调用量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54D5F9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u w:val="none"/>
                <w:shd w:val="clear" w:fill="FFFFFF"/>
                <w:lang w:val="en-US" w:eastAsia="zh-CN" w:bidi="ar"/>
              </w:rPr>
              <w:t>准确率&gt;99%；延迟&lt;1天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8387F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u w:val="none"/>
                <w:shd w:val="clear" w:fill="FFFFFF"/>
                <w:lang w:val="en-US" w:eastAsia="zh-CN" w:bidi="ar"/>
              </w:rPr>
              <w:t>3/5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6CAA28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u w:val="none"/>
                <w:shd w:val="clear" w:fill="FFFFFF"/>
                <w:lang w:val="en-US" w:eastAsia="zh-CN" w:bidi="ar"/>
              </w:rPr>
              <w:t>合格率98%，漏报率5%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u w:val="none"/>
                <w:shd w:val="clear" w:fill="FFFFFF"/>
                <w:lang w:val="en-US" w:eastAsia="zh-CN" w:bidi="ar"/>
              </w:rPr>
              <w:t>；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u w:val="none"/>
                <w:shd w:val="clear" w:fill="FFFFFF"/>
                <w:lang w:val="en-US" w:eastAsia="zh-CN" w:bidi="ar"/>
              </w:rPr>
              <w:t>数据质量有隐患</w:t>
            </w:r>
          </w:p>
        </w:tc>
      </w:tr>
      <w:tr w14:paraId="5651D4A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10A06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数字骨架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E958BB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域内基础设施资源消耗效率、SLA满足度、技术债务情况，体现底层支撑稳定性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DC1D25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• 资源利用率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• 故障恢复时间（MTTR）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u w:val="none"/>
                <w:lang w:val="en-US" w:eastAsia="zh-CN" w:bidi="ar"/>
              </w:rPr>
              <w:t>• 技术债务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A3AB0A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u w:val="none"/>
                <w:shd w:val="clear" w:fill="FFFFFF"/>
                <w:lang w:val="en-US" w:eastAsia="zh-CN" w:bidi="ar"/>
              </w:rPr>
              <w:t>利用率60-80%；MTTR&lt;1h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FCA44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2/5</w:t>
            </w:r>
          </w:p>
        </w:tc>
        <w:tc>
          <w:tcPr>
            <w:tcW w:w="138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618C0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资源排队等待时长3天，闲时利用率仅15%，资源弹性不足</w:t>
            </w:r>
          </w:p>
        </w:tc>
      </w:tr>
    </w:tbl>
    <w:p w14:paraId="35138BD2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使用建议</w:t>
      </w:r>
      <w:r>
        <w:rPr>
          <w:rFonts w:hint="eastAsia" w:ascii="宋体" w:hAnsi="宋体" w:eastAsia="宋体" w:cs="宋体"/>
          <w:sz w:val="24"/>
          <w:szCs w:val="24"/>
        </w:rPr>
        <w:t>：每个域独立绘制五维雷达图，横向对比不同域的健康度得分，优先针对得分最低的维度与域制定改进计划，精准分配资源。</w:t>
      </w:r>
    </w:p>
    <w:p w14:paraId="6C05CB76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11" w:name="heading_11"/>
      <w:r>
        <w:rPr>
          <w:rFonts w:hint="eastAsia" w:ascii="宋体" w:hAnsi="宋体" w:eastAsia="宋体" w:cs="宋体"/>
          <w:b/>
          <w:sz w:val="24"/>
          <w:szCs w:val="24"/>
        </w:rPr>
        <w:t>8. 可视化设计指南</w:t>
      </w:r>
      <w:bookmarkEnd w:id="11"/>
    </w:p>
    <w:p w14:paraId="6AEBAF2D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12" w:name="heading_12"/>
      <w:r>
        <w:rPr>
          <w:rFonts w:hint="eastAsia" w:ascii="宋体" w:hAnsi="宋体" w:eastAsia="宋体" w:cs="宋体"/>
          <w:b/>
          <w:sz w:val="24"/>
          <w:szCs w:val="24"/>
        </w:rPr>
        <w:t>8.1 推荐格式</w:t>
      </w:r>
      <w:bookmarkEnd w:id="12"/>
    </w:p>
    <w:p w14:paraId="4154B3E3">
      <w:pPr>
        <w:numPr>
          <w:ilvl w:val="0"/>
          <w:numId w:val="18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画布规格：优先采用纵向A4尺寸，若用于汇报可选用PPT纵向页面，适配日常办公与汇报展示场景；</w:t>
      </w:r>
    </w:p>
    <w:p w14:paraId="5C995258">
      <w:pPr>
        <w:numPr>
          <w:ilvl w:val="0"/>
          <w:numId w:val="19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布局结构：采用</w:t>
      </w:r>
      <w:r>
        <w:rPr>
          <w:rFonts w:hint="eastAsia" w:ascii="宋体" w:hAnsi="宋体" w:eastAsia="宋体" w:cs="宋体"/>
          <w:b/>
          <w:sz w:val="24"/>
          <w:szCs w:val="24"/>
        </w:rPr>
        <w:t>左右分栏</w:t>
      </w:r>
      <w:r>
        <w:rPr>
          <w:rFonts w:hint="eastAsia" w:ascii="宋体" w:hAnsi="宋体" w:eastAsia="宋体" w:cs="宋体"/>
          <w:sz w:val="24"/>
          <w:szCs w:val="24"/>
        </w:rPr>
        <w:t>布局，左侧展示核心价值流流程图，右侧分模块展示域目标、核心能力、支撑IT系统等核心要素；页面底部展示子场景清单+五维健康观测表（或雷达图），内容层级清晰；</w:t>
      </w:r>
    </w:p>
    <w:p w14:paraId="3236201F">
      <w:pPr>
        <w:numPr>
          <w:ilvl w:val="0"/>
          <w:numId w:val="20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呈现形式：右侧要素可采用折叠列表或模块化列表形式，便于阅读与信息查找。</w:t>
      </w:r>
    </w:p>
    <w:p w14:paraId="4CAD005E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13" w:name="heading_13"/>
      <w:r>
        <w:rPr>
          <w:rFonts w:hint="eastAsia" w:ascii="宋体" w:hAnsi="宋体" w:eastAsia="宋体" w:cs="宋体"/>
          <w:b/>
          <w:sz w:val="24"/>
          <w:szCs w:val="24"/>
        </w:rPr>
        <w:t>8.2 颜色与标注建议</w:t>
      </w:r>
      <w:bookmarkEnd w:id="13"/>
    </w:p>
    <w:p w14:paraId="4AAFC9A9">
      <w:pPr>
        <w:numPr>
          <w:ilvl w:val="0"/>
          <w:numId w:val="21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域类型区分：业务域采用蓝绿色系（浅蓝、浅绿）作为背景或边框；职能域采用橙黄色系（浅橙、浅黄）；共性技术域采用紫色系（浅紫、淡紫），快速区分不同域类型；</w:t>
      </w:r>
    </w:p>
    <w:p w14:paraId="2DCE1976">
      <w:pPr>
        <w:numPr>
          <w:ilvl w:val="0"/>
          <w:numId w:val="22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价值流标注：价值流箭头采用深色实线，每个步骤下方用小号字体标注输入/输出内容，明确流程逻辑；</w:t>
      </w:r>
    </w:p>
    <w:p w14:paraId="06FA8A63">
      <w:pPr>
        <w:numPr>
          <w:ilvl w:val="0"/>
          <w:numId w:val="23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脱节点标注：脱节点采用红色文字或红色背景标签，突出核心问题，便于快速识别；</w:t>
      </w:r>
    </w:p>
    <w:p w14:paraId="0FEE3FB4">
      <w:pPr>
        <w:numPr>
          <w:ilvl w:val="0"/>
          <w:numId w:val="24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健康评分标注：五维健康评分采用星标（⭐）或红黄绿灯标识，直观展示评分结果。</w:t>
      </w:r>
    </w:p>
    <w:p w14:paraId="195920A9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14" w:name="heading_14"/>
      <w:r>
        <w:rPr>
          <w:rFonts w:hint="eastAsia" w:ascii="宋体" w:hAnsi="宋体" w:eastAsia="宋体" w:cs="宋体"/>
          <w:b/>
          <w:sz w:val="24"/>
          <w:szCs w:val="24"/>
        </w:rPr>
        <w:t>8.3 工具推荐</w:t>
      </w:r>
      <w:bookmarkEnd w:id="14"/>
    </w:p>
    <w:p w14:paraId="3CE5F798">
      <w:pPr>
        <w:numPr>
          <w:ilvl w:val="0"/>
          <w:numId w:val="25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汇报材料制作：PPT / Keynote，操作便捷，适配可视化展示与汇报场景；</w:t>
      </w:r>
    </w:p>
    <w:p w14:paraId="5067769D">
      <w:pPr>
        <w:numPr>
          <w:ilvl w:val="0"/>
          <w:numId w:val="26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标准化流程图绘制：Visio / [Draw.io](Draw.io)，可绘制规范、专业的价值流流程图；</w:t>
      </w:r>
    </w:p>
    <w:p w14:paraId="57F5D27D">
      <w:pPr>
        <w:numPr>
          <w:ilvl w:val="0"/>
          <w:numId w:val="27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团队协作与版本管理：Notion / Confluence，支持多人协同编辑、版本追溯，适合团队共创。</w:t>
      </w:r>
    </w:p>
    <w:p w14:paraId="7839AF3D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15" w:name="heading_15"/>
      <w:r>
        <w:rPr>
          <w:rFonts w:hint="eastAsia" w:ascii="宋体" w:hAnsi="宋体" w:eastAsia="宋体" w:cs="宋体"/>
          <w:b/>
          <w:sz w:val="24"/>
          <w:szCs w:val="24"/>
        </w:rPr>
        <w:t>8.4 示例草图（</w:t>
      </w:r>
      <w:r>
        <w:rPr>
          <w:rFonts w:hint="eastAsia" w:ascii="宋体" w:hAnsi="宋体" w:eastAsia="宋体" w:cs="宋体"/>
          <w:b/>
          <w:sz w:val="24"/>
          <w:szCs w:val="24"/>
          <w:lang w:val="en-US" w:eastAsia="zh-CN"/>
        </w:rPr>
        <w:t>需优化，UI大屏呈现？</w:t>
      </w:r>
      <w:r>
        <w:rPr>
          <w:rFonts w:hint="eastAsia" w:ascii="宋体" w:hAnsi="宋体" w:eastAsia="宋体" w:cs="宋体"/>
          <w:b/>
          <w:sz w:val="24"/>
          <w:szCs w:val="24"/>
        </w:rPr>
        <w:t>）</w:t>
      </w:r>
      <w:bookmarkEnd w:id="1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915BB5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C99A56">
            <w:pPr>
              <w:spacing w:before="120" w:after="120" w:line="288" w:lineRule="auto"/>
              <w:jc w:val="left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drawing>
                <wp:inline distT="0" distB="0" distL="114300" distR="114300">
                  <wp:extent cx="5097780" cy="2251075"/>
                  <wp:effectExtent l="0" t="0" r="7620" b="9525"/>
                  <wp:docPr id="1" name="图片 1" descr="图片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图片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97780" cy="225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5DFB2C2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16" w:name="heading_16"/>
      <w:r>
        <w:rPr>
          <w:rFonts w:hint="eastAsia" w:ascii="宋体" w:hAnsi="宋体" w:eastAsia="宋体" w:cs="宋体"/>
          <w:b/>
          <w:sz w:val="24"/>
          <w:szCs w:val="24"/>
        </w:rPr>
        <w:t>9. L2地图如何向下拆解到L3？</w:t>
      </w:r>
      <w:bookmarkEnd w:id="16"/>
    </w:p>
    <w:p w14:paraId="3823B75C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L2地图是L3细分场景地图的核心输入来源，L2各核心要素将直接拆解、细化为L3场景的核心内容，具体拆解对应关系如下：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000"/>
      </w:tblGrid>
      <w:tr w14:paraId="16F3041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9BAE4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L2中的要素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5E1F61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拆解到L3的输入</w:t>
            </w:r>
          </w:p>
        </w:tc>
      </w:tr>
      <w:tr w14:paraId="3B9587C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3133B1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子场景名称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F5A36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直接作为L3场景名称（如L2“地震勘探”子场景→L3场景名称）</w:t>
            </w:r>
          </w:p>
        </w:tc>
      </w:tr>
      <w:tr w14:paraId="58B6DB18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50748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域目标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7302D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转化为L3场景业务目标的约束条件（如勘探域“成功率↑5%”→L3“采集数据合格率≥98%”）</w:t>
            </w:r>
          </w:p>
        </w:tc>
      </w:tr>
      <w:tr w14:paraId="09944E3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E6245F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价值流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EA5812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作为L3业务流程的核心来源，需细化为5-8个具体操作步骤</w:t>
            </w:r>
          </w:p>
        </w:tc>
      </w:tr>
      <w:tr w14:paraId="4D646E3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1FE000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核心能力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0F825E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拆解为L3更小的能力单元，实现能力的精细化落地</w:t>
            </w:r>
          </w:p>
        </w:tc>
      </w:tr>
      <w:tr w14:paraId="4D5F90E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F07876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支撑IT系统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FFB868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转化为L3支撑系统的具体功能模块清单</w:t>
            </w:r>
          </w:p>
        </w:tc>
      </w:tr>
      <w:tr w14:paraId="4389B9C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20AFBD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关键组织/岗位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6993E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细化为L3岗位的具体操作职责与工作要求</w:t>
            </w:r>
          </w:p>
        </w:tc>
      </w:tr>
      <w:tr w14:paraId="752D718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E26723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关键数据实体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D042F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作为L3数据流中的核心数据对象，明确数据流转规则</w:t>
            </w:r>
          </w:p>
        </w:tc>
      </w:tr>
      <w:tr w14:paraId="4088CF2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B926A4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主要脱节点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E7D689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转化为L3痛点分析的核心输入，需进一步量化问题数据</w:t>
            </w:r>
          </w:p>
        </w:tc>
      </w:tr>
      <w:tr w14:paraId="66B9024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</w:tblPrEx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2281CE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五维健康低分维度</w:t>
            </w:r>
          </w:p>
        </w:tc>
        <w:tc>
          <w:tcPr>
            <w:tcW w:w="300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8A0ED7">
            <w:pPr>
              <w:spacing w:before="120" w:after="120" w:line="288" w:lineRule="auto"/>
              <w:ind w:left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确定L3场景需要重点观测、改进的健康指标</w:t>
            </w:r>
          </w:p>
        </w:tc>
      </w:tr>
    </w:tbl>
    <w:p w14:paraId="37F8E1AD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拆解示例</w:t>
      </w:r>
      <w:r>
        <w:rPr>
          <w:rFonts w:hint="eastAsia" w:ascii="宋体" w:hAnsi="宋体" w:eastAsia="宋体" w:cs="宋体"/>
          <w:sz w:val="24"/>
          <w:szCs w:val="24"/>
        </w:rPr>
        <w:t>：从勘探域到“地震勘探”L3场景</w:t>
      </w:r>
    </w:p>
    <w:p w14:paraId="7334E604">
      <w:pPr>
        <w:numPr>
          <w:ilvl w:val="0"/>
          <w:numId w:val="28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子场景“地震勘探”→直接作为L3场景名称；</w:t>
      </w:r>
    </w:p>
    <w:p w14:paraId="48CB527A">
      <w:pPr>
        <w:numPr>
          <w:ilvl w:val="0"/>
          <w:numId w:val="29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域目标“勘探成功率提升5%”→L3场景目标“地震采集数据合格率≥98%”；</w:t>
      </w:r>
    </w:p>
    <w:p w14:paraId="72A57A6C">
      <w:pPr>
        <w:numPr>
          <w:ilvl w:val="0"/>
          <w:numId w:val="30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价值流“物探采集”步骤→作为L3业务流程的起点，细化现场采集、数据质控、数据回传等步骤；</w:t>
      </w:r>
    </w:p>
    <w:p w14:paraId="6EF95147">
      <w:pPr>
        <w:numPr>
          <w:ilvl w:val="0"/>
          <w:numId w:val="31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核心能力“海上复杂海域地震采集技术”→拆解为L3能力单元“气枪参数调试能力”“现场数据质控能力”；</w:t>
      </w:r>
    </w:p>
    <w:p w14:paraId="7F6905A8">
      <w:pPr>
        <w:numPr>
          <w:ilvl w:val="0"/>
          <w:numId w:val="32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支撑系统“GeoEast”→L3场景使用其“现场数据质控软件”模块；</w:t>
      </w:r>
    </w:p>
    <w:p w14:paraId="7DBB1314">
      <w:pPr>
        <w:numPr>
          <w:ilvl w:val="0"/>
          <w:numId w:val="33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脱节点“野外采集数据回传延迟3-5天”→L3场景痛点“数据回传延迟2-3天，影响实时质控”。</w:t>
      </w:r>
    </w:p>
    <w:p w14:paraId="44FC3C89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17" w:name="heading_17"/>
      <w:r>
        <w:rPr>
          <w:rFonts w:hint="eastAsia" w:ascii="宋体" w:hAnsi="宋体" w:eastAsia="宋体" w:cs="宋体"/>
          <w:b/>
          <w:sz w:val="24"/>
          <w:szCs w:val="24"/>
        </w:rPr>
        <w:t>10. 使用场景与工作流程</w:t>
      </w:r>
      <w:bookmarkEnd w:id="17"/>
    </w:p>
    <w:p w14:paraId="5CC689BD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18" w:name="heading_18"/>
      <w:r>
        <w:rPr>
          <w:rFonts w:hint="eastAsia" w:ascii="宋体" w:hAnsi="宋体" w:eastAsia="宋体" w:cs="宋体"/>
          <w:b/>
          <w:sz w:val="24"/>
          <w:szCs w:val="24"/>
        </w:rPr>
        <w:t>10.1 何时使用L2地图？</w:t>
      </w:r>
      <w:bookmarkEnd w:id="18"/>
    </w:p>
    <w:p w14:paraId="280A04A8">
      <w:pPr>
        <w:numPr>
          <w:ilvl w:val="0"/>
          <w:numId w:val="34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域级复盘会议：每季度或每半年，业务/职能/技术域负责人依托L2地图复盘域内健康度，梳理问题并制定季度/半年度改进计划；</w:t>
      </w:r>
    </w:p>
    <w:p w14:paraId="6E7266DE">
      <w:pPr>
        <w:numPr>
          <w:ilvl w:val="0"/>
          <w:numId w:val="35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跨域协同会议：当业务域与职能域、共性技术域出现协作矛盾、断点问题时，以L2地图为依据，明确各方责任与问题根源，推动跨域协同整改；</w:t>
      </w:r>
    </w:p>
    <w:p w14:paraId="634EE974">
      <w:pPr>
        <w:numPr>
          <w:ilvl w:val="0"/>
          <w:numId w:val="36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技术平台建设规划：共性技术域（AI平台、数据治理域等）的L2地图，直接作为技术平台功能设计、需求开发的核心文档；</w:t>
      </w:r>
    </w:p>
    <w:p w14:paraId="6A2E299D">
      <w:pPr>
        <w:numPr>
          <w:ilvl w:val="0"/>
          <w:numId w:val="37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L3场景筛选：从L2子场景中筛选3-5个痛点最突出、价值最高的场景，启动L3细分场景地图详细设计。</w:t>
      </w:r>
    </w:p>
    <w:p w14:paraId="40028CAD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19" w:name="heading_19"/>
      <w:r>
        <w:rPr>
          <w:rFonts w:hint="eastAsia" w:ascii="宋体" w:hAnsi="宋体" w:eastAsia="宋体" w:cs="宋体"/>
          <w:b/>
          <w:sz w:val="24"/>
          <w:szCs w:val="24"/>
        </w:rPr>
        <w:t>10.2 如何构建L2地图？（5步法）</w:t>
      </w:r>
      <w:bookmarkEnd w:id="19"/>
    </w:p>
    <w:p w14:paraId="330B88EE">
      <w:pPr>
        <w:numPr>
          <w:ilvl w:val="0"/>
          <w:numId w:val="38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准备阶段</w:t>
      </w:r>
      <w:r>
        <w:rPr>
          <w:rFonts w:hint="eastAsia" w:ascii="宋体" w:hAnsi="宋体" w:eastAsia="宋体" w:cs="宋体"/>
          <w:sz w:val="24"/>
          <w:szCs w:val="24"/>
        </w:rPr>
        <w:t>：从L1公司级价值链地图中提取业务域对应的价值链环节，或从企业职能/技术清单中确定需分析的核心域，明确设计范围；</w:t>
      </w:r>
    </w:p>
    <w:p w14:paraId="4DDF76CF">
      <w:pPr>
        <w:numPr>
          <w:ilvl w:val="0"/>
          <w:numId w:val="39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  <w:lang w:val="en-US" w:eastAsia="zh-CN"/>
        </w:rPr>
        <w:t>假设阶段</w:t>
      </w:r>
      <w:r>
        <w:rPr>
          <w:rFonts w:hint="eastAsia" w:ascii="宋体" w:hAnsi="宋体" w:eastAsia="宋体" w:cs="宋体"/>
          <w:sz w:val="24"/>
          <w:szCs w:val="24"/>
        </w:rPr>
        <w:t>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使用AI按照方法论进行假设，有条件的情况下</w:t>
      </w:r>
      <w:r>
        <w:rPr>
          <w:rFonts w:hint="eastAsia" w:ascii="宋体" w:hAnsi="宋体" w:eastAsia="宋体" w:cs="宋体"/>
          <w:sz w:val="24"/>
          <w:szCs w:val="24"/>
        </w:rPr>
        <w:t>与域负责人、核心骨干员工开展1-2小时深度访谈，结合业务实际情况，完成8要素初稿填写；</w:t>
      </w:r>
    </w:p>
    <w:p w14:paraId="2759B15C">
      <w:pPr>
        <w:numPr>
          <w:ilvl w:val="0"/>
          <w:numId w:val="40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绘制梳理</w:t>
      </w:r>
      <w:r>
        <w:rPr>
          <w:rFonts w:hint="eastAsia" w:ascii="宋体" w:hAnsi="宋体" w:eastAsia="宋体" w:cs="宋体"/>
          <w:sz w:val="24"/>
          <w:szCs w:val="24"/>
        </w:rPr>
        <w:t>：由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咨询顾问</w:t>
      </w:r>
      <w:r>
        <w:rPr>
          <w:rFonts w:hint="eastAsia" w:ascii="宋体" w:hAnsi="宋体" w:eastAsia="宋体" w:cs="宋体"/>
          <w:sz w:val="24"/>
          <w:szCs w:val="24"/>
        </w:rPr>
        <w:t>，绘制域内价值流流程图，整理8要素表格，形成L2地图初稿；</w:t>
      </w:r>
    </w:p>
    <w:p w14:paraId="1E27D6A7">
      <w:pPr>
        <w:numPr>
          <w:ilvl w:val="0"/>
          <w:numId w:val="41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评审优化</w:t>
      </w:r>
      <w:r>
        <w:rPr>
          <w:rFonts w:hint="eastAsia" w:ascii="宋体" w:hAnsi="宋体" w:eastAsia="宋体" w:cs="宋体"/>
          <w:sz w:val="24"/>
          <w:szCs w:val="24"/>
        </w:rPr>
        <w:t>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内部评审，由参与业务的各角色共同参与评估与审核，并在业务开展过程中不断优化，。有条件的情况下</w:t>
      </w:r>
      <w:r>
        <w:rPr>
          <w:rFonts w:hint="eastAsia" w:ascii="宋体" w:hAnsi="宋体" w:eastAsia="宋体" w:cs="宋体"/>
          <w:sz w:val="24"/>
          <w:szCs w:val="24"/>
        </w:rPr>
        <w:t>邀请上下游相关方（如勘探域评审邀请开发域、数据治理域）参与，共同确认脱节点、核心要素准确性，收集修改意见；</w:t>
      </w:r>
    </w:p>
    <w:p w14:paraId="1A95AEC0">
      <w:pPr>
        <w:numPr>
          <w:ilvl w:val="0"/>
          <w:numId w:val="42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定稿发布</w:t>
      </w:r>
      <w:r>
        <w:rPr>
          <w:rFonts w:hint="eastAsia" w:ascii="宋体" w:hAnsi="宋体" w:eastAsia="宋体" w:cs="宋体"/>
          <w:sz w:val="24"/>
          <w:szCs w:val="24"/>
        </w:rPr>
        <w:t>：根据评审意见修改完善，完成五维健康度量化评分，形成正式版L2地图并发布，同步至相关团队。</w:t>
      </w:r>
    </w:p>
    <w:p w14:paraId="1F198F86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20" w:name="heading_21"/>
      <w:r>
        <w:rPr>
          <w:rFonts w:hint="eastAsia" w:ascii="宋体" w:hAnsi="宋体" w:eastAsia="宋体" w:cs="宋体"/>
          <w:b/>
          <w:sz w:val="24"/>
          <w:szCs w:val="24"/>
        </w:rPr>
        <w:t>11. 常见问题（FAQ）</w:t>
      </w:r>
      <w:bookmarkEnd w:id="20"/>
    </w:p>
    <w:p w14:paraId="6E8BED72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21" w:name="heading_22"/>
      <w:r>
        <w:rPr>
          <w:rFonts w:hint="eastAsia" w:ascii="宋体" w:hAnsi="宋体" w:eastAsia="宋体" w:cs="宋体"/>
          <w:b/>
          <w:sz w:val="24"/>
          <w:szCs w:val="24"/>
        </w:rPr>
        <w:t>Q1：业务域、职能域、共性技术域的数量有限制吗？</w:t>
      </w:r>
      <w:bookmarkEnd w:id="21"/>
    </w:p>
    <w:p w14:paraId="5437DDE0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：业务域数量一般与L1价值链环节数一致，通常为5-7个；职能域和共性技术域根据企业实际运营情况确定，通常各3-5个。建议首批试点仅选取1个核心业务域、1个核心职能域、1个核心共性技术域，验证流程后再全面推广。</w:t>
      </w:r>
    </w:p>
    <w:p w14:paraId="2E9D535E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22" w:name="heading_23"/>
      <w:r>
        <w:rPr>
          <w:rFonts w:hint="eastAsia" w:ascii="宋体" w:hAnsi="宋体" w:eastAsia="宋体" w:cs="宋体"/>
          <w:b/>
          <w:sz w:val="24"/>
          <w:szCs w:val="24"/>
        </w:rPr>
        <w:t>Q2：一个域的价值流步骤太多怎么办？</w:t>
      </w:r>
      <w:bookmarkEnd w:id="22"/>
    </w:p>
    <w:p w14:paraId="7F998B11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A：价值流步骤建议控制在5-7步，若实际流程步骤超过10步，可将关联性强的步骤合并为高层次流程环节，或拆分出子价值流，避免流程过于细碎，影响整体可读性。</w:t>
      </w:r>
    </w:p>
    <w:p w14:paraId="5E7F871F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23" w:name="heading_24"/>
      <w:r>
        <w:rPr>
          <w:rFonts w:hint="eastAsia" w:ascii="宋体" w:hAnsi="宋体" w:eastAsia="宋体" w:cs="宋体"/>
          <w:b/>
          <w:sz w:val="24"/>
          <w:szCs w:val="24"/>
        </w:rPr>
        <w:t>Q3：核心能力和支撑IT系统有重叠怎么办？</w:t>
      </w:r>
      <w:bookmarkEnd w:id="23"/>
    </w:p>
    <w:p w14:paraId="4A822C80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A：二者核心定义不同，需严格区分：</w:t>
      </w:r>
      <w:r>
        <w:rPr>
          <w:rFonts w:hint="eastAsia" w:ascii="宋体" w:hAnsi="宋体" w:eastAsia="宋体" w:cs="宋体"/>
          <w:b/>
          <w:sz w:val="24"/>
          <w:szCs w:val="24"/>
        </w:rPr>
        <w:t>核心能力</w:t>
      </w:r>
      <w:r>
        <w:rPr>
          <w:rFonts w:hint="eastAsia" w:ascii="宋体" w:hAnsi="宋体" w:eastAsia="宋体" w:cs="宋体"/>
          <w:sz w:val="24"/>
          <w:szCs w:val="24"/>
        </w:rPr>
        <w:t>是“人员技能+管理流程+经验沉淀”的综合体现，是软性实力；</w:t>
      </w:r>
      <w:r>
        <w:rPr>
          <w:rFonts w:hint="eastAsia" w:ascii="宋体" w:hAnsi="宋体" w:eastAsia="宋体" w:cs="宋体"/>
          <w:b/>
          <w:sz w:val="24"/>
          <w:szCs w:val="24"/>
        </w:rPr>
        <w:t>支撑IT系统</w:t>
      </w:r>
      <w:r>
        <w:rPr>
          <w:rFonts w:hint="eastAsia" w:ascii="宋体" w:hAnsi="宋体" w:eastAsia="宋体" w:cs="宋体"/>
          <w:sz w:val="24"/>
          <w:szCs w:val="24"/>
        </w:rPr>
        <w:t>是工具、平台，是硬性支撑。例如“数据处理算法能力”属于核心能力，“GeoEast数据处理系统”属于支撑工具，切勿混淆。</w:t>
      </w:r>
    </w:p>
    <w:p w14:paraId="12C0E8FF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24" w:name="heading_25"/>
      <w:r>
        <w:rPr>
          <w:rFonts w:hint="eastAsia" w:ascii="宋体" w:hAnsi="宋体" w:eastAsia="宋体" w:cs="宋体"/>
          <w:b/>
          <w:sz w:val="24"/>
          <w:szCs w:val="24"/>
        </w:rPr>
        <w:t>Q4：五维健康评分主观性太强怎么办？</w:t>
      </w:r>
      <w:bookmarkEnd w:id="24"/>
    </w:p>
    <w:p w14:paraId="1DF3A507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：每个维度设定2-3个可量化的客观指标（如数据准确率、流程周期、系统使用率），优先采用实际业务数据打分；若暂无法获取客观数据，可采用专家打分法，但需在评分表中注明“待验证”，后续补充数据优化。</w:t>
      </w:r>
    </w:p>
    <w:p w14:paraId="785D647B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25" w:name="heading_26"/>
      <w:r>
        <w:rPr>
          <w:rFonts w:hint="eastAsia" w:ascii="宋体" w:hAnsi="宋体" w:eastAsia="宋体" w:cs="宋体"/>
          <w:b/>
          <w:sz w:val="24"/>
          <w:szCs w:val="24"/>
        </w:rPr>
        <w:t>Q5：L2地图需要画得很漂亮吗？</w:t>
      </w:r>
      <w:bookmarkEnd w:id="25"/>
    </w:p>
    <w:p w14:paraId="3A08CB3E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A：无需过度追求可视化美观，核心保障</w:t>
      </w:r>
      <w:r>
        <w:rPr>
          <w:rFonts w:hint="eastAsia" w:ascii="宋体" w:hAnsi="宋体" w:eastAsia="宋体" w:cs="宋体"/>
          <w:b/>
          <w:sz w:val="24"/>
          <w:szCs w:val="24"/>
        </w:rPr>
        <w:t>内容准确、脱节点清晰、逻辑完整</w:t>
      </w:r>
      <w:r>
        <w:rPr>
          <w:rFonts w:hint="eastAsia" w:ascii="宋体" w:hAnsi="宋体" w:eastAsia="宋体" w:cs="宋体"/>
          <w:sz w:val="24"/>
          <w:szCs w:val="24"/>
        </w:rPr>
        <w:t>。可先完成内容定稿，评审通过后再进行可视化美化，优先保证文档实用性。</w:t>
      </w:r>
    </w:p>
    <w:p w14:paraId="7E3DB426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26" w:name="heading_27"/>
      <w:r>
        <w:rPr>
          <w:rFonts w:hint="eastAsia" w:ascii="宋体" w:hAnsi="宋体" w:eastAsia="宋体" w:cs="宋体"/>
          <w:b/>
          <w:sz w:val="24"/>
          <w:szCs w:val="24"/>
        </w:rPr>
        <w:t>Q6：共性技术域（如AI平台）没有专职“组织/岗位”怎么办？</w:t>
      </w:r>
      <w:bookmarkEnd w:id="26"/>
    </w:p>
    <w:p w14:paraId="64F98B1F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A：可填写负责该域的虚拟团队、项目组；若暂未组建专职团队，需在文档中注明“组织/岗位缺失”，并在五维健康评分中对应扣分，同时将其列为核心改进项。</w:t>
      </w:r>
    </w:p>
    <w:p w14:paraId="21E0F087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27" w:name="heading_28"/>
      <w:r>
        <w:rPr>
          <w:rFonts w:hint="eastAsia" w:ascii="宋体" w:hAnsi="宋体" w:eastAsia="宋体" w:cs="宋体"/>
          <w:b/>
          <w:sz w:val="24"/>
          <w:szCs w:val="24"/>
        </w:rPr>
        <w:t>12. L2地图与本体论落地的关系</w:t>
      </w:r>
      <w:bookmarkEnd w:id="27"/>
    </w:p>
    <w:p w14:paraId="107DE6CD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L2地图是企业统一领域本体构建的</w:t>
      </w:r>
      <w:r>
        <w:rPr>
          <w:rFonts w:hint="eastAsia" w:ascii="宋体" w:hAnsi="宋体" w:eastAsia="宋体" w:cs="宋体"/>
          <w:b/>
          <w:sz w:val="24"/>
          <w:szCs w:val="24"/>
        </w:rPr>
        <w:t>中观核心框架</w:t>
      </w:r>
      <w:r>
        <w:rPr>
          <w:rFonts w:hint="eastAsia" w:ascii="宋体" w:hAnsi="宋体" w:eastAsia="宋体" w:cs="宋体"/>
          <w:sz w:val="24"/>
          <w:szCs w:val="24"/>
        </w:rPr>
        <w:t>，承担承上启下的关键作用，实现L1顶层分类与L3场景级实体的有效连接，具体对应关系如下：</w:t>
      </w:r>
    </w:p>
    <w:p w14:paraId="1A23C31D">
      <w:pPr>
        <w:numPr>
          <w:ilvl w:val="0"/>
          <w:numId w:val="43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域目标：对应本体中领域战略目标类，可直接关联至L1价值链目标，保障战略层级一致；</w:t>
      </w:r>
    </w:p>
    <w:p w14:paraId="7E2422CD">
      <w:pPr>
        <w:numPr>
          <w:ilvl w:val="0"/>
          <w:numId w:val="44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价值流：对应本体中业务流程模型，每个步骤可映射为本体中的活动（Activity）或过程（Process）；</w:t>
      </w:r>
    </w:p>
    <w:p w14:paraId="3FA98B27">
      <w:pPr>
        <w:numPr>
          <w:ilvl w:val="0"/>
          <w:numId w:val="45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核心能力：对应本体中的能力类（Capability），可被L3场景中的细分能力单元继承，形成能力体系；</w:t>
      </w:r>
    </w:p>
    <w:p w14:paraId="30FAE108">
      <w:pPr>
        <w:numPr>
          <w:ilvl w:val="0"/>
          <w:numId w:val="46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支撑IT系统：对应本体中的应用系统类（ApplicationSystem），关联至L3场景中使用的具体功能模块；</w:t>
      </w:r>
    </w:p>
    <w:p w14:paraId="53938E5C">
      <w:pPr>
        <w:numPr>
          <w:ilvl w:val="0"/>
          <w:numId w:val="47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关键数据实体：对应本体中的数据实体类（DataEntity），作为L3数据流中数据对象的父类，统一数据语义；</w:t>
      </w:r>
    </w:p>
    <w:p w14:paraId="04A79653">
      <w:pPr>
        <w:numPr>
          <w:ilvl w:val="0"/>
          <w:numId w:val="48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子场景列表：直接指向L3场景，形成本体中的场景目录，搭建场景与领域的关联关系。</w:t>
      </w:r>
    </w:p>
    <w:p w14:paraId="79DC8C3B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28" w:name="heading_29"/>
      <w:r>
        <w:rPr>
          <w:rFonts w:hint="eastAsia" w:ascii="宋体" w:hAnsi="宋体" w:eastAsia="宋体" w:cs="宋体"/>
          <w:b/>
          <w:sz w:val="24"/>
          <w:szCs w:val="24"/>
        </w:rPr>
        <w:t>与L1、L3的层级协作</w:t>
      </w:r>
      <w:bookmarkEnd w:id="28"/>
    </w:p>
    <w:p w14:paraId="118A8E3B">
      <w:pPr>
        <w:numPr>
          <w:ilvl w:val="0"/>
          <w:numId w:val="49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向下衔接</w:t>
      </w:r>
      <w:r>
        <w:rPr>
          <w:rFonts w:hint="eastAsia" w:ascii="宋体" w:hAnsi="宋体" w:eastAsia="宋体" w:cs="宋体"/>
          <w:sz w:val="24"/>
          <w:szCs w:val="24"/>
        </w:rPr>
        <w:t>：L2领域本体为L3场景本体提供上下文约束，例如勘探域的数据实体定义，直接约束地震勘探场景中具体数据字段的语义与标准；</w:t>
      </w:r>
    </w:p>
    <w:p w14:paraId="65D65DDF">
      <w:pPr>
        <w:numPr>
          <w:ilvl w:val="0"/>
          <w:numId w:val="50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向上继承</w:t>
      </w:r>
      <w:r>
        <w:rPr>
          <w:rFonts w:hint="eastAsia" w:ascii="宋体" w:hAnsi="宋体" w:eastAsia="宋体" w:cs="宋体"/>
          <w:sz w:val="24"/>
          <w:szCs w:val="24"/>
        </w:rPr>
        <w:t>：L2领域本体继承L1顶层本体（如“价值链环节”“能力链”），保障企业全局本体的一致性；</w:t>
      </w:r>
    </w:p>
    <w:p w14:paraId="28FEB942">
      <w:pPr>
        <w:numPr>
          <w:ilvl w:val="0"/>
          <w:numId w:val="51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横向对齐</w:t>
      </w:r>
      <w:r>
        <w:rPr>
          <w:rFonts w:hint="eastAsia" w:ascii="宋体" w:hAnsi="宋体" w:eastAsia="宋体" w:cs="宋体"/>
          <w:sz w:val="24"/>
          <w:szCs w:val="24"/>
        </w:rPr>
        <w:t>：不同L2域的本体通过共享顶层本体实现对齐，例如勘探域的“地震数据”与数据治理域的“数据资产”，可通过顶层本体中的“数据实体”类建立关联，打破域间数据壁垒。</w:t>
      </w:r>
    </w:p>
    <w:p w14:paraId="3E887909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sz w:val="24"/>
          <w:szCs w:val="24"/>
        </w:rPr>
        <w:t>一句话总结</w:t>
      </w:r>
      <w:r>
        <w:rPr>
          <w:rFonts w:hint="eastAsia" w:ascii="宋体" w:hAnsi="宋体" w:eastAsia="宋体" w:cs="宋体"/>
          <w:sz w:val="24"/>
          <w:szCs w:val="24"/>
        </w:rPr>
        <w:t>：L1搭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架构</w:t>
      </w:r>
      <w:r>
        <w:rPr>
          <w:rFonts w:hint="eastAsia" w:ascii="宋体" w:hAnsi="宋体" w:eastAsia="宋体" w:cs="宋体"/>
          <w:sz w:val="24"/>
          <w:szCs w:val="24"/>
        </w:rPr>
        <w:t>（顶层分类），L2填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模块</w:t>
      </w:r>
      <w:r>
        <w:rPr>
          <w:rFonts w:hint="eastAsia" w:ascii="宋体" w:hAnsi="宋体" w:eastAsia="宋体" w:cs="宋体"/>
          <w:sz w:val="24"/>
          <w:szCs w:val="24"/>
        </w:rPr>
        <w:t>（领域结构），L3活细胞（场景细节），本体论让所有层级的知识互联互通，而L2是承上启下的关键枢纽。</w:t>
      </w:r>
    </w:p>
    <w:p w14:paraId="0C886E74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  <w:sz w:val="24"/>
          <w:szCs w:val="24"/>
        </w:rPr>
      </w:pPr>
      <w:bookmarkStart w:id="29" w:name="heading_30"/>
      <w:r>
        <w:rPr>
          <w:rFonts w:hint="eastAsia" w:ascii="宋体" w:hAnsi="宋体" w:eastAsia="宋体" w:cs="宋体"/>
          <w:b/>
          <w:sz w:val="24"/>
          <w:szCs w:val="24"/>
        </w:rPr>
        <w:t>13. 总结与行动建议</w:t>
      </w:r>
      <w:bookmarkEnd w:id="29"/>
    </w:p>
    <w:p w14:paraId="53D9560C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30" w:name="heading_31"/>
      <w:r>
        <w:rPr>
          <w:rFonts w:hint="eastAsia" w:ascii="宋体" w:hAnsi="宋体" w:eastAsia="宋体" w:cs="宋体"/>
          <w:b/>
          <w:sz w:val="24"/>
          <w:szCs w:val="24"/>
        </w:rPr>
        <w:t>核心总结</w:t>
      </w:r>
      <w:bookmarkEnd w:id="30"/>
    </w:p>
    <w:p w14:paraId="7596580A">
      <w:pPr>
        <w:numPr>
          <w:ilvl w:val="0"/>
          <w:numId w:val="52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L2地图是企业数字健康分层地图的</w:t>
      </w:r>
      <w:r>
        <w:rPr>
          <w:rFonts w:hint="eastAsia" w:ascii="宋体" w:hAnsi="宋体" w:eastAsia="宋体" w:cs="宋体"/>
          <w:b/>
          <w:sz w:val="24"/>
          <w:szCs w:val="24"/>
        </w:rPr>
        <w:t>承上启下核心</w:t>
      </w:r>
      <w:r>
        <w:rPr>
          <w:rFonts w:hint="eastAsia" w:ascii="宋体" w:hAnsi="宋体" w:eastAsia="宋体" w:cs="宋体"/>
          <w:sz w:val="24"/>
          <w:szCs w:val="24"/>
        </w:rPr>
        <w:t>，将公司顶层战略分解为域级可落地目标，同时为L3场景设计提供精准输入，是分层管理体系的关键环节；</w:t>
      </w:r>
    </w:p>
    <w:p w14:paraId="36A2E599">
      <w:pPr>
        <w:numPr>
          <w:ilvl w:val="0"/>
          <w:numId w:val="53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三类域采用统一8要素框架，无论业务域、职能域还是共性技术域，均遵循同一标准设计，实现跨域横向对比与统一管理；</w:t>
      </w:r>
    </w:p>
    <w:p w14:paraId="59ED7A2D">
      <w:pPr>
        <w:numPr>
          <w:ilvl w:val="0"/>
          <w:numId w:val="54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五维健康评估体系实现域级健康度量化诊断，让域内问题可衡量、可改进，精准指导资源投入优先级；</w:t>
      </w:r>
    </w:p>
    <w:p w14:paraId="12FC2E45">
      <w:pPr>
        <w:numPr>
          <w:ilvl w:val="0"/>
          <w:numId w:val="55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L2地图是领域本体构建的核心基础，其核心要素为本体搭建中观结构，实现L1与L3的有效连接，推动企业数字化知识体系互联互通。</w:t>
      </w:r>
    </w:p>
    <w:p w14:paraId="027FF378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31" w:name="heading_32"/>
      <w:r>
        <w:rPr>
          <w:rFonts w:hint="eastAsia" w:ascii="宋体" w:hAnsi="宋体" w:eastAsia="宋体" w:cs="宋体"/>
          <w:b/>
          <w:sz w:val="24"/>
          <w:szCs w:val="24"/>
        </w:rPr>
        <w:t>下一步行动建议</w:t>
      </w:r>
      <w:bookmarkEnd w:id="31"/>
    </w:p>
    <w:p w14:paraId="1015C41B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完成L2地图设计后，优先推进以下工作：</w:t>
      </w:r>
    </w:p>
    <w:p w14:paraId="093553E9">
      <w:pPr>
        <w:numPr>
          <w:ilvl w:val="0"/>
          <w:numId w:val="56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选取健康度评分最低的1-2个域，启动L3细分场景地图绘制（参考《L3细分场景地图设计文档》）；</w:t>
      </w:r>
    </w:p>
    <w:p w14:paraId="079D7255">
      <w:pPr>
        <w:numPr>
          <w:ilvl w:val="0"/>
          <w:numId w:val="57"/>
        </w:num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将L2地图中的域目标、价值流、核心能力、数据实体等要素，作为领域本体建模的核心输入，启动领域本体构建工作。</w:t>
      </w:r>
    </w:p>
    <w:p w14:paraId="01A2B878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sz w:val="24"/>
          <w:szCs w:val="24"/>
        </w:rPr>
      </w:pPr>
      <w:bookmarkStart w:id="32" w:name="heading_33"/>
      <w:r>
        <w:rPr>
          <w:rFonts w:hint="eastAsia" w:ascii="宋体" w:hAnsi="宋体" w:eastAsia="宋体" w:cs="宋体"/>
          <w:b/>
          <w:sz w:val="24"/>
          <w:szCs w:val="24"/>
        </w:rPr>
        <w:t>行动清单</w:t>
      </w:r>
      <w:bookmarkEnd w:id="32"/>
    </w:p>
    <w:p w14:paraId="4436567F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□ 确定首批需要绘制L2地图的核心域（建议1个业务域+1个职能域+1个共性技术域试点）</w:t>
      </w:r>
    </w:p>
    <w:p w14:paraId="23FBF827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□ 组织域负责人及骨干员工访谈，完成8要素初稿填写</w:t>
      </w:r>
    </w:p>
    <w:p w14:paraId="67A19D0F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□ 绘制域内价值流图，组织相关方评审脱节点与核心内容</w:t>
      </w:r>
    </w:p>
    <w:p w14:paraId="2F75C2DB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□ 量化五维健康评分，完善并发布正式版L2地图</w:t>
      </w:r>
    </w:p>
    <w:p w14:paraId="2BD80AD3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 xml:space="preserve">□ 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开展域间诊断分析</w:t>
      </w:r>
      <w:r>
        <w:rPr>
          <w:rFonts w:hint="eastAsia" w:ascii="宋体" w:hAnsi="宋体" w:eastAsia="宋体" w:cs="宋体"/>
          <w:sz w:val="24"/>
          <w:szCs w:val="24"/>
        </w:rPr>
        <w:t>，识别域间依赖与断点问题</w:t>
      </w:r>
    </w:p>
    <w:p w14:paraId="1C402CE8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□ 从L2子场景中筛选高优先级场景，启动L3细分场景设计</w:t>
      </w:r>
    </w:p>
    <w:p w14:paraId="73C6E428">
      <w:pPr>
        <w:spacing w:before="120" w:after="120" w:line="288" w:lineRule="auto"/>
        <w:ind w:left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□ 将L2核心要素作为输入，推进领域本体建模工作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Songti SC Regular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C8DBCC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854058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3AB2948"/>
    <w:multiLevelType w:val="singleLevel"/>
    <w:tmpl w:val="93AB294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97FAFE4D"/>
    <w:multiLevelType w:val="singleLevel"/>
    <w:tmpl w:val="97FAFE4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9FFF56AE"/>
    <w:multiLevelType w:val="singleLevel"/>
    <w:tmpl w:val="9FFF56A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A77FAFC7"/>
    <w:multiLevelType w:val="singleLevel"/>
    <w:tmpl w:val="A77FAFC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B6B47013"/>
    <w:multiLevelType w:val="singleLevel"/>
    <w:tmpl w:val="B6B4701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B6FE6D4D"/>
    <w:multiLevelType w:val="singleLevel"/>
    <w:tmpl w:val="B6FE6D4D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6">
    <w:nsid w:val="BBDE36FA"/>
    <w:multiLevelType w:val="singleLevel"/>
    <w:tmpl w:val="BBDE36F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7">
    <w:nsid w:val="BEE45CAC"/>
    <w:multiLevelType w:val="singleLevel"/>
    <w:tmpl w:val="BEE45C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BEFE6B19"/>
    <w:multiLevelType w:val="singleLevel"/>
    <w:tmpl w:val="BEFE6B1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9">
    <w:nsid w:val="BF75D2E5"/>
    <w:multiLevelType w:val="singleLevel"/>
    <w:tmpl w:val="BF75D2E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0">
    <w:nsid w:val="DB4FBBA3"/>
    <w:multiLevelType w:val="singleLevel"/>
    <w:tmpl w:val="DB4FBBA3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1">
    <w:nsid w:val="DB8D93C6"/>
    <w:multiLevelType w:val="singleLevel"/>
    <w:tmpl w:val="DB8D93C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2">
    <w:nsid w:val="DD4F2862"/>
    <w:multiLevelType w:val="singleLevel"/>
    <w:tmpl w:val="DD4F286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3">
    <w:nsid w:val="DEBE8A37"/>
    <w:multiLevelType w:val="singleLevel"/>
    <w:tmpl w:val="DEBE8A3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DEBEA2D1"/>
    <w:multiLevelType w:val="singleLevel"/>
    <w:tmpl w:val="DEBEA2D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5">
    <w:nsid w:val="DF7DFCCF"/>
    <w:multiLevelType w:val="singleLevel"/>
    <w:tmpl w:val="DF7DFCC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6">
    <w:nsid w:val="E47F7241"/>
    <w:multiLevelType w:val="singleLevel"/>
    <w:tmpl w:val="E47F724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E6F5B82E"/>
    <w:multiLevelType w:val="singleLevel"/>
    <w:tmpl w:val="E6F5B82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8">
    <w:nsid w:val="E7D776D7"/>
    <w:multiLevelType w:val="singleLevel"/>
    <w:tmpl w:val="E7D776D7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9">
    <w:nsid w:val="E7FC2B0B"/>
    <w:multiLevelType w:val="singleLevel"/>
    <w:tmpl w:val="E7FC2B0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EA6AB6FE"/>
    <w:multiLevelType w:val="singleLevel"/>
    <w:tmpl w:val="EA6AB6F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1">
    <w:nsid w:val="EBFB5215"/>
    <w:multiLevelType w:val="singleLevel"/>
    <w:tmpl w:val="EBFB5215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22">
    <w:nsid w:val="ED3EF473"/>
    <w:multiLevelType w:val="singleLevel"/>
    <w:tmpl w:val="ED3EF47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3">
    <w:nsid w:val="EDFE20EE"/>
    <w:multiLevelType w:val="singleLevel"/>
    <w:tmpl w:val="EDFE20E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EFE4C863"/>
    <w:multiLevelType w:val="singleLevel"/>
    <w:tmpl w:val="EFE4C86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5">
    <w:nsid w:val="EFFDBC4B"/>
    <w:multiLevelType w:val="singleLevel"/>
    <w:tmpl w:val="EFFDBC4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6">
    <w:nsid w:val="EFFEA4AE"/>
    <w:multiLevelType w:val="singleLevel"/>
    <w:tmpl w:val="EFFEA4A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F3EB7D67"/>
    <w:multiLevelType w:val="singleLevel"/>
    <w:tmpl w:val="F3EB7D6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8">
    <w:nsid w:val="F3EC9933"/>
    <w:multiLevelType w:val="singleLevel"/>
    <w:tmpl w:val="F3EC993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F3FECC3D"/>
    <w:multiLevelType w:val="singleLevel"/>
    <w:tmpl w:val="F3FECC3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0">
    <w:nsid w:val="F5FDDADF"/>
    <w:multiLevelType w:val="singleLevel"/>
    <w:tmpl w:val="F5FDDAD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F73DA245"/>
    <w:multiLevelType w:val="singleLevel"/>
    <w:tmpl w:val="F73DA24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F7706F8F"/>
    <w:multiLevelType w:val="singleLevel"/>
    <w:tmpl w:val="F7706F8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F7BEE74E"/>
    <w:multiLevelType w:val="singleLevel"/>
    <w:tmpl w:val="F7BEE74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4">
    <w:nsid w:val="F7CFB934"/>
    <w:multiLevelType w:val="singleLevel"/>
    <w:tmpl w:val="F7CFB93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F7FDF192"/>
    <w:multiLevelType w:val="singleLevel"/>
    <w:tmpl w:val="F7FDF19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6">
    <w:nsid w:val="F9FCDE64"/>
    <w:multiLevelType w:val="singleLevel"/>
    <w:tmpl w:val="F9FCDE64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7">
    <w:nsid w:val="FB1FB122"/>
    <w:multiLevelType w:val="singleLevel"/>
    <w:tmpl w:val="FB1FB122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38">
    <w:nsid w:val="FBF68BF2"/>
    <w:multiLevelType w:val="singleLevel"/>
    <w:tmpl w:val="FBF68BF2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9">
    <w:nsid w:val="FBFDAA5B"/>
    <w:multiLevelType w:val="singleLevel"/>
    <w:tmpl w:val="FBFDAA5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0">
    <w:nsid w:val="FD608056"/>
    <w:multiLevelType w:val="singleLevel"/>
    <w:tmpl w:val="FD608056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41">
    <w:nsid w:val="FDDF1C35"/>
    <w:multiLevelType w:val="singleLevel"/>
    <w:tmpl w:val="FDDF1C35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2">
    <w:nsid w:val="FDFE2AB9"/>
    <w:multiLevelType w:val="singleLevel"/>
    <w:tmpl w:val="FDFE2AB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43">
    <w:nsid w:val="FE788724"/>
    <w:multiLevelType w:val="singleLevel"/>
    <w:tmpl w:val="FE78872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4">
    <w:nsid w:val="FEF78FC8"/>
    <w:multiLevelType w:val="singleLevel"/>
    <w:tmpl w:val="FEF78FC8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5">
    <w:nsid w:val="FFDB1E75"/>
    <w:multiLevelType w:val="singleLevel"/>
    <w:tmpl w:val="FFDB1E7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6">
    <w:nsid w:val="FFDCA81E"/>
    <w:multiLevelType w:val="singleLevel"/>
    <w:tmpl w:val="FFDCA81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7">
    <w:nsid w:val="FFEE2B8D"/>
    <w:multiLevelType w:val="singleLevel"/>
    <w:tmpl w:val="FFEE2B8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8">
    <w:nsid w:val="FFEE9C23"/>
    <w:multiLevelType w:val="singleLevel"/>
    <w:tmpl w:val="FFEE9C2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9">
    <w:nsid w:val="FFFEF4C0"/>
    <w:multiLevelType w:val="singleLevel"/>
    <w:tmpl w:val="FFFEF4C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0">
    <w:nsid w:val="3AD69D90"/>
    <w:multiLevelType w:val="singleLevel"/>
    <w:tmpl w:val="3AD69D90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1">
    <w:nsid w:val="4DFCB24A"/>
    <w:multiLevelType w:val="singleLevel"/>
    <w:tmpl w:val="4DFCB24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2">
    <w:nsid w:val="5BCC03A9"/>
    <w:multiLevelType w:val="singleLevel"/>
    <w:tmpl w:val="5BCC03A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3">
    <w:nsid w:val="6EFE9F47"/>
    <w:multiLevelType w:val="singleLevel"/>
    <w:tmpl w:val="6EFE9F47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4">
    <w:nsid w:val="79D46C4F"/>
    <w:multiLevelType w:val="singleLevel"/>
    <w:tmpl w:val="79D46C4F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5">
    <w:nsid w:val="7E1A334B"/>
    <w:multiLevelType w:val="singleLevel"/>
    <w:tmpl w:val="7E1A334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6">
    <w:nsid w:val="7F96EEE6"/>
    <w:multiLevelType w:val="singleLevel"/>
    <w:tmpl w:val="7F96EEE6"/>
    <w:lvl w:ilvl="0" w:tentative="0">
      <w:start w:val="2"/>
      <w:numFmt w:val="decimal"/>
      <w:lvlText w:val="%1."/>
      <w:lvlJc w:val="left"/>
      <w:rPr>
        <w:color w:val="3370FF"/>
      </w:rPr>
    </w:lvl>
  </w:abstractNum>
  <w:num w:numId="1">
    <w:abstractNumId w:val="7"/>
  </w:num>
  <w:num w:numId="2">
    <w:abstractNumId w:val="54"/>
  </w:num>
  <w:num w:numId="3">
    <w:abstractNumId w:val="27"/>
  </w:num>
  <w:num w:numId="4">
    <w:abstractNumId w:val="34"/>
  </w:num>
  <w:num w:numId="5">
    <w:abstractNumId w:val="13"/>
  </w:num>
  <w:num w:numId="6">
    <w:abstractNumId w:val="9"/>
  </w:num>
  <w:num w:numId="7">
    <w:abstractNumId w:val="11"/>
  </w:num>
  <w:num w:numId="8">
    <w:abstractNumId w:val="56"/>
  </w:num>
  <w:num w:numId="9">
    <w:abstractNumId w:val="36"/>
  </w:num>
  <w:num w:numId="10">
    <w:abstractNumId w:val="21"/>
  </w:num>
  <w:num w:numId="11">
    <w:abstractNumId w:val="37"/>
  </w:num>
  <w:num w:numId="12">
    <w:abstractNumId w:val="20"/>
  </w:num>
  <w:num w:numId="13">
    <w:abstractNumId w:val="16"/>
  </w:num>
  <w:num w:numId="14">
    <w:abstractNumId w:val="28"/>
  </w:num>
  <w:num w:numId="15">
    <w:abstractNumId w:val="22"/>
  </w:num>
  <w:num w:numId="16">
    <w:abstractNumId w:val="50"/>
  </w:num>
  <w:num w:numId="17">
    <w:abstractNumId w:val="39"/>
  </w:num>
  <w:num w:numId="18">
    <w:abstractNumId w:val="19"/>
  </w:num>
  <w:num w:numId="19">
    <w:abstractNumId w:val="44"/>
  </w:num>
  <w:num w:numId="20">
    <w:abstractNumId w:val="30"/>
  </w:num>
  <w:num w:numId="21">
    <w:abstractNumId w:val="55"/>
  </w:num>
  <w:num w:numId="22">
    <w:abstractNumId w:val="4"/>
  </w:num>
  <w:num w:numId="23">
    <w:abstractNumId w:val="26"/>
  </w:num>
  <w:num w:numId="24">
    <w:abstractNumId w:val="12"/>
  </w:num>
  <w:num w:numId="25">
    <w:abstractNumId w:val="32"/>
  </w:num>
  <w:num w:numId="26">
    <w:abstractNumId w:val="43"/>
  </w:num>
  <w:num w:numId="27">
    <w:abstractNumId w:val="52"/>
  </w:num>
  <w:num w:numId="28">
    <w:abstractNumId w:val="1"/>
  </w:num>
  <w:num w:numId="29">
    <w:abstractNumId w:val="48"/>
  </w:num>
  <w:num w:numId="30">
    <w:abstractNumId w:val="51"/>
  </w:num>
  <w:num w:numId="31">
    <w:abstractNumId w:val="0"/>
  </w:num>
  <w:num w:numId="32">
    <w:abstractNumId w:val="15"/>
  </w:num>
  <w:num w:numId="33">
    <w:abstractNumId w:val="53"/>
  </w:num>
  <w:num w:numId="34">
    <w:abstractNumId w:val="35"/>
  </w:num>
  <w:num w:numId="35">
    <w:abstractNumId w:val="31"/>
  </w:num>
  <w:num w:numId="36">
    <w:abstractNumId w:val="47"/>
  </w:num>
  <w:num w:numId="37">
    <w:abstractNumId w:val="38"/>
  </w:num>
  <w:num w:numId="38">
    <w:abstractNumId w:val="42"/>
  </w:num>
  <w:num w:numId="39">
    <w:abstractNumId w:val="5"/>
  </w:num>
  <w:num w:numId="40">
    <w:abstractNumId w:val="41"/>
  </w:num>
  <w:num w:numId="41">
    <w:abstractNumId w:val="10"/>
  </w:num>
  <w:num w:numId="42">
    <w:abstractNumId w:val="40"/>
  </w:num>
  <w:num w:numId="43">
    <w:abstractNumId w:val="45"/>
  </w:num>
  <w:num w:numId="44">
    <w:abstractNumId w:val="17"/>
  </w:num>
  <w:num w:numId="45">
    <w:abstractNumId w:val="29"/>
  </w:num>
  <w:num w:numId="46">
    <w:abstractNumId w:val="2"/>
  </w:num>
  <w:num w:numId="47">
    <w:abstractNumId w:val="8"/>
  </w:num>
  <w:num w:numId="48">
    <w:abstractNumId w:val="33"/>
  </w:num>
  <w:num w:numId="49">
    <w:abstractNumId w:val="49"/>
  </w:num>
  <w:num w:numId="50">
    <w:abstractNumId w:val="14"/>
  </w:num>
  <w:num w:numId="51">
    <w:abstractNumId w:val="3"/>
  </w:num>
  <w:num w:numId="52">
    <w:abstractNumId w:val="25"/>
  </w:num>
  <w:num w:numId="53">
    <w:abstractNumId w:val="24"/>
  </w:num>
  <w:num w:numId="54">
    <w:abstractNumId w:val="46"/>
  </w:num>
  <w:num w:numId="55">
    <w:abstractNumId w:val="23"/>
  </w:num>
  <w:num w:numId="56">
    <w:abstractNumId w:val="6"/>
  </w:num>
  <w:num w:numId="5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0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A3F534D"/>
    <w:rsid w:val="6FEFBE81"/>
    <w:rsid w:val="9E9D7A4A"/>
    <w:rsid w:val="9FBBF51A"/>
    <w:rsid w:val="DBDB7FD1"/>
    <w:rsid w:val="FB778943"/>
    <w:rsid w:val="FBDFB09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19</Pages>
  <TotalTime>68</TotalTime>
  <ScaleCrop>false</ScaleCrop>
  <LinksUpToDate>false</LinksUpToDate>
  <Application>WPS Office_7.4.1.8983_F1E327BC-269C-435d-A152-05C5408002CA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2026-04-08T11:49:00Z</dcterms:created>
  <dc:creator>Apache POI</dc:creator>
  <cp:lastModifiedBy>朱潮海</cp:lastModifiedBy>
  <dcterms:modified xsi:type="dcterms:W3CDTF">2026-04-08T13:29:34Z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2052-7.4.1.8983</vt:lpwstr>
  </property>
  <property fmtid="{D5CDD505-2E9C-101B-9397-08002B2CF9AE}" pid="3" name="ICV">
    <vt:lpwstr>788BF7EA8090619F0ED6D5690B2A7E58_42</vt:lpwstr>
  </property>
</Properties>
</file>