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pacing w:before="135" w:after="24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广西大学本科生毕业设计（论文）开题报告</w:t>
      </w:r>
    </w:p>
    <w:p w14:paraId="0000000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学号：2207310310</w:t>
      </w:r>
    </w:p>
    <w:p w14:paraId="0000000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学生姓名：曾祥情</w:t>
      </w:r>
    </w:p>
    <w:p w14:paraId="0000000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学院：计算机与电子信息学院</w:t>
      </w:r>
    </w:p>
    <w:p w14:paraId="0000000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专业年级：计算机科学与技术2022级1班</w:t>
      </w:r>
    </w:p>
    <w:p w14:paraId="0000000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指导教师：孙宇</w:t>
      </w:r>
    </w:p>
    <w:p w14:paraId="0000000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职称：副教授</w:t>
      </w:r>
    </w:p>
    <w:p w14:paraId="00000008">
      <w:pPr>
        <w:pBdr>
          <w:top w:val="none" w:color="auto" w:sz="0" w:space="0"/>
          <w:left w:val="none" w:color="auto" w:sz="0" w:space="0"/>
          <w:bottom w:val="none" w:color="auto" w:sz="0" w:space="0"/>
          <w:right w:val="none" w:color="auto" w:sz="0" w:space="0"/>
          <w:between w:val="none" w:color="auto" w:sz="0" w:space="0"/>
        </w:pBdr>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b/>
          <w:bCs/>
          <w:color w:val="1F1F1F"/>
        </w:rPr>
        <w:t>设计（论文）题目</w:t>
      </w:r>
      <w:r>
        <w:rPr>
          <w:rFonts w:ascii="Google Sans Text" w:hAnsi="Google Sans Text" w:eastAsia="Google Sans Text" w:cs="Google Sans Text"/>
          <w:color w:val="1F1F1F"/>
        </w:rPr>
        <w:t>：基于大模型与知识图谱融合的果园病虫害智能问答RAG系统构建</w:t>
      </w:r>
    </w:p>
    <w:p w14:paraId="00000009">
      <w:pPr>
        <w:pBdr>
          <w:top w:val="none" w:color="auto" w:sz="0" w:space="0"/>
          <w:left w:val="none" w:color="auto" w:sz="0" w:space="0"/>
          <w:bottom w:val="none" w:color="auto" w:sz="0" w:space="0"/>
          <w:right w:val="none" w:color="auto" w:sz="0" w:space="0"/>
          <w:between w:val="none" w:color="auto" w:sz="0" w:space="0"/>
        </w:pBdr>
        <w:spacing w:after="24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一、本课题国内外研究动态及意义</w:t>
      </w:r>
    </w:p>
    <w:p w14:paraId="0000000A">
      <w:pPr>
        <w:pBdr>
          <w:top w:val="none" w:color="auto" w:sz="0" w:space="0"/>
          <w:left w:val="none" w:color="auto" w:sz="0" w:space="0"/>
          <w:bottom w:val="none" w:color="auto" w:sz="0" w:space="0"/>
          <w:right w:val="none" w:color="auto" w:sz="0" w:space="0"/>
          <w:between w:val="none" w:color="auto" w:sz="0" w:space="0"/>
        </w:pBdr>
        <w:spacing w:after="24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1. 课题研究背景与意义</w:t>
      </w:r>
    </w:p>
    <w:p w14:paraId="0000000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(1) 现代果园植保面临的严峻挑战与数字化转型需求</w:t>
      </w:r>
    </w:p>
    <w:p w14:paraId="0000000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我国是世界水果生产第一大国，果业已成为继粮食、蔬菜之后的第三大农业种植产业，是部分地区农业增效、农民增收的支柱产业。然而，随着全球气候变暖、耕作制度变革以及国际贸易频繁带来的外来生物入侵风险增加，果园生态系统正面临着前所未有的病虫害威胁。据联合国粮食及农业组织（FAO）及中国农业相关部门统计，病虫害每年导致全球作物产量损失高达20%至40%，而在某些管理粗放的果园，这一损失甚至可能超过60%</w:t>
      </w:r>
      <w:r>
        <w:rPr>
          <w:rFonts w:ascii="Google Sans Text" w:hAnsi="Google Sans Text" w:eastAsia="Google Sans Text" w:cs="Google Sans Text"/>
          <w:vertAlign w:val="superscript"/>
        </w:rPr>
        <w:t>[1]</w:t>
      </w:r>
      <w:r>
        <w:rPr>
          <w:rFonts w:ascii="Google Sans Text" w:hAnsi="Google Sans Text" w:eastAsia="Google Sans Text" w:cs="Google Sans Text"/>
        </w:rPr>
        <w:t>。</w:t>
      </w:r>
    </w:p>
    <w:p w14:paraId="0000000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果树作为多年生作物，其病虫害具有种类繁多、生命周期复杂、隐蔽性强、爆发迅速等特点。例如，苹果腐烂病被称为果树的“癌症”，一旦爆发极难根除；柑橘黄龙病更是对柑橘产业造成毁灭性打击。传统的病虫害防治模式主要依赖于两大路径：一是依靠农业技术推广站专家的实地指导，二是依靠果农自身的经验积累。然而，这两条路径在当前的农业生产现实中均面临瓶颈：</w:t>
      </w:r>
    </w:p>
    <w:p w14:paraId="0000000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专家资源稀缺且分布不均：基层植保专家数量严重不足，难以覆盖广大的种植区域，尤其在病虫害爆发期，专家往往分身乏术，无法及时响应每一个果园的诊断需求。</w:t>
      </w:r>
    </w:p>
    <w:p w14:paraId="0000000F">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经验主义的局限性：果农的经验往往具有地域性和滞后性，面对新发病害或产生抗药性的虫害（如抗性红蜘蛛、梨木虱），凭借旧经验往往导致误诊、漏诊。</w:t>
      </w:r>
    </w:p>
    <w:p w14:paraId="0000001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用药不科学：由于缺乏精准指导，果农倾向于“多用药、混用药”，不仅增加了生产成本，还导致农药残留超标、环境污染以及天敌昆虫的灭绝，破坏了果园的生态平衡。</w:t>
      </w:r>
    </w:p>
    <w:p w14:paraId="00000011">
      <w:pPr>
        <w:pBdr>
          <w:top w:val="none" w:color="auto" w:sz="0" w:space="0"/>
          <w:left w:val="none" w:color="auto" w:sz="0" w:space="0"/>
          <w:bottom w:val="none" w:color="auto" w:sz="0" w:space="0"/>
          <w:right w:val="none" w:color="auto" w:sz="0" w:space="0"/>
          <w:between w:val="none" w:color="auto" w:sz="0" w:space="0"/>
        </w:pBdr>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在此背景下，利用现代信息技术，特别是人工智能（AI）技术，构建智能化的果园病虫害问答与诊断系统，实现从“经验植保”向“数字植保”、“智慧植保”的跨越，已成为农业现代化的迫切需求。</w:t>
      </w:r>
    </w:p>
    <w:p w14:paraId="0000001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(2) 大语言模型在农业垂直领域的应用机遇与“幻觉”瓶颈</w:t>
      </w:r>
    </w:p>
    <w:p w14:paraId="0000001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近年来，以ChatGPT、Qwen、DeepSeek等为代表的大语言模型（LLM）展现出了惊人的自然语言理解与生成能力，为解决农业知识服务中的“最后一公里”问题提供了全新的技术手段。与传统的基于关键词匹配的搜索引擎相比，LLM能够理解用户口语化的复杂提问（如“苹果树叶子背面有白毛，果实上有黑点，最近雨水多，该怎么办？”），并给出条理清晰的建议。</w:t>
      </w:r>
    </w:p>
    <w:p w14:paraId="0000001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然而，将通用LLM直接应用于果园病虫害防治这一严肃的垂直领域，面临着严峻的“可信度”挑战：</w:t>
      </w:r>
    </w:p>
    <w:p w14:paraId="0000001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知识幻觉（Hallucination）：通用大模型在训练时虽然摄入了海量数据，但在面对特定的农药配比、安全间隔期、不同果树品种的敏感性等专业问题时，往往会自信地生成错误信息（一本正经地胡说八道）。例如，将适用于苹果的药剂错误地推荐给对铜制剂敏感的桃树，可能导致严重的药害事故</w:t>
      </w:r>
      <w:r>
        <w:rPr>
          <w:rFonts w:ascii="Google Sans Text" w:hAnsi="Google Sans Text" w:eastAsia="Google Sans Text" w:cs="Google Sans Text"/>
          <w:vertAlign w:val="superscript"/>
        </w:rPr>
        <w:t>[2]</w:t>
      </w:r>
      <w:r>
        <w:rPr>
          <w:rFonts w:ascii="Google Sans Text" w:hAnsi="Google Sans Text" w:eastAsia="Google Sans Text" w:cs="Google Sans Text"/>
        </w:rPr>
        <w:t>。</w:t>
      </w:r>
    </w:p>
    <w:p w14:paraId="0000001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知识时效性滞后：农业知识是动态更新的。新的病虫害（如草地贪夜蛾的入侵）、新的农药登记信息、国家发布的禁用农药清单等都在不断变化。预训练模型的知识截止时间限制了其获取最新情报的能力。</w:t>
      </w:r>
    </w:p>
    <w:p w14:paraId="0000001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缺乏逻辑溯源：端到端的生成模式是一个“黑盒”，用户无法验证模型给出的防治建议是基于哪一本权威教材或哪一份官方通报，这在讲究科学严谨的植保领域是不可接受的。</w:t>
      </w:r>
    </w:p>
    <w:p w14:paraId="0000001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(3) 检索增强生成（RAG）与LightRAG技术的引入价值</w:t>
      </w:r>
    </w:p>
    <w:p w14:paraId="00000019">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为了解决上述问题，检索增强生成（Retrieval-Augmented Generation, RAG）技术应运而生。RAG通过在生成回答前先从外部知识库中检索相关信息，将检索结果作为上下文输入给模型，从而“框定”了模型的生成范围，有效降低了幻觉。</w:t>
      </w:r>
    </w:p>
    <w:p w14:paraId="0000001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但是，传统的Naive RAG（朴素RAG）主要依赖于将长文本切分为片段（Chunks）并进行向量检索。这种方法在处理农业领域的复杂关联问题时存在显著缺陷：</w:t>
      </w:r>
    </w:p>
    <w:p w14:paraId="0000001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割裂了实体间的逻辑关系：农业知识高度结构化且相互关联。例如，害虫的发生与气候（温度、湿度）、寄主（果树品种）、天敌之间存在复杂的网状关系。Naive RAG的切片方式往往将这些关系打断，导致模型只能回答点状问题，难以进行综合推理（如“分析今年暖冬对明年蚜虫爆发的影响”）。</w:t>
      </w:r>
    </w:p>
    <w:p w14:paraId="0000001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难以处理全局性查询：当用户询问宏观问题（如“总结北方果树春季管理的要点”）时，Naive RAG往往只能检索到零散的片段，无法整合成系统的回答。</w:t>
      </w:r>
    </w:p>
    <w:p w14:paraId="0000001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本课题拟引入香港大学数据科学实验室于2024年底提出的LightRAG（Graph-Enhanced Retrieval-Augmented Generation）架构。LightRAG通过创新的图增强文本索引（Graph-Based Text Indexing）和双层检索范式（Dual-Level Retrieval Paradigm），巧妙地结合了知识图谱的结构化优势与向量检索的语义灵活性</w:t>
      </w:r>
      <w:r>
        <w:rPr>
          <w:rFonts w:ascii="Google Sans Text" w:hAnsi="Google Sans Text" w:eastAsia="Google Sans Text" w:cs="Google Sans Text"/>
          <w:vertAlign w:val="superscript"/>
        </w:rPr>
        <w:t>[3]</w:t>
      </w:r>
      <w:r>
        <w:rPr>
          <w:rFonts w:ascii="Google Sans Text" w:hAnsi="Google Sans Text" w:eastAsia="Google Sans Text" w:cs="Google Sans Text"/>
        </w:rPr>
        <w:t>。</w:t>
      </w:r>
    </w:p>
    <w:p w14:paraId="0000001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结构化与非结构化的融合：LightRAG利用LLM自动从非结构化文本中抽取实体（Entities）和关系（Relationships），构建知识图谱，并为每个节点生成包含丰富上下文的“画像”（Profile）。这使得系统既能精准定位具体实体，又能理解实体间的复杂依赖。</w:t>
      </w:r>
    </w:p>
    <w:p w14:paraId="0000001F">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双层检索机制：它同时支持针对具体实体的“低层检索”（Low-Level）和针对宏观概念的“高层检索”（High-Level），完美契合了果园管理中既有具体病虫诊断又有宏观管理咨询的实际需求。</w:t>
      </w:r>
    </w:p>
    <w:p w14:paraId="0000002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增量更新能力：LightRAG设计的增量更新算法允许在不重建整个索引的情况下快速摄入新数据，这对于需要实时跟踪病虫害情报的农业系统至关重要，大幅降低了维护成本。</w:t>
      </w:r>
    </w:p>
    <w:p w14:paraId="00000021">
      <w:pPr>
        <w:pBdr>
          <w:top w:val="none" w:color="auto" w:sz="0" w:space="0"/>
          <w:left w:val="none" w:color="auto" w:sz="0" w:space="0"/>
          <w:bottom w:val="none" w:color="auto" w:sz="0" w:space="0"/>
          <w:right w:val="none" w:color="auto" w:sz="0" w:space="0"/>
          <w:between w:val="none" w:color="auto" w:sz="0" w:space="0"/>
        </w:pBdr>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综上所述，本研究旨在构建一个基于LightRAG的果园病虫害智能问答系统，通过融合权威的农业图谱数据与前沿的AI架构，解决当前农业问答系统中存在的“查不准、理不清、更不快”的痛点，为我国果业的防灾减灾和提质增效提供强有力的科技支撑。</w:t>
      </w:r>
    </w:p>
    <w:p w14:paraId="00000022">
      <w:pPr>
        <w:pBdr>
          <w:top w:val="none" w:color="auto" w:sz="0" w:space="0"/>
          <w:left w:val="none" w:color="auto" w:sz="0" w:space="0"/>
          <w:bottom w:val="none" w:color="auto" w:sz="0" w:space="0"/>
          <w:right w:val="none" w:color="auto" w:sz="0" w:space="0"/>
          <w:between w:val="none" w:color="auto" w:sz="0" w:space="0"/>
        </w:pBdr>
        <w:spacing w:after="24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2. 国内外研究动态</w:t>
      </w:r>
    </w:p>
    <w:p w14:paraId="0000002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(1) 农业信息化与智能诊断系统的发展历程</w:t>
      </w:r>
    </w:p>
    <w:p w14:paraId="0000002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回顾农业智能系统的发展，大致经历了三个阶段：</w:t>
      </w:r>
    </w:p>
    <w:p w14:paraId="0000002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专家系统（Expert Systems, ES）阶段（20世纪70-90年代）：</w:t>
      </w:r>
    </w:p>
    <w:p w14:paraId="0000002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国外：美国最早开发了用于棉花虫害管理的GOSSYM/COMAX系统，随后出现了针对苹果、柑橘的各类专家系统。这些系统主要基于人工编写的“IF-THEN”规则库。</w:t>
      </w:r>
    </w:p>
    <w:p w14:paraId="0000002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国内：我国“863”计划支持下，开发了小麦、苹果等作物的专家系统。虽然在特定封闭集内有效，但面临严重的“知识获取瓶颈”，规则库难以维护，且无法处理自然语言输入</w:t>
      </w:r>
      <w:r>
        <w:rPr>
          <w:rFonts w:ascii="Google Sans Text" w:hAnsi="Google Sans Text" w:eastAsia="Google Sans Text" w:cs="Google Sans Text"/>
          <w:vertAlign w:val="superscript"/>
        </w:rPr>
        <w:t>[4]</w:t>
      </w:r>
      <w:r>
        <w:rPr>
          <w:rFonts w:ascii="Google Sans Text" w:hAnsi="Google Sans Text" w:eastAsia="Google Sans Text" w:cs="Google Sans Text"/>
        </w:rPr>
        <w:t>。</w:t>
      </w:r>
    </w:p>
    <w:p w14:paraId="0000002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搜索引擎与Web信息系统阶段（2000-2015年）：</w:t>
      </w:r>
    </w:p>
    <w:p w14:paraId="00000029">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随着互联网普及，出现了大量的农业科技网站和数据库（如中国农业信息网）。这些系统主要基于关键词匹配（Keyword Matching），用户需要自行筛选大量冗余信息，效率低下，且容易因关键词不匹配而漏检。</w:t>
      </w:r>
    </w:p>
    <w:p w14:paraId="0000002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深度学习与图像识别阶段（2015年至今）：</w:t>
      </w:r>
    </w:p>
    <w:p w14:paraId="0000002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以ResNet、YOLO为代表的计算机视觉技术被广泛应用于病害叶片识别</w:t>
      </w:r>
      <w:r>
        <w:rPr>
          <w:rFonts w:ascii="Google Sans Text" w:hAnsi="Google Sans Text" w:eastAsia="Google Sans Text" w:cs="Google Sans Text"/>
          <w:vertAlign w:val="superscript"/>
        </w:rPr>
        <w:t>[5]</w:t>
      </w:r>
      <w:r>
        <w:rPr>
          <w:rFonts w:ascii="Google Sans Text" w:hAnsi="Google Sans Text" w:eastAsia="Google Sans Text" w:cs="Google Sans Text"/>
        </w:rPr>
        <w:t>。虽然图像诊断准确率不断提升，但单纯的图像识别无法提供发病机理、防治策略等深层知识，仍需配合文本问答系统使用。</w:t>
      </w:r>
    </w:p>
    <w:p w14:paraId="0000002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(2) 农业知识图谱（AgriKG）的构建现状</w:t>
      </w:r>
    </w:p>
    <w:p w14:paraId="0000002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知识图谱技术能够将农业领域的概念、实体及其关系以图结构进行描述，是实现认知智能的关键。</w:t>
      </w:r>
    </w:p>
    <w:p w14:paraId="0000002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本体构建（Ontology Construction）：</w:t>
      </w:r>
    </w:p>
    <w:p w14:paraId="0000002F">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国际标准：FAO的AGROVOC词表和CABI的作物保护纲要（CPC）定义了全球通用的农业术语体系</w:t>
      </w:r>
      <w:r>
        <w:rPr>
          <w:rFonts w:ascii="Google Sans Text" w:hAnsi="Google Sans Text" w:eastAsia="Google Sans Text" w:cs="Google Sans Text"/>
          <w:vertAlign w:val="superscript"/>
        </w:rPr>
        <w:t>[6]</w:t>
      </w:r>
      <w:r>
        <w:rPr>
          <w:rFonts w:ascii="Google Sans Text" w:hAnsi="Google Sans Text" w:eastAsia="Google Sans Text" w:cs="Google Sans Text"/>
        </w:rPr>
        <w:t>。</w:t>
      </w:r>
    </w:p>
    <w:p w14:paraId="0000003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国内进展：北京林业大学团队构建了CropDP-KG，定义了包含“病害”、“虫害”、“作物”、“症状”、“防治措施”、“地理位置”等核心实体的本体结构，并包含了2.1万个三元组</w:t>
      </w:r>
      <w:r>
        <w:rPr>
          <w:rFonts w:ascii="Google Sans Text" w:hAnsi="Google Sans Text" w:eastAsia="Google Sans Text" w:cs="Google Sans Text"/>
          <w:vertAlign w:val="superscript"/>
        </w:rPr>
        <w:t>[7]</w:t>
      </w:r>
      <w:r>
        <w:rPr>
          <w:rFonts w:ascii="Google Sans Text" w:hAnsi="Google Sans Text" w:eastAsia="Google Sans Text" w:cs="Google Sans Text"/>
        </w:rPr>
        <w:t>。华南农业大学构建了水稻病虫害知识图谱，并探索了基于图谱的推理诊断</w:t>
      </w:r>
      <w:r>
        <w:rPr>
          <w:rFonts w:ascii="Google Sans Text" w:hAnsi="Google Sans Text" w:eastAsia="Google Sans Text" w:cs="Google Sans Text"/>
          <w:vertAlign w:val="superscript"/>
        </w:rPr>
        <w:t>[8]</w:t>
      </w:r>
      <w:r>
        <w:rPr>
          <w:rFonts w:ascii="Google Sans Text" w:hAnsi="Google Sans Text" w:eastAsia="Google Sans Text" w:cs="Google Sans Text"/>
        </w:rPr>
        <w:t>。</w:t>
      </w:r>
    </w:p>
    <w:p w14:paraId="0000003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现有问题：目前的农业KG多侧重于大田作物（水稻、小麦），针对果树（特别是多品种混合果园）的精细化图谱相对较少。且大多数图谱构建后作为静态数据库使用，缺乏与生成式大模型的深度交互，导致知识利用率低。</w:t>
      </w:r>
    </w:p>
    <w:p w14:paraId="0000003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(3) 检索增强生成（RAG）技术的演进：从GraphRAG到LightRAG</w:t>
      </w:r>
    </w:p>
    <w:p w14:paraId="0000003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为了解决大模型的幻觉问题，RAG技术成为当前AI领域的研究热点，并经历了快速迭代。</w:t>
      </w:r>
    </w:p>
    <w:p w14:paraId="0000003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Naive RAG：</w:t>
      </w:r>
    </w:p>
    <w:p w14:paraId="0000003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原理：文本切片 -&gt; 向量化 -&gt; Top-K检索。</w:t>
      </w:r>
    </w:p>
    <w:p w14:paraId="0000003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缺陷：丢失了跨切片的全局信息，难以回答综合性问题。在农业领域，容易导致“只知其一，不知其二”的片面建议。</w:t>
      </w:r>
    </w:p>
    <w:p w14:paraId="0000003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GraphRAG（微软）：</w:t>
      </w:r>
    </w:p>
    <w:p w14:paraId="0000003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原理：先利用LLM从文本中抽取实体和关系构建全图，然后利用Leiden算法进行社区检测，生成社区摘要。检索时通过遍历社区摘要来回答全局问题</w:t>
      </w:r>
      <w:r>
        <w:rPr>
          <w:rFonts w:ascii="Google Sans Text" w:hAnsi="Google Sans Text" w:eastAsia="Google Sans Text" w:cs="Google Sans Text"/>
          <w:vertAlign w:val="superscript"/>
        </w:rPr>
        <w:t>[9]</w:t>
      </w:r>
      <w:r>
        <w:rPr>
          <w:rFonts w:ascii="Google Sans Text" w:hAnsi="Google Sans Text" w:eastAsia="Google Sans Text" w:cs="Google Sans Text"/>
        </w:rPr>
        <w:t>。</w:t>
      </w:r>
    </w:p>
    <w:p w14:paraId="00000039">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缺陷：构建成本极高，需要大量的Token消耗来生成社区摘要；维护困难，数据更新往往需要重建图谱，无法适应农业情报的实时性；响应慢，多跳检索延迟高。</w:t>
      </w:r>
    </w:p>
    <w:p w14:paraId="0000003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LightRAG（HKUDS, 2024）：</w:t>
      </w:r>
    </w:p>
    <w:p w14:paraId="0000003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创新点：针对GraphRAG的痛点，LightRAG提出了“图增强文本索引”和“双层检索”。它不再依赖昂贵的社区检测，而是通过为实体和关系生成键值对（Profiling）来压缩信息。</w:t>
      </w:r>
    </w:p>
    <w:p w14:paraId="0000003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优势：检索速度快（基于Hash和Vector），构建成本低（Token消耗大幅减少），且支持增量更新。这使得在资源受限的农业场景下部署高性能问答系统成为可能</w:t>
      </w:r>
      <w:r>
        <w:rPr>
          <w:rFonts w:ascii="Google Sans Text" w:hAnsi="Google Sans Text" w:eastAsia="Google Sans Text" w:cs="Google Sans Text"/>
          <w:vertAlign w:val="superscript"/>
        </w:rPr>
        <w:t>[3]</w:t>
      </w:r>
      <w:r>
        <w:rPr>
          <w:rFonts w:ascii="Google Sans Text" w:hAnsi="Google Sans Text" w:eastAsia="Google Sans Text" w:cs="Google Sans Text"/>
        </w:rPr>
        <w:t>。</w:t>
      </w:r>
    </w:p>
    <w:p w14:paraId="0000003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(4) 总结</w:t>
      </w:r>
    </w:p>
    <w:p w14:paraId="0000003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当前，虽然通用大模型已展现出潜力，但在果园病虫害这一垂直领域，仍缺乏一个既具备深度推理能力，又能实时更新、精准溯源的智能系统。现有的Naive RAG方案精度不足，而GraphRAG方案成本过高。本课题选择LightRAG作为技术基座，结合中国本土的权威果树植保数据，构建垂直领域的智能问答系统，具有显著的先进性和应用价值。</w:t>
      </w:r>
    </w:p>
    <w:p w14:paraId="0000003F">
      <w:pPr>
        <w:pBdr>
          <w:top w:val="none" w:color="auto" w:sz="0" w:space="0"/>
          <w:left w:val="none" w:color="auto" w:sz="0" w:space="0"/>
          <w:bottom w:val="none" w:color="auto" w:sz="0" w:space="0"/>
          <w:right w:val="none" w:color="auto" w:sz="0" w:space="0"/>
          <w:between w:val="none" w:color="auto" w:sz="0" w:space="0"/>
        </w:pBdr>
        <w:spacing w:after="24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二、毕业设计(论文)研究内容、拟解决的主要问题</w:t>
      </w:r>
    </w:p>
    <w:p w14:paraId="0000004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1. 研究内容</w:t>
      </w:r>
    </w:p>
    <w:p w14:paraId="0000004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本课题将围绕“数据构建-索引算法-系统集成-评测优化”这一主线展开，具体研究内容如下：</w:t>
      </w:r>
    </w:p>
    <w:p w14:paraId="0000004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(1) 果园病虫害领域多源异构数据的采集与规范化</w:t>
      </w:r>
    </w:p>
    <w:p w14:paraId="0000004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构建高质量的知识库是系统的基石。本研究将整合多种来源的数据，形成覆盖苹果、柑橘、梨、桃等主要果树的病虫害知识库。</w:t>
      </w:r>
    </w:p>
    <w:p w14:paraId="0000004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权威书籍数字化：以《中国果树病虫原色图谱》（吕佩珂著）</w:t>
      </w:r>
      <w:r>
        <w:rPr>
          <w:rFonts w:ascii="Google Sans Text" w:hAnsi="Google Sans Text" w:eastAsia="Google Sans Text" w:cs="Google Sans Text"/>
          <w:vertAlign w:val="superscript"/>
        </w:rPr>
        <w:t>[10]</w:t>
      </w:r>
      <w:r>
        <w:rPr>
          <w:rFonts w:ascii="Google Sans Text" w:hAnsi="Google Sans Text" w:eastAsia="Google Sans Text" w:cs="Google Sans Text"/>
        </w:rPr>
        <w:t>、《南方果树病虫害防治手册》（匡石滋著）</w:t>
      </w:r>
      <w:r>
        <w:rPr>
          <w:rFonts w:ascii="Google Sans Text" w:hAnsi="Google Sans Text" w:eastAsia="Google Sans Text" w:cs="Google Sans Text"/>
          <w:vertAlign w:val="superscript"/>
        </w:rPr>
        <w:t>[11]</w:t>
      </w:r>
      <w:r>
        <w:rPr>
          <w:rFonts w:ascii="Google Sans Text" w:hAnsi="Google Sans Text" w:eastAsia="Google Sans Text" w:cs="Google Sans Text"/>
        </w:rPr>
        <w:t>等经典著作为核心数据源，提取其中关于病虫形态特征、发生规律、防治历的文本信息。</w:t>
      </w:r>
    </w:p>
    <w:p w14:paraId="0000004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动态情报获取：编写爬虫程序，定期抓取全国农业技术推广服务中心（NATESC）发布的《全国农作物重大病虫害发生趋势预报》、中国农业信息网的植保技术方案</w:t>
      </w:r>
      <w:r>
        <w:rPr>
          <w:rFonts w:ascii="Google Sans Text" w:hAnsi="Google Sans Text" w:eastAsia="Google Sans Text" w:cs="Google Sans Text"/>
          <w:vertAlign w:val="superscript"/>
        </w:rPr>
        <w:t>[12]</w:t>
      </w:r>
      <w:r>
        <w:rPr>
          <w:rFonts w:ascii="Google Sans Text" w:hAnsi="Google Sans Text" w:eastAsia="Google Sans Text" w:cs="Google Sans Text"/>
        </w:rPr>
        <w:t>。</w:t>
      </w:r>
    </w:p>
    <w:p w14:paraId="0000004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学术文献聚合：收集CNKI和Web of Science中关于果树害虫生物防治（如赤眼蜂、捕食螨应用）的最新研究论文</w:t>
      </w:r>
      <w:r>
        <w:rPr>
          <w:rFonts w:ascii="Google Sans Text" w:hAnsi="Google Sans Text" w:eastAsia="Google Sans Text" w:cs="Google Sans Text"/>
          <w:vertAlign w:val="superscript"/>
        </w:rPr>
        <w:t>[1]</w:t>
      </w:r>
      <w:r>
        <w:rPr>
          <w:rFonts w:ascii="Google Sans Text" w:hAnsi="Google Sans Text" w:eastAsia="Google Sans Text" w:cs="Google Sans Text"/>
        </w:rPr>
        <w:t>。</w:t>
      </w:r>
    </w:p>
    <w:p w14:paraId="0000004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数据清洗与本体设计：</w:t>
      </w:r>
    </w:p>
    <w:p w14:paraId="0000004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利用正则表达式和NLP工具清洗文本中的噪声（如广告、无关链接）。</w:t>
      </w:r>
    </w:p>
    <w:p w14:paraId="00000049">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设计针对果树病虫害的本体模式（Schema），定义实体类型包括：Crop（作物）、Disease（病害）、Pest（虫害）、Symptom（症状）、Chemical（化学药剂）、Biocontrol（生物防治物）、Environment（环境条件）、Phenology（物候期）。</w:t>
      </w:r>
    </w:p>
    <w:p w14:paraId="0000004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定义关系类型包括：infects（侵染）、causes（导致）、treated_by（被...治疗）、preyed_on_by（被...捕食）、occurs_in（发生于...时期/环境）。</w:t>
      </w:r>
    </w:p>
    <w:p w14:paraId="0000004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(2) 基于LightRAG的图增强索引构建（Graph-Enhanced Indexing）</w:t>
      </w:r>
    </w:p>
    <w:p w14:paraId="0000004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利用LightRAG的核心算法，将非结构化的农业文本转化为结构化的索引。</w:t>
      </w:r>
    </w:p>
    <w:p w14:paraId="0000004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实体与关系抽取（Extraction）：</w:t>
      </w:r>
    </w:p>
    <w:p w14:paraId="0000004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调用大模型（如DeepSeek-V3或Qwen-2.5）作为抽取器，依据预定义的本体Schema，从文本块（Chunks）中自动抽取实体和关系。例如，从“金纹细蛾幼虫潜食叶肉，形成虫斑”中抽取 (金纹细蛾, 潜食, 叶肉) 和 (金纹细蛾, 造成, 虫斑)</w:t>
      </w:r>
      <w:r>
        <w:rPr>
          <w:rFonts w:ascii="Google Sans Text" w:hAnsi="Google Sans Text" w:eastAsia="Google Sans Text" w:cs="Google Sans Text"/>
          <w:vertAlign w:val="superscript"/>
        </w:rPr>
        <w:t>[5]</w:t>
      </w:r>
      <w:r>
        <w:rPr>
          <w:rFonts w:ascii="Google Sans Text" w:hAnsi="Google Sans Text" w:eastAsia="Google Sans Text" w:cs="Google Sans Text"/>
        </w:rPr>
        <w:t>。</w:t>
      </w:r>
    </w:p>
    <w:p w14:paraId="0000004F">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LLM Profiling（画像生成）：</w:t>
      </w:r>
    </w:p>
    <w:p w14:paraId="0000005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利用LLM为每个抽取的实体和关系生成一段精炼的摘要（Profile）。例如，对于实体“波尔多液”，系统将聚合所有文档中关于其配制方法、使用禁忌（如不能与石硫合剂混用）、适用病害的信息，生成一个全面的Key-Value对。这是LightRAG区别于传统知识图谱的关键，它保留了丰富的语义上下文。</w:t>
      </w:r>
    </w:p>
    <w:p w14:paraId="0000005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去重与融合（Deduplication）：</w:t>
      </w:r>
    </w:p>
    <w:p w14:paraId="0000005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实现实体对齐算法，解决农业术语中的同义词问题（如“轮纹病”又称“粗皮病”）。系统将识别同一实体的不同表述，并将其Profile进行合并，避免知识库冗余。</w:t>
      </w:r>
    </w:p>
    <w:p w14:paraId="0000005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(3) 双层检索与生成策略的设计（Dual-Level Retrieval &amp; Generation）</w:t>
      </w:r>
    </w:p>
    <w:p w14:paraId="0000005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针对果农不同层次的提问需求，设计差异化的检索策略。</w:t>
      </w:r>
    </w:p>
    <w:p w14:paraId="0000005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低层检索（Low-Level Retrieval）：</w:t>
      </w:r>
    </w:p>
    <w:p w14:paraId="0000005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场景：针对具体实体的事实性问题，如“阿维菌素能杀红蜘蛛吗？”。</w:t>
      </w:r>
    </w:p>
    <w:p w14:paraId="0000005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机制：提取Query中的具体实体关键词，直接在KV索引中查找对应实体的Profile及其一阶邻居关系，快速返回精准信息。</w:t>
      </w:r>
    </w:p>
    <w:p w14:paraId="0000005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高层检索（High-Level Retrieval）：</w:t>
      </w:r>
    </w:p>
    <w:p w14:paraId="00000059">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场景：针对跨实体的综合性问题，如“夏季高温多雨环境下，葡萄园有哪些主要病害风险及应对策略？”。</w:t>
      </w:r>
    </w:p>
    <w:p w14:paraId="0000005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机制：提取Query中的高层概念关键词，检索图谱中相关的关系类群（Relation Groups）和宏观摘要，聚合多个病害实体的信息，生成综述性建议。</w:t>
      </w:r>
    </w:p>
    <w:p w14:paraId="0000005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混合增强与防幻觉：</w:t>
      </w:r>
    </w:p>
    <w:p w14:paraId="0000005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引入Reranker模型（如BGE-Reranker）对检索回来的上下文进行二次排序，剔除相关性低的噪声。</w:t>
      </w:r>
    </w:p>
    <w:p w14:paraId="0000005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在生成阶段，通过System Prompt强制约束模型必须基于检索到的上下文回答，并标注信息来源（Citation），实现“有据可查”</w:t>
      </w:r>
      <w:r>
        <w:rPr>
          <w:rFonts w:ascii="Google Sans Text" w:hAnsi="Google Sans Text" w:eastAsia="Google Sans Text" w:cs="Google Sans Text"/>
          <w:vertAlign w:val="superscript"/>
        </w:rPr>
        <w:t>[13]</w:t>
      </w:r>
      <w:r>
        <w:rPr>
          <w:rFonts w:ascii="Google Sans Text" w:hAnsi="Google Sans Text" w:eastAsia="Google Sans Text" w:cs="Google Sans Text"/>
        </w:rPr>
        <w:t>。</w:t>
      </w:r>
    </w:p>
    <w:p w14:paraId="0000005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(4) 系统集成与原型实现</w:t>
      </w:r>
    </w:p>
    <w:p w14:paraId="0000005F">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后端：基于Python FastAPI框架开发RESTful API，集成LightRAG核心逻辑。</w:t>
      </w:r>
    </w:p>
    <w:p w14:paraId="0000006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存储层：</w:t>
      </w:r>
    </w:p>
    <w:p w14:paraId="0000006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Graph DB：使用Neo4j存储实体关系图谱，支持复杂的图查询（Cypher）</w:t>
      </w:r>
      <w:r>
        <w:rPr>
          <w:rFonts w:ascii="Google Sans Text" w:hAnsi="Google Sans Text" w:eastAsia="Google Sans Text" w:cs="Google Sans Text"/>
          <w:vertAlign w:val="superscript"/>
        </w:rPr>
        <w:t>[13]</w:t>
      </w:r>
      <w:r>
        <w:rPr>
          <w:rFonts w:ascii="Google Sans Text" w:hAnsi="Google Sans Text" w:eastAsia="Google Sans Text" w:cs="Google Sans Text"/>
        </w:rPr>
        <w:t>。</w:t>
      </w:r>
    </w:p>
    <w:p w14:paraId="0000006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Vector DB：使用Milvus或PostgreSQL (pgvector) 存储文本向量和实体向量。</w:t>
      </w:r>
    </w:p>
    <w:p w14:paraId="0000006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KV Store：使用Redis或MongoDB存储实体Profile和原始文本块。</w:t>
      </w:r>
    </w:p>
    <w:p w14:paraId="0000006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前端：开发Web交互界面，支持自然语言提问、历史对话管理，并提供知识图谱的可视化展示功能，让用户直观看到病虫害之间的关联。</w:t>
      </w:r>
    </w:p>
    <w:p w14:paraId="00000065">
      <w:pPr>
        <w:pBdr>
          <w:top w:val="none" w:color="auto" w:sz="0" w:space="0"/>
          <w:left w:val="none" w:color="auto" w:sz="0" w:space="0"/>
          <w:bottom w:val="none" w:color="auto" w:sz="0" w:space="0"/>
          <w:right w:val="none" w:color="auto" w:sz="0" w:space="0"/>
          <w:between w:val="none" w:color="auto" w:sz="0" w:space="0"/>
        </w:pBdr>
        <w:spacing w:after="24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2. 拟解决的主要问题</w:t>
      </w:r>
    </w:p>
    <w:p w14:paraId="0000006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(1) 农业垂直领域实体的精准抽取与歧义消除</w:t>
      </w:r>
    </w:p>
    <w:p w14:paraId="0000006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问题：农业术语专业性强，通用大模型容易出现识别错误。例如，将“波尔多”（地名）与“波尔多液”（农药）混淆；或者无法区分“轮纹病”在苹果和梨树上的不同表现。</w:t>
      </w:r>
    </w:p>
    <w:p w14:paraId="0000006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对策：采用Few-shot Learning（少样本学习）策略，在Prompt中植入高质量的农业实体抽取范例；利用农业本体库对抽取结果进行后处理校验，过滤不符合Schema的实体。</w:t>
      </w:r>
    </w:p>
    <w:p w14:paraId="00000069">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(2) 复杂推理场景下的检索全面性与效率平衡</w:t>
      </w:r>
    </w:p>
    <w:p w14:paraId="0000006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问题：传统的图检索（如GraphRAG）在回答宏观问题时需要遍历大量节点，导致响应极慢且Token消耗巨大；而Naive RAG又容易丢失全局信息。</w:t>
      </w:r>
    </w:p>
    <w:p w14:paraId="0000006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对策：充分利用LightRAG的双层检索机制，根据Query的语义复杂度动态路由检索策略。对于简单实体查询，直接走低层索引，实现毫秒级响应；对于复杂查询，走高层索引，在保证全面性的同时，通过预生成的Profile减少现场计算量。</w:t>
      </w:r>
    </w:p>
    <w:p w14:paraId="0000006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(3) 知识库的动态更新与时效性维持</w:t>
      </w:r>
    </w:p>
    <w:p w14:paraId="0000006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问题：病虫害发生情况随季节动态变化，新的抗药性数据和防治政策不断更新。静态的知识库很快会过时。</w:t>
      </w:r>
    </w:p>
    <w:p w14:paraId="0000006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对策：实现LightRAG的增量更新算法。设计自动化的数据管道，当有新的NATESC预报发布时，系统自动触发局部索引更新，仅处理新增内容并融合到现有图谱中，无需停机重构，确保回答的时效性。</w:t>
      </w:r>
    </w:p>
    <w:p w14:paraId="0000006F">
      <w:pPr>
        <w:pBdr>
          <w:top w:val="none" w:color="auto" w:sz="0" w:space="0"/>
          <w:left w:val="none" w:color="auto" w:sz="0" w:space="0"/>
          <w:bottom w:val="none" w:color="auto" w:sz="0" w:space="0"/>
          <w:right w:val="none" w:color="auto" w:sz="0" w:space="0"/>
          <w:between w:val="none" w:color="auto" w:sz="0" w:space="0"/>
        </w:pBdr>
        <w:spacing w:after="24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三、毕业设计(论文)研究方法、步骤及措施</w:t>
      </w:r>
    </w:p>
    <w:p w14:paraId="0000007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1. 研究方法</w:t>
      </w:r>
    </w:p>
    <w:p w14:paraId="0000007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文献研究与比较分析法：</w:t>
      </w:r>
    </w:p>
    <w:p w14:paraId="0000007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系统梳理国内外关于RAG、知识图谱及果树植保的文献。重点对比分析Naive RAG、GraphRAG与LightRAG在算法原理、计算复杂度及召回率上的差异，确立LightRAG在处理农业复杂关联知识上的理论优势。</w:t>
      </w:r>
    </w:p>
    <w:p w14:paraId="0000007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系统工程与模块化设计法：</w:t>
      </w:r>
    </w:p>
    <w:p w14:paraId="0000007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采用软件工程思想，将系统解耦为数据清洗、索引构建、检索服务、前端展示四个独立模块。遵循“高内聚、低耦合”原则，便于后期维护和功能扩展（如增加多模态支持）。</w:t>
      </w:r>
    </w:p>
    <w:p w14:paraId="0000007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实验验证与定量评估法：</w:t>
      </w:r>
    </w:p>
    <w:p w14:paraId="0000007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构建OrchardQA评测数据集，包含事实型、推理型、归纳型三类问题。使用RAGAS（RAG Assessment）框架进行自动化评测，量化指标包括上下文查准率（Context Precision）、回答忠实度（Faithfulness）和答案相关性（Answer Relevance）。</w:t>
      </w:r>
    </w:p>
    <w:p w14:paraId="0000007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专家反馈法：</w:t>
      </w:r>
    </w:p>
    <w:p w14:paraId="0000007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在知识图谱本体设计和最终系统测试阶段，邀请农学专业的师生或植保站专家进行试用和评估，收集主观反馈，优化系统的回答逻辑和专业性。</w:t>
      </w:r>
    </w:p>
    <w:p w14:paraId="00000079">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2. 研究步骤</w:t>
      </w:r>
    </w:p>
    <w:p w14:paraId="0000007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本毕业设计计划耗时16周，具体阶段划分如下：</w:t>
      </w:r>
    </w:p>
    <w:p w14:paraId="0000007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第一阶段：文献调研与环境搭建（第1-3周）</w:t>
      </w:r>
    </w:p>
    <w:p w14:paraId="0000007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任务：</w:t>
      </w:r>
    </w:p>
    <w:p w14:paraId="0000007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研读LightRAG论文及GitHub源码，理解其核心类LightRAG、QueryParam及存储接口的设计。</w:t>
      </w:r>
    </w:p>
    <w:p w14:paraId="0000007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调研果树病虫害权威数据源，确定采集清单。</w:t>
      </w:r>
    </w:p>
    <w:p w14:paraId="0000007F">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搭建开发环境：配置Python 3.10+、Docker、Neo4j、Milvus，申请DeepSeek或Qwen的API Key。</w:t>
      </w:r>
    </w:p>
    <w:p w14:paraId="0000008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产出：文献综述报告，技术选型说明书，开发环境部署完成。</w:t>
      </w:r>
    </w:p>
    <w:p w14:paraId="0000008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第二阶段：数据采集与知识图谱构建（第4-7周）</w:t>
      </w:r>
    </w:p>
    <w:p w14:paraId="0000008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任务：</w:t>
      </w:r>
    </w:p>
    <w:p w14:paraId="0000008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数据采集：爬取NATESC和中国农业信息网的文本数据；对《中国果树病虫原色图谱》进行OCR处理。</w:t>
      </w:r>
    </w:p>
    <w:p w14:paraId="0000008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数据清洗：编写Python脚本进行文本清洗、分段（Chunking）。</w:t>
      </w:r>
    </w:p>
    <w:p w14:paraId="0000008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图谱构建：配置LightRAG，自定义实体抽取Prompt，注入农业本体约束。运行索引构建程序，利用LLM抽取实体关系并生成Profile。将数据导入Neo4j，进行可视化验证，检查图谱的连通性和准确性。</w:t>
      </w:r>
    </w:p>
    <w:p w14:paraId="0000008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产出：结构化的果园病虫害数据集，初步生成的知识图谱文件，Neo4j可视化截图。</w:t>
      </w:r>
    </w:p>
    <w:p w14:paraId="0000008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第三阶段：系统核心功能开发（第8-11周）</w:t>
      </w:r>
    </w:p>
    <w:p w14:paraId="0000008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任务：</w:t>
      </w:r>
    </w:p>
    <w:p w14:paraId="00000089">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检索算法实现：基于LightRAG框架，实现local、global及hybrid多种检索模式的接口。</w:t>
      </w:r>
    </w:p>
    <w:p w14:paraId="0000008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后端API开发：使用FastAPI封装/query（问答）、/insert（数据录入）、/health（健康检查）等接口。</w:t>
      </w:r>
    </w:p>
    <w:p w14:paraId="0000008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增量更新测试：模拟新发布的病虫害预报数据，测试系统能否在不破坏原有结构的前提下完成知识更新。</w:t>
      </w:r>
    </w:p>
    <w:p w14:paraId="0000008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产出：完整的后端代码库，API接口文档（Swagger UI）。</w:t>
      </w:r>
    </w:p>
    <w:p w14:paraId="0000008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第四阶段：前端开发与系统集成（第12-13周）</w:t>
      </w:r>
    </w:p>
    <w:p w14:paraId="0000008E">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任务：</w:t>
      </w:r>
    </w:p>
    <w:p w14:paraId="0000008F">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开发Web前端（基于Streamlit或Vue.js），设计简洁友好的用户界面。</w:t>
      </w:r>
    </w:p>
    <w:p w14:paraId="00000090">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实现对话框、历史记录侧边栏、知识来源引用展示、图谱可视化组件。</w:t>
      </w:r>
    </w:p>
    <w:p w14:paraId="0000009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前后端联调，进行系统整体测试，修复Bug。</w:t>
      </w:r>
    </w:p>
    <w:p w14:paraId="00000092">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产出：可交互的系统原型，用户操作手册。</w:t>
      </w:r>
    </w:p>
    <w:p w14:paraId="00000093">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第五阶段：实验评测与论文撰写（第14-16周）</w:t>
      </w:r>
    </w:p>
    <w:p w14:paraId="00000094">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任务：</w:t>
      </w:r>
    </w:p>
    <w:p w14:paraId="00000095">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对比实验：在OrchardQA数据集上，对比本系统与Naive RAG、通用LLM（如ChatGPT）在不同问题类型上的表现，记录Token消耗和响应时间。</w:t>
      </w:r>
    </w:p>
    <w:p w14:paraId="00000096">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撰写论文：整理实验数据，绘制架构图、流程图和数据图表，撰写毕业设计论文。</w:t>
      </w:r>
    </w:p>
    <w:p w14:paraId="00000097">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答辩准备：制作PPT，录制系统演示视频，准备答辩稿。</w:t>
      </w:r>
    </w:p>
    <w:p w14:paraId="00000098">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产出：毕业论文终稿，答辩PPT，查重报告。</w:t>
      </w:r>
    </w:p>
    <w:p w14:paraId="00000099">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3. 具体措施</w:t>
      </w:r>
    </w:p>
    <w:p w14:paraId="0000009A">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技术保障：充分利用LightRAG开源社区资源，参考官方Examples（如examples/lightrag_api_openai_demo.py）进行二次开发。遇到LLM调用限制时，利用实验室服务器部署本地量化模型（如Qwen-32B-Int4）或使用API聚合服务。</w:t>
      </w:r>
    </w:p>
    <w:p w14:paraId="0000009B">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数据质量控制：在数据预处理阶段，建立“人工抽检”机制，确保OCR识别的农药名称准确无误。在图谱构建阶段，利用正则表达式对实体类型进行强校验（如化学药剂必须在农药登记库中存在）。</w:t>
      </w:r>
    </w:p>
    <w:p w14:paraId="0000009C">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跨学科合作：定期向指导老师汇报，并主动联系农学院同学，就病虫害分类体系和防治逻辑进行咨询，确保系统的“农味”纯正，避免外行指导内行。</w:t>
      </w:r>
    </w:p>
    <w:p w14:paraId="0000009D">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r>
        <w:rPr>
          <w:rFonts w:ascii="Google Sans Text" w:hAnsi="Google Sans Text" w:eastAsia="Google Sans Text" w:cs="Google Sans Text"/>
        </w:rPr>
        <w:t>项目管理：使用Git进行代码版本控制，每日提交代码；使用Notion或Trello管理任务进度，确保按时完成各阶段目标。</w:t>
      </w:r>
    </w:p>
    <w:p w14:paraId="0000009E">
      <w:pPr>
        <w:pBdr>
          <w:top w:val="none" w:color="auto" w:sz="0" w:space="0"/>
          <w:left w:val="none" w:color="auto" w:sz="0" w:space="0"/>
          <w:bottom w:val="none" w:color="auto" w:sz="0" w:space="0"/>
          <w:right w:val="none" w:color="auto" w:sz="0" w:space="0"/>
          <w:between w:val="none" w:color="auto" w:sz="0" w:space="0"/>
        </w:pBdr>
        <w:spacing w:after="24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主要参考文献</w:t>
      </w:r>
    </w:p>
    <w:p w14:paraId="0000009F">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bookmarkStart w:id="0" w:name="_GoBack"/>
      <w:r>
        <w:rPr>
          <w:rFonts w:ascii="Google Sans Text" w:hAnsi="Google Sans Text" w:eastAsia="Google Sans Text" w:cs="Google Sans Text"/>
        </w:rPr>
        <w:t>Wu H, Xie N, Wang X, et al. Crop GraphRAG: Pest and Disease Knowledge Base Q&amp;A System for Sustainable Crop Protection[J]. Frontiers in Plant Science, 2025, 16: 1696872.</w:t>
      </w:r>
    </w:p>
    <w:p w14:paraId="000000A0">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ascii="Google Sans Text" w:hAnsi="Google Sans Text" w:eastAsia="Google Sans Text" w:cs="Google Sans Text"/>
        </w:rPr>
        <w:t>Sapkota R, Shutske J, et al. Multi-Modal LLMs in Agriculture: A Comprehensive Review[J]. IEEE Transactions on Automation Science and Engineering, 2025.</w:t>
      </w:r>
    </w:p>
    <w:p w14:paraId="000000A1">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ascii="Google Sans Text" w:hAnsi="Google Sans Text" w:eastAsia="Google Sans Text" w:cs="Google Sans Text"/>
        </w:rPr>
        <w:t>Guo Z, Xia L, Yu Y, et al. LightRAG: Simple and Fast Retrieval-Augmented Generation[J]. arXiv preprint arXiv:2410.05779, 2024.</w:t>
      </w:r>
    </w:p>
    <w:p w14:paraId="000000A2">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hint="eastAsia" w:ascii="宋体" w:hAnsi="宋体" w:eastAsia="宋体" w:cs="宋体"/>
        </w:rPr>
        <w:t>陈明</w:t>
      </w:r>
      <w:r>
        <w:rPr>
          <w:rFonts w:ascii="Google Sans Text" w:hAnsi="Google Sans Text" w:eastAsia="Google Sans Text" w:cs="Google Sans Text"/>
        </w:rPr>
        <w:t xml:space="preserve">, </w:t>
      </w:r>
      <w:r>
        <w:rPr>
          <w:rFonts w:hint="eastAsia" w:ascii="宋体" w:hAnsi="宋体" w:eastAsia="宋体" w:cs="宋体"/>
        </w:rPr>
        <w:t>郭钦鸿</w:t>
      </w:r>
      <w:r>
        <w:rPr>
          <w:rFonts w:ascii="Google Sans Text" w:hAnsi="Google Sans Text" w:eastAsia="Google Sans Text" w:cs="Google Sans Text"/>
        </w:rPr>
        <w:t xml:space="preserve">, </w:t>
      </w:r>
      <w:r>
        <w:rPr>
          <w:rFonts w:hint="eastAsia" w:ascii="宋体" w:hAnsi="宋体" w:eastAsia="宋体" w:cs="宋体"/>
        </w:rPr>
        <w:t>吴桓宇</w:t>
      </w:r>
      <w:r>
        <w:rPr>
          <w:rFonts w:ascii="Google Sans Text" w:hAnsi="Google Sans Text" w:eastAsia="Google Sans Text" w:cs="Google Sans Text"/>
        </w:rPr>
        <w:t xml:space="preserve">. </w:t>
      </w:r>
      <w:r>
        <w:rPr>
          <w:rFonts w:hint="eastAsia" w:ascii="宋体" w:hAnsi="宋体" w:eastAsia="宋体" w:cs="宋体"/>
        </w:rPr>
        <w:t>基于大语言模型与知识图谱的水稻病虫害专家系统</w:t>
      </w:r>
      <w:r>
        <w:rPr>
          <w:rFonts w:ascii="Google Sans Text" w:hAnsi="Google Sans Text" w:eastAsia="Google Sans Text" w:cs="Google Sans Text"/>
        </w:rPr>
        <w:t xml:space="preserve">[J]. </w:t>
      </w:r>
      <w:r>
        <w:rPr>
          <w:rFonts w:hint="eastAsia" w:ascii="宋体" w:hAnsi="宋体" w:eastAsia="宋体" w:cs="宋体"/>
        </w:rPr>
        <w:t>农业工程学报</w:t>
      </w:r>
      <w:r>
        <w:rPr>
          <w:rFonts w:ascii="Google Sans Text" w:hAnsi="Google Sans Text" w:eastAsia="Google Sans Text" w:cs="Google Sans Text"/>
        </w:rPr>
        <w:t>, 2025, 41(22): 244-255.</w:t>
      </w:r>
    </w:p>
    <w:p w14:paraId="000000A3">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ascii="Google Sans Text" w:hAnsi="Google Sans Text" w:eastAsia="Google Sans Text" w:cs="Google Sans Text"/>
        </w:rPr>
        <w:t>Lan Y, Liu Z, Li Y, et al. A Visual Question Answering Model for Fruit Tree Disease Based on Multimodal Feature Fusion[J]. Frontiers in Plant Science, 2022, 13: 1064399.</w:t>
      </w:r>
    </w:p>
    <w:p w14:paraId="000000A4">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ascii="Google Sans Text" w:hAnsi="Google Sans Text" w:eastAsia="Google Sans Text" w:cs="Google Sans Text"/>
        </w:rPr>
        <w:t>Yan R, An P, Meng X, et al. A knowledge graph for crop diseases and pests in China[J]. Scientific Data, 2025, 12(1): 222.</w:t>
      </w:r>
    </w:p>
    <w:p w14:paraId="000000A5">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hint="eastAsia" w:ascii="宋体" w:hAnsi="宋体" w:eastAsia="宋体" w:cs="宋体"/>
        </w:rPr>
        <w:t>陈雷</w:t>
      </w:r>
      <w:r>
        <w:rPr>
          <w:rFonts w:ascii="Google Sans Text" w:hAnsi="Google Sans Text" w:eastAsia="Google Sans Text" w:cs="Google Sans Text"/>
        </w:rPr>
        <w:t xml:space="preserve">, </w:t>
      </w:r>
      <w:r>
        <w:rPr>
          <w:rFonts w:hint="eastAsia" w:ascii="宋体" w:hAnsi="宋体" w:eastAsia="宋体" w:cs="宋体"/>
        </w:rPr>
        <w:t>周娜</w:t>
      </w:r>
      <w:r>
        <w:rPr>
          <w:rFonts w:ascii="Google Sans Text" w:hAnsi="Google Sans Text" w:eastAsia="Google Sans Text" w:cs="Google Sans Text"/>
        </w:rPr>
        <w:t xml:space="preserve">, </w:t>
      </w:r>
      <w:r>
        <w:rPr>
          <w:rFonts w:hint="eastAsia" w:ascii="宋体" w:hAnsi="宋体" w:eastAsia="宋体" w:cs="宋体"/>
        </w:rPr>
        <w:t>朱芃璇</w:t>
      </w:r>
      <w:r>
        <w:rPr>
          <w:rFonts w:ascii="Google Sans Text" w:hAnsi="Google Sans Text" w:eastAsia="Google Sans Text" w:cs="Google Sans Text"/>
        </w:rPr>
        <w:t xml:space="preserve">, </w:t>
      </w:r>
      <w:r>
        <w:rPr>
          <w:rFonts w:hint="eastAsia" w:ascii="宋体" w:hAnsi="宋体" w:eastAsia="宋体" w:cs="宋体"/>
        </w:rPr>
        <w:t>等</w:t>
      </w:r>
      <w:r>
        <w:rPr>
          <w:rFonts w:ascii="Google Sans Text" w:hAnsi="Google Sans Text" w:eastAsia="Google Sans Text" w:cs="Google Sans Text"/>
        </w:rPr>
        <w:t xml:space="preserve">. </w:t>
      </w:r>
      <w:r>
        <w:rPr>
          <w:rFonts w:hint="eastAsia" w:ascii="宋体" w:hAnsi="宋体" w:eastAsia="宋体" w:cs="宋体"/>
        </w:rPr>
        <w:t>农业知识图谱构建数据集</w:t>
      </w:r>
      <w:r>
        <w:rPr>
          <w:rFonts w:ascii="Google Sans Text" w:hAnsi="Google Sans Text" w:eastAsia="Google Sans Text" w:cs="Google Sans Text"/>
        </w:rPr>
        <w:t xml:space="preserve">[J]. </w:t>
      </w:r>
      <w:r>
        <w:rPr>
          <w:rFonts w:hint="eastAsia" w:ascii="宋体" w:hAnsi="宋体" w:eastAsia="宋体" w:cs="宋体"/>
        </w:rPr>
        <w:t>农业大数据学报</w:t>
      </w:r>
      <w:r>
        <w:rPr>
          <w:rFonts w:ascii="Google Sans Text" w:hAnsi="Google Sans Text" w:eastAsia="Google Sans Text" w:cs="Google Sans Text"/>
        </w:rPr>
        <w:t>, 2024, 6(1): 1-8.</w:t>
      </w:r>
    </w:p>
    <w:p w14:paraId="000000A6">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ascii="Google Sans Text" w:hAnsi="Google Sans Text" w:eastAsia="Google Sans Text" w:cs="Google Sans Text"/>
        </w:rPr>
        <w:t>Yu H, Shen J, Bi C, et al. Intelligent diagnostic system for rice diseases and pests based on knowledge graph[J]. Journal of South China Agricultural University, 2022, 42(5): 105–116.</w:t>
      </w:r>
    </w:p>
    <w:p w14:paraId="000000A7">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ascii="Google Sans Text" w:hAnsi="Google Sans Text" w:eastAsia="Google Sans Text" w:cs="Google Sans Text"/>
        </w:rPr>
        <w:t>Edge D, Trinh H, Cheng N, et al. From local to global: A graph rag approach to query-focused summarization[J]. arXiv preprint arXiv:2404.16130, 2024.</w:t>
      </w:r>
    </w:p>
    <w:p w14:paraId="000000A8">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hint="eastAsia" w:ascii="宋体" w:hAnsi="宋体" w:eastAsia="宋体" w:cs="宋体"/>
        </w:rPr>
        <w:t>吕佩珂</w:t>
      </w:r>
      <w:r>
        <w:rPr>
          <w:rFonts w:ascii="Google Sans Text" w:hAnsi="Google Sans Text" w:eastAsia="Google Sans Text" w:cs="Google Sans Text"/>
        </w:rPr>
        <w:t xml:space="preserve">. </w:t>
      </w:r>
      <w:r>
        <w:rPr>
          <w:rFonts w:hint="eastAsia" w:ascii="宋体" w:hAnsi="宋体" w:eastAsia="宋体" w:cs="宋体"/>
        </w:rPr>
        <w:t>中国果树病虫原色图谱</w:t>
      </w:r>
      <w:r>
        <w:rPr>
          <w:rFonts w:ascii="Google Sans Text" w:hAnsi="Google Sans Text" w:eastAsia="Google Sans Text" w:cs="Google Sans Text"/>
        </w:rPr>
        <w:t xml:space="preserve">[M]. </w:t>
      </w:r>
      <w:r>
        <w:rPr>
          <w:rFonts w:hint="eastAsia" w:ascii="宋体" w:hAnsi="宋体" w:eastAsia="宋体" w:cs="宋体"/>
        </w:rPr>
        <w:t>北京</w:t>
      </w:r>
      <w:r>
        <w:rPr>
          <w:rFonts w:ascii="Google Sans Text" w:hAnsi="Google Sans Text" w:eastAsia="Google Sans Text" w:cs="Google Sans Text"/>
        </w:rPr>
        <w:t xml:space="preserve">: </w:t>
      </w:r>
      <w:r>
        <w:rPr>
          <w:rFonts w:hint="eastAsia" w:ascii="宋体" w:hAnsi="宋体" w:eastAsia="宋体" w:cs="宋体"/>
        </w:rPr>
        <w:t>华夏出版社</w:t>
      </w:r>
      <w:r>
        <w:rPr>
          <w:rFonts w:ascii="Google Sans Text" w:hAnsi="Google Sans Text" w:eastAsia="Google Sans Text" w:cs="Google Sans Text"/>
        </w:rPr>
        <w:t>, 1993.</w:t>
      </w:r>
    </w:p>
    <w:p w14:paraId="000000A9">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hint="eastAsia" w:ascii="宋体" w:hAnsi="宋体" w:eastAsia="宋体" w:cs="宋体"/>
        </w:rPr>
        <w:t>匡石滋</w:t>
      </w:r>
      <w:r>
        <w:rPr>
          <w:rFonts w:ascii="Google Sans Text" w:hAnsi="Google Sans Text" w:eastAsia="Google Sans Text" w:cs="Google Sans Text"/>
        </w:rPr>
        <w:t xml:space="preserve">. </w:t>
      </w:r>
      <w:r>
        <w:rPr>
          <w:rFonts w:hint="eastAsia" w:ascii="宋体" w:hAnsi="宋体" w:eastAsia="宋体" w:cs="宋体"/>
        </w:rPr>
        <w:t>南方果树病虫害防治手册</w:t>
      </w:r>
      <w:r>
        <w:rPr>
          <w:rFonts w:ascii="Google Sans Text" w:hAnsi="Google Sans Text" w:eastAsia="Google Sans Text" w:cs="Google Sans Text"/>
        </w:rPr>
        <w:t xml:space="preserve">[M]. </w:t>
      </w:r>
      <w:r>
        <w:rPr>
          <w:rFonts w:hint="eastAsia" w:ascii="宋体" w:hAnsi="宋体" w:eastAsia="宋体" w:cs="宋体"/>
        </w:rPr>
        <w:t>北京</w:t>
      </w:r>
      <w:r>
        <w:rPr>
          <w:rFonts w:ascii="Google Sans Text" w:hAnsi="Google Sans Text" w:eastAsia="Google Sans Text" w:cs="Google Sans Text"/>
        </w:rPr>
        <w:t xml:space="preserve">: </w:t>
      </w:r>
      <w:r>
        <w:rPr>
          <w:rFonts w:hint="eastAsia" w:ascii="宋体" w:hAnsi="宋体" w:eastAsia="宋体" w:cs="宋体"/>
        </w:rPr>
        <w:t>中国农业出版社</w:t>
      </w:r>
      <w:r>
        <w:rPr>
          <w:rFonts w:ascii="Google Sans Text" w:hAnsi="Google Sans Text" w:eastAsia="Google Sans Text" w:cs="Google Sans Text"/>
        </w:rPr>
        <w:t>, 2012.</w:t>
      </w:r>
    </w:p>
    <w:p w14:paraId="000000AA">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hint="eastAsia" w:ascii="宋体" w:hAnsi="宋体" w:eastAsia="宋体" w:cs="宋体"/>
        </w:rPr>
        <w:t>全国农业技术推广服务中心</w:t>
      </w:r>
      <w:r>
        <w:rPr>
          <w:rFonts w:ascii="Google Sans Text" w:hAnsi="Google Sans Text" w:eastAsia="Google Sans Text" w:cs="Google Sans Text"/>
        </w:rPr>
        <w:t>. 2024</w:t>
      </w:r>
      <w:r>
        <w:rPr>
          <w:rFonts w:hint="eastAsia" w:ascii="宋体" w:hAnsi="宋体" w:eastAsia="宋体" w:cs="宋体"/>
        </w:rPr>
        <w:t>年苹果病虫害防控技术方案</w:t>
      </w:r>
      <w:r>
        <w:rPr>
          <w:rFonts w:ascii="Google Sans Text" w:hAnsi="Google Sans Text" w:eastAsia="Google Sans Text" w:cs="Google Sans Text"/>
        </w:rPr>
        <w:t>[EB/OL]. https://www.natesc.org.cn/News/des?kind=&amp;id=9c9b4dfc-2619-477f-aec1-6e756c856e91&amp;CategoryId=11a63552-05c9-475e-a504-0392e64ead0b, 2024-03-21.</w:t>
      </w:r>
    </w:p>
    <w:p w14:paraId="000000AB">
      <w:pPr>
        <w:pStyle w:val="13"/>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firstLineChars="0"/>
        <w:rPr>
          <w:rFonts w:ascii="Google Sans Text" w:hAnsi="Google Sans Text" w:eastAsia="Google Sans Text" w:cs="Google Sans Text"/>
        </w:rPr>
      </w:pPr>
      <w:r>
        <w:rPr>
          <w:rFonts w:ascii="Google Sans Text" w:hAnsi="Google Sans Text" w:eastAsia="Google Sans Text" w:cs="Google Sans Text"/>
        </w:rPr>
        <w:t>Lewis P, Perez E, Piktus A, et al. Retrieval-Augmented Generation for Knowledge-Intensive NLP Tasks[C]//Proceedings of NeurIPS. 2020: 9459-9474.</w:t>
      </w:r>
    </w:p>
    <w:bookmarkEnd w:id="0"/>
    <w:p w14:paraId="000000B1">
      <w:pPr>
        <w:pBdr>
          <w:top w:val="none" w:color="auto" w:sz="0" w:space="0"/>
          <w:left w:val="none" w:color="auto" w:sz="0" w:space="0"/>
          <w:bottom w:val="none" w:color="auto" w:sz="0" w:space="0"/>
          <w:right w:val="none" w:color="auto" w:sz="0" w:space="0"/>
          <w:between w:val="none" w:color="auto" w:sz="0" w:space="0"/>
        </w:pBdr>
        <w:spacing w:line="275" w:lineRule="auto"/>
        <w:rPr>
          <w:rFonts w:ascii="Google Sans Text" w:hAnsi="Google Sans Text" w:eastAsia="Google Sans Text" w:cs="Google Sans Text"/>
        </w:rPr>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FB268C06-478F-4BF1-9FF7-D159C0FA4B63}"/>
  </w:font>
  <w:font w:name="Arial">
    <w:panose1 w:val="020B0604020202020204"/>
    <w:charset w:val="01"/>
    <w:family w:val="swiss"/>
    <w:pitch w:val="default"/>
    <w:sig w:usb0="E0002EFF" w:usb1="C000785B" w:usb2="00000009" w:usb3="00000000" w:csb0="400001FF" w:csb1="FFFF0000"/>
    <w:embedRegular r:id="rId2" w:fontKey="{A6442E60-FA60-41BC-9B79-FF2101E1C648}"/>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EC73485D-8D9A-4827-99AF-5993D4951C1E}"/>
  </w:font>
  <w:font w:name="Symbol">
    <w:panose1 w:val="05050102010706020507"/>
    <w:charset w:val="02"/>
    <w:family w:val="roman"/>
    <w:pitch w:val="default"/>
    <w:sig w:usb0="00000000" w:usb1="00000000" w:usb2="00000000" w:usb3="00000000" w:csb0="80000000" w:csb1="00000000"/>
    <w:embedRegular r:id="rId4" w:fontKey="{B8574C6E-3D8C-4D14-85E1-077888F325D1}"/>
  </w:font>
  <w:font w:name="Calibri">
    <w:panose1 w:val="020F0502020204030204"/>
    <w:charset w:val="00"/>
    <w:family w:val="swiss"/>
    <w:pitch w:val="default"/>
    <w:sig w:usb0="E4002EFF" w:usb1="C200247B" w:usb2="00000009" w:usb3="00000000" w:csb0="200001FF" w:csb1="00000000"/>
    <w:embedRegular r:id="rId5" w:fontKey="{A3D01E29-2DA9-417D-8272-539AAA78C61A}"/>
  </w:font>
  <w:font w:name="Arial">
    <w:panose1 w:val="020B0604020202020204"/>
    <w:charset w:val="00"/>
    <w:family w:val="swiss"/>
    <w:pitch w:val="default"/>
    <w:sig w:usb0="E0002EFF" w:usb1="C000785B" w:usb2="00000009" w:usb3="00000000" w:csb0="400001FF" w:csb1="FFFF0000"/>
    <w:embedRegular r:id="rId6" w:fontKey="{4D471B43-EC10-4ACA-9090-353BFCD70589}"/>
  </w:font>
  <w:font w:name="Georgia">
    <w:panose1 w:val="02040502050405020303"/>
    <w:charset w:val="00"/>
    <w:family w:val="roman"/>
    <w:pitch w:val="default"/>
    <w:sig w:usb0="00000287" w:usb1="00000000" w:usb2="00000000" w:usb3="00000000" w:csb0="2000009F" w:csb1="00000000"/>
    <w:embedRegular r:id="rId7" w:fontKey="{A9E2757A-D23E-4825-8B53-EE9140E4CA3E}"/>
  </w:font>
  <w:font w:name="Google Sans Text">
    <w:altName w:val="JetBrainsMono NFM"/>
    <w:panose1 w:val="00000000000000000000"/>
    <w:charset w:val="00"/>
    <w:family w:val="auto"/>
    <w:pitch w:val="default"/>
    <w:sig w:usb0="00000000" w:usb1="00000000" w:usb2="00000000" w:usb3="00000000" w:csb0="00000000" w:csb1="00000000"/>
    <w:embedRegular r:id="rId8" w:fontKey="{596D1E9D-6723-4C0D-A70C-1044E9B5F111}"/>
  </w:font>
  <w:font w:name="JetBrainsMono NFM">
    <w:panose1 w:val="02000009000000000000"/>
    <w:charset w:val="00"/>
    <w:family w:val="auto"/>
    <w:pitch w:val="default"/>
    <w:sig w:usb0="A00402FF" w:usb1="1200F9FB" w:usb2="0200003C" w:usb3="00000000" w:csb0="2000019F" w:csb1="DFD70000"/>
    <w:embedRegular r:id="rId9" w:fontKey="{D39C1FE2-2050-4658-A854-C34D3078E99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8F2111"/>
    <w:multiLevelType w:val="multilevel"/>
    <w:tmpl w:val="678F2111"/>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3EC"/>
    <w:rsid w:val="003F1FF4"/>
    <w:rsid w:val="006333EC"/>
    <w:rsid w:val="008E34B9"/>
    <w:rsid w:val="14477178"/>
    <w:rsid w:val="7B330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cs="Arial" w:eastAsiaTheme="minorEastAsia"/>
      <w:sz w:val="22"/>
      <w:szCs w:val="22"/>
      <w:lang w:val="en-US" w:eastAsia="zh-C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240" w:after="240"/>
      <w:outlineLvl w:val="0"/>
    </w:pPr>
    <w:rPr>
      <w:b/>
      <w:bCs/>
      <w:sz w:val="48"/>
      <w:szCs w:val="48"/>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225" w:after="225"/>
      <w:outlineLvl w:val="1"/>
    </w:pPr>
    <w:rPr>
      <w:b/>
      <w:bCs/>
      <w:sz w:val="36"/>
      <w:szCs w:val="3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240" w:after="240"/>
      <w:outlineLvl w:val="2"/>
    </w:pPr>
    <w:rPr>
      <w:b/>
      <w:bCs/>
      <w:sz w:val="28"/>
      <w:szCs w:val="28"/>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255" w:after="255"/>
      <w:outlineLvl w:val="3"/>
    </w:pPr>
    <w:rPr>
      <w:b/>
      <w:bCs/>
      <w:sz w:val="24"/>
      <w:szCs w:val="24"/>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255" w:after="255"/>
      <w:outlineLvl w:val="4"/>
    </w:pPr>
    <w:rPr>
      <w:b/>
      <w:bCs/>
      <w:sz w:val="18"/>
      <w:szCs w:val="18"/>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360" w:after="360"/>
      <w:outlineLvl w:val="5"/>
    </w:pPr>
    <w:rPr>
      <w:b/>
      <w:bCs/>
      <w:sz w:val="16"/>
      <w:szCs w:val="16"/>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8">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9">
    <w:name w:val="Title"/>
    <w:basedOn w:val="1"/>
    <w:next w:val="1"/>
    <w:qFormat/>
    <w:uiPriority w:val="10"/>
    <w:pPr>
      <w:keepNext/>
      <w:keepLines/>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3670</Words>
  <Characters>4246</Characters>
  <Lines>71</Lines>
  <Paragraphs>20</Paragraphs>
  <TotalTime>5</TotalTime>
  <ScaleCrop>false</ScaleCrop>
  <LinksUpToDate>false</LinksUpToDate>
  <CharactersWithSpaces>4279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2026-01-10T16:05:00Z</dcterms:created>
  <dc:creator>zeng</dc:creator>
  <cp:lastModifiedBy>谕构装糯</cp:lastModifiedBy>
  <dcterms:modified xsi:type="dcterms:W3CDTF">2026-01-10T16:26:03Z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eyJoZGlkIjoiNzFiZjNkMTdkZWNiODAzZWNlOWI4MjBhYjgwZTJhZTMiLCJ1c2VySWQiOiIxNzg4NzkzMjg2In0=</vt:lpwstr>
  </property>
  <property fmtid="{D5CDD505-2E9C-101B-9397-08002B2CF9AE}" pid="3" name="KSOProductBuildVer">
    <vt:lpwstr>2052-12.1.0.24034</vt:lpwstr>
  </property>
  <property fmtid="{D5CDD505-2E9C-101B-9397-08002B2CF9AE}" pid="4" name="ICV">
    <vt:lpwstr>CE6697287BAD41BAA7EE1FAF34B9BA8C_12</vt:lpwstr>
  </property>
</Properties>
</file>