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to: Quantifying Systematic Bias in Observational Causal Estimates Using Negative Controls: The Bias Fraction</w:t>
      </w:r>
    </w:p>
    <w:p>
      <w:pPr>
        <w:pStyle w:val="Author"/>
      </w:pPr>
      <w:r>
        <w:t xml:space="preserve">Zeng Zhechun, MD, MPH</w:t>
      </w:r>
    </w:p>
    <w:p>
      <w:pPr>
        <w:pStyle w:val="Author"/>
      </w:pPr>
      <w:r>
        <w:t xml:space="preserve">Wang Jinwen, MD, PhD</w:t>
      </w:r>
    </w:p>
    <w:p>
      <w:pPr>
        <w:pStyle w:val="Author"/>
      </w:pPr>
      <w:r>
        <w:t xml:space="preserve">Zuo Huijuan, MD, MPH</w:t>
      </w:r>
    </w:p>
    <w:p>
      <w:pPr>
        <w:pStyle w:val="Author"/>
      </w:pPr>
      <w:r>
        <w:t xml:space="preserve">Shu Lixia, PhD</w:t>
      </w:r>
    </w:p>
    <w:p>
      <w:pPr>
        <w:pStyle w:val="Date"/>
      </w:pPr>
      <w:r>
        <w:t xml:space="preserve">2026-08-16</w:t>
      </w:r>
    </w:p>
    <w:bookmarkStart w:id="17" w:name="eappendix-1.-detailed-methods"/>
    <w:p>
      <w:pPr>
        <w:pStyle w:val="Heading1"/>
      </w:pPr>
      <w:r>
        <w:t xml:space="preserve">eAppendix 1. Detailed Methods</w:t>
      </w:r>
    </w:p>
    <w:bookmarkStart w:id="9" w:name="notation-and-setting"/>
    <w:p>
      <w:pPr>
        <w:pStyle w:val="Heading2"/>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SuperLearner-based nuisance function estimation), we obtain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In addition to the primary outcome</w:t>
      </w:r>
      <w:r>
        <w:t xml:space="preserve"> </w:t>
      </w:r>
      <m:oMath>
        <m:r>
          <m:t>Y</m:t>
        </m:r>
      </m:oMath>
      <w:r>
        <w:t xml:space="preserve">, the investigator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negative control</w:t>
      </w:r>
      <w:r>
        <w:t xml:space="preserve"> </w:t>
      </w:r>
      <m:oMath>
        <m:sSub>
          <m:e>
            <m:r>
              <m:t>N</m:t>
            </m:r>
          </m:e>
          <m:sub>
            <m:r>
              <m:t>k</m:t>
            </m:r>
          </m:sub>
        </m:sSub>
      </m:oMath>
      <w:r>
        <w:t xml:space="preserve"> </w:t>
      </w:r>
      <w:r>
        <w:t xml:space="preserve">shares the confounding structure of</w:t>
      </w:r>
      <w:r>
        <w:t xml:space="preserve"> </w:t>
      </w:r>
      <m:oMath>
        <m:r>
          <m:t>Y</m:t>
        </m:r>
      </m:oMath>
      <w:r>
        <w:t xml:space="preserve">, meaning the same set of unmeasured confounders affects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 treatment</w:t>
      </w:r>
      <w:r>
        <w:t xml:space="preserve"> </w:t>
      </w:r>
      <m:oMath>
        <m:r>
          <m:t>A</m:t>
        </m:r>
      </m:oMath>
      <w:r>
        <w:t xml:space="preserve">. For each control, the same estimator</w:t>
      </w:r>
      <w:r>
        <w:t xml:space="preserve"> </w:t>
      </w:r>
      <m:oMath>
        <m:acc>
          <m:accPr>
            <m:chr m:val="̂"/>
          </m:accPr>
          <m:e>
            <m:r>
              <m:t>ψ</m:t>
            </m:r>
          </m:e>
        </m:acc>
      </m:oMath>
      <w:r>
        <w:t xml:space="preserve"> </w:t>
      </w:r>
      <w:r>
        <w:t xml:space="preserve">is applied to obtain</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along with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w:t>
      </w:r>
      <w:r>
        <w:t xml:space="preserve">(also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distinguish this assumption from the standard causal exchangeability assumption (no unmeasured confounding); the two are related but distinct. Under bias exchangeability, the negative controls form a sample from the bias-generating process, allowing empirical estimation of the bias distribution. This assumption, like the no-unmeasured-confounding assumption it is meant to diagnose, cannot be directly verified from the data; its plausibility must be assessed through domain knowledge and sensitivity analyses.</w:t>
      </w:r>
    </w:p>
    <w:bookmarkEnd w:id="9"/>
    <w:bookmarkStart w:id="10" w:name="definition-of-the-credibility-metric"/>
    <w:p>
      <w:pPr>
        <w:pStyle w:val="Heading2"/>
      </w:pPr>
      <w:r>
        <w:t xml:space="preserve">Definition of the credibility metric</w:t>
      </w:r>
    </w:p>
    <w:p>
      <w:pPr>
        <w:pStyle w:val="FirstParagraph"/>
      </w:pPr>
      <w:r>
        <w:t xml:space="preserve">Let</w:t>
      </w:r>
      <w:r>
        <w:t xml:space="preserve"> </w:t>
      </w:r>
      <m:oMath>
        <m:sSub>
          <m:e>
            <m:r>
              <m:t>μ</m:t>
            </m:r>
          </m:e>
          <m:sub>
            <m:r>
              <m:t>B</m:t>
            </m:r>
          </m:sub>
        </m:sSub>
      </m:oMath>
      <w:r>
        <w:t xml:space="preserve"> </w:t>
      </w:r>
      <w:r>
        <w:t xml:space="preserve">denote the mean systematic bias. Under the bias exchangeability assumption,</w:t>
      </w:r>
      <w:r>
        <w:t xml:space="preserve"> </w:t>
      </w:r>
      <m:oMath>
        <m:sSub>
          <m:e>
            <m:r>
              <m:t>μ</m:t>
            </m:r>
          </m:e>
          <m:sub>
            <m:r>
              <m:t>B</m:t>
            </m:r>
          </m:sub>
        </m:sSub>
      </m:oMath>
      <w:r>
        <w:t xml:space="preserve"> </w:t>
      </w:r>
      <w:r>
        <w:t xml:space="preserve">can be estimated from the negative controls:</w:t>
      </w:r>
      <w:r>
        <w:t xml:space="preserve"> </w:t>
      </w:r>
      <m:oMath>
        <m:sSub>
          <m:e>
            <m:acc>
              <m:accPr>
                <m:chr m:val="̂"/>
              </m:accPr>
              <m:e>
                <m:r>
                  <m:t>μ</m:t>
                </m:r>
              </m:e>
            </m:acc>
          </m:e>
          <m:sub>
            <m:r>
              <m:t>B</m:t>
            </m:r>
          </m:sub>
        </m:sSub>
      </m:oMath>
      <w:r>
        <w:t xml:space="preserve"> </w:t>
      </w:r>
      <w:r>
        <w:t xml:space="preserve">is obtained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oMath>
      </m:oMathPara>
    </w:p>
    <w:p>
      <w:pPr>
        <w:pStyle w:val="FirstParagraph"/>
      </w:pPr>
      <w:r>
        <w:t xml:space="preserve">BF is the share of the total calibrated signal, bias plus residual effect, attributable to systematic bias. It lies in [0,1] by construction; BF = 1 when the calibrated estimate is exactly zero, and BF = 0 when no systematic bias is estimated. The value 0.5 marks equal contributions of bias and residual effect; 1/3 marks a residual effect twice the bias.</w:t>
      </w:r>
    </w:p>
    <w:p>
      <w:pPr>
        <w:pStyle w:val="BodyText"/>
      </w:pPr>
      <w:r>
        <w:rPr>
          <w:b/>
          <w:bCs/>
        </w:rPr>
        <w:t xml:space="preserve">Rationale for the bounded form.</w:t>
      </w:r>
      <w:r>
        <w:t xml:space="preserve"> </w:t>
      </w:r>
      <w:r>
        <w:t xml:space="preserve">The ratio form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because, on the log relative risk scale, it is scale-invariant and directly captures the question of interest: of the signal that survives calibration, how much is bias? The specific choice of denominator, total calibrated signal rather than the residual effect alone, makes the metric bounded. 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carries the same information through</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the bounded scale avoids the ratio’s instability when the denominator approaches zero and removes the need for special handling of infinite values at the null. We report BER as an auxiliary display.</w:t>
      </w:r>
    </w:p>
    <w:p>
      <w:pPr>
        <w:pStyle w:val="BodyText"/>
      </w:pPr>
      <w:r>
        <w:rPr>
          <w:b/>
          <w:bCs/>
        </w:rPr>
        <w:t xml:space="preserve">Observed bias fraction.</w:t>
      </w:r>
      <w:r>
        <w:t xml:space="preserve"> </w:t>
      </w:r>
      <w:r>
        <w:t xml:space="preserve">A companion quantity, the observed bias fraction (OBF), divides the estimated bias by the uncalibrated estimate:</w:t>
      </w:r>
      <w:r>
        <w:t xml:space="preserve"> </w:t>
      </w:r>
      <m:oMath>
        <m:r>
          <m:rPr>
            <m:sty m:val="p"/>
          </m:rPr>
          <m:t>O</m:t>
        </m:r>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OBF answers</w:t>
      </w:r>
      <w:r>
        <w:t xml:space="preserve"> </w:t>
      </w:r>
      <w:r>
        <w:t xml:space="preserve">“of the association as estimated before calibration, what share is bias?”</w:t>
      </w:r>
      <w:r>
        <w:t xml:space="preserve"> </w:t>
      </w:r>
      <w:r>
        <w:t xml:space="preserve">In the beta-blocker analysis OBF = 1.03: the estimated bias is comparable to the entire observed association. In the GDMT analysis OBF = 0.44. OBF is descriptive and unbounded; all classifications use BF.</w:t>
      </w:r>
    </w:p>
    <w:p>
      <w:pPr>
        <w:pStyle w:val="BodyText"/>
      </w:pPr>
      <w:r>
        <w:t xml:space="preserve">The metric is computed directly from quantities already produced by the OHDSI empirical calibration pipeline</w:t>
      </w:r>
      <w:r>
        <w:rPr>
          <w:vertAlign w:val="superscript"/>
        </w:rPr>
        <w:t xml:space="preserve">1,2</w:t>
      </w:r>
      <w:r>
        <w:t xml:space="preserve"> </w:t>
      </w:r>
      <w:r>
        <w:t xml:space="preserve">using the EmpiricalCalibration R package, and therefore requires no additional data beyond the negative control estimates and the primary estimate.</w:t>
      </w:r>
    </w:p>
    <w:bookmarkEnd w:id="10"/>
    <w:bookmarkStart w:id="11" w:name="confidence-interval-for-bf"/>
    <w:p>
      <w:pPr>
        <w:pStyle w:val="Heading2"/>
      </w:pPr>
      <w:r>
        <w:t xml:space="preserve">Confidence interval for BF</w:t>
      </w:r>
    </w:p>
    <w:p>
      <w:pPr>
        <w:pStyle w:val="FirstParagraph"/>
      </w:pPr>
      <w:r>
        <w:t xml:space="preserve">A 95% confidence interval for BF is constructed through nonparametric bootstrap with</w:t>
      </w:r>
      <w:r>
        <w:t xml:space="preserve"> </w:t>
      </w:r>
      <m:oMath>
        <m:r>
          <m:t>B</m:t>
        </m:r>
        <m:r>
          <m:rPr>
            <m:sty m:val="p"/>
          </m:rPr>
          <m:t>=</m:t>
        </m:r>
        <m:r>
          <m:t>2000</m:t>
        </m:r>
      </m:oMath>
      <w:r>
        <w:t xml:space="preserve"> </w:t>
      </w:r>
      <w:r>
        <w:t xml:space="preserve">resamples, as follows. For each iteration</w:t>
      </w:r>
      <w:r>
        <w:t xml:space="preserve"> </w:t>
      </w:r>
      <m:oMath>
        <m:r>
          <m:t>b</m:t>
        </m:r>
        <m:r>
          <m:rPr>
            <m:sty m:val="p"/>
          </m:rPr>
          <m:t>=</m:t>
        </m:r>
        <m:r>
          <m:t>1</m:t>
        </m:r>
        <m:r>
          <m:rPr>
            <m:sty m:val="p"/>
          </m:rPr>
          <m:t>,</m:t>
        </m:r>
        <m:r>
          <m:rPr>
            <m:sty m:val="p"/>
          </m:rPr>
          <m:t>…</m:t>
        </m:r>
        <m:r>
          <m:rPr>
            <m:sty m:val="p"/>
          </m:rPr>
          <m:t>,</m:t>
        </m:r>
        <m:r>
          <m:t>B</m:t>
        </m:r>
      </m:oMath>
      <w:r>
        <w:t xml:space="preserve">: (1) resample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 the bias-corrected estimate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w:t>
      </w:r>
      <w:r>
        <w:t xml:space="preserve"> </w:t>
      </w:r>
      <m:oMath>
        <m:sSub>
          <m:e>
            <m:acc>
              <m:accPr>
                <m:chr m:val="̂"/>
              </m:accPr>
              <m:e>
                <m:r>
                  <m:t>ψ</m:t>
                </m:r>
              </m:e>
            </m:acc>
          </m:e>
          <m:sub>
            <m:r>
              <m:rPr>
                <m:nor/>
                <m:sty m:val="p"/>
              </m:rPr>
              <m:t>obs</m:t>
            </m:r>
          </m:sub>
        </m:sSub>
      </m:oMath>
      <w:r>
        <w:t xml:space="preserve"> </w:t>
      </w:r>
      <w:r>
        <w:t xml:space="preserve">fixed; (4) 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95% CI is the 2.5th and 97.5th percentiles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equivalently, it is the percentile CI of BER on the log scale, transformed to BF. The point estimate is the bootstrap median on the logit scale, back-transformed, so the point estimate and the CI come from the same distribution. Iterations where the empirical null fit fails are set to NA rather than silently substituted. In rare resamples where the estimated mean bias is exactly zero, the log ratio is floored at</w:t>
      </w:r>
      <w:r>
        <w:t xml:space="preserve"> </w:t>
      </w:r>
      <m:oMath>
        <m:sSup>
          <m:e>
            <m:r>
              <m:t>10</m:t>
            </m:r>
          </m:e>
          <m:sup>
            <m:r>
              <m:rPr>
                <m:sty m:val="p"/>
              </m:rPr>
              <m:t>−</m:t>
            </m:r>
            <m:r>
              <m:t>4</m:t>
            </m:r>
          </m:sup>
        </m:sSup>
      </m:oMath>
      <w:r>
        <w:t xml:space="preserve"> </w:t>
      </w:r>
      <w:r>
        <w:t xml:space="preserve">before the log transform (the logarithm of zero being undefined); the floor sits far below any practically relevant ratio value and leaves the reported intervals unchanged. The bootstrap resamples only the negative controls because the dominant source of uncertainty for BF is the estimation of</w:t>
      </w:r>
      <w:r>
        <w:t xml:space="preserve"> </w:t>
      </w:r>
      <m:oMath>
        <m:sSub>
          <m:e>
            <m:r>
              <m:t>μ</m:t>
            </m:r>
          </m:e>
          <m:sub>
            <m:r>
              <m:t>B</m:t>
            </m:r>
          </m:sub>
        </m:sSub>
      </m:oMath>
      <w:r>
        <w:t xml:space="preserve"> </w:t>
      </w:r>
      <w:r>
        <w:t xml:space="preserve">from a finite set of negative controls. As an alternative, Fieller’s theorem provides a closed-form confidence set for the underlying ratio that may offer better coverage when the denominator is near zero</w:t>
      </w:r>
      <w:r>
        <w:rPr>
          <w:vertAlign w:val="superscript"/>
        </w:rPr>
        <w:t xml:space="preserve">3</w:t>
      </w:r>
      <w:r>
        <w:t xml:space="preserve">.</w:t>
      </w:r>
    </w:p>
    <w:bookmarkEnd w:id="11"/>
    <w:bookmarkStart w:id="12" w:name="fieller-confidence-sets"/>
    <w:p>
      <w:pPr>
        <w:pStyle w:val="Heading2"/>
      </w:pPr>
      <w:r>
        <w:t xml:space="preserve">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Fieller set at level</w:t>
      </w:r>
      <w:r>
        <w:t xml:space="preserve"> </w:t>
      </w:r>
      <m:oMath>
        <m:r>
          <m:t>1</m:t>
        </m:r>
        <m:r>
          <m:rPr>
            <m:sty m:val="p"/>
          </m:rPr>
          <m:t>−</m:t>
        </m:r>
        <m:r>
          <m:t>α</m:t>
        </m:r>
      </m:oMath>
      <w:r>
        <w:t xml:space="preserve"> </w:t>
      </w:r>
      <w:r>
        <w:t xml:space="preserve">contains all</w:t>
      </w:r>
      <w:r>
        <w:t xml:space="preserve"> </w:t>
      </w:r>
      <m:oMath>
        <m:r>
          <m:t>ρ</m:t>
        </m:r>
      </m:oMath>
      <w:r>
        <w:t xml:space="preserve"> </w:t>
      </w:r>
      <w:r>
        <w:t xml:space="preserve">satisfying</w:t>
      </w:r>
      <w:r>
        <w:t xml:space="preserve"> </w:t>
      </w: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oMath>
      <w:r>
        <w:rPr>
          <w:vertAlign w:val="superscript"/>
        </w:rPr>
        <w:t xml:space="preserve">3</w:t>
      </w:r>
      <w:r>
        <w:t xml:space="preserv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BodyText"/>
      </w:pPr>
      <w:r>
        <w:t xml:space="preserve">For the beta-blocker analysis the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so the ratio is poorly identified in the frequentist sense; the bootstrap CI on BF nevertheless lies entirely above 0.5, and the zone assignment is unaffected. For GDMT the set was interior, [0.42, 1.8], straddling 1, consistent with the mixed classification. When the calibrated estimate is near zero, no interval method can pin down the ratio; readers should rely on the zone assignment from the BF bootstrap CI and on the calibrated p-value.</w:t>
      </w:r>
    </w:p>
    <w:p>
      <w:pPr>
        <w:pStyle w:val="BodyText"/>
      </w:pPr>
      <w:r>
        <w:t xml:space="preserve">The exterior Fieller set for the beta-blocker analysis admits signed ratios with</w:t>
      </w:r>
      <w:r>
        <w:t xml:space="preserve"> </w:t>
      </w:r>
      <m:oMath>
        <m:r>
          <m:rPr>
            <m:sty m:val="p"/>
          </m:rPr>
          <m:t>|</m:t>
        </m:r>
        <m:r>
          <m:t>ρ</m:t>
        </m:r>
        <m:r>
          <m:rPr>
            <m:sty m:val="p"/>
          </m:rPr>
          <m:t>|</m:t>
        </m:r>
        <m:r>
          <m:rPr>
            <m:sty m:val="p"/>
          </m:rPr>
          <m:t>≥</m:t>
        </m:r>
        <m:r>
          <m:t>1.45</m:t>
        </m:r>
      </m:oMath>
      <w:r>
        <w:t xml:space="preserve">, corresponding to</w:t>
      </w:r>
      <w:r>
        <w:t xml:space="preserve"> </w:t>
      </w:r>
      <m:oMath>
        <m:r>
          <m:rPr>
            <m:sty m:val="p"/>
          </m:rPr>
          <m:t>B</m:t>
        </m:r>
        <m:r>
          <m:rPr>
            <m:sty m:val="p"/>
          </m:rPr>
          <m:t>F</m:t>
        </m:r>
        <m:r>
          <m:rPr>
            <m:sty m:val="p"/>
          </m:rPr>
          <m:t>≥</m:t>
        </m:r>
        <m:r>
          <m:t>0.59</m:t>
        </m:r>
      </m:oMath>
      <w:r>
        <w:t xml:space="preserve"> </w:t>
      </w:r>
      <w:r>
        <w:t xml:space="preserve">— a weaker restriction than the bootstrap lower bound of 0.74 — because</w:t>
      </w:r>
      <w:r>
        <w:t xml:space="preserve"> </w:t>
      </w:r>
      <m:oMath>
        <m:sSub>
          <m:e>
            <m:r>
              <m:t>v</m:t>
            </m:r>
          </m:e>
          <m:sub>
            <m:r>
              <m:t>11</m:t>
            </m:r>
          </m:sub>
        </m:sSub>
      </m:oMath>
      <w:r>
        <w:t xml:space="preserve"> </w:t>
      </w:r>
      <w:r>
        <w:t xml:space="preserve">enters the Fieller quadratic as the bootstrap variance of</w:t>
      </w:r>
      <w:r>
        <w:t xml:space="preserve"> </w:t>
      </w:r>
      <m:oMath>
        <m:sSub>
          <m:e>
            <m:acc>
              <m:accPr>
                <m:chr m:val="̂"/>
              </m:accPr>
              <m:e>
                <m:r>
                  <m:t>μ</m:t>
                </m:r>
              </m:e>
            </m:acc>
          </m:e>
          <m:sub>
            <m:r>
              <m:t>B</m:t>
            </m:r>
          </m:sub>
        </m:sSub>
      </m:oMath>
      <w:r>
        <w:t xml:space="preserve"> </w:t>
      </w:r>
      <w:r>
        <w:t xml:space="preserve">(not the full sampling variance of the primary estimate) and because Fieller inverts a test on the unbounded signed ratio, whose confidence set may be unbounded, whereas the bootstrap percentile interval is computed on the bounded logit-BF scale. When the two methods disagree, the honest reading is that the ratio itself is weakly identified; the zone assignment, on which both methods agree, is the stable summary.</w:t>
      </w:r>
    </w:p>
    <w:bookmarkEnd w:id="12"/>
    <w:bookmarkStart w:id="13" w:name="relationship-to-existing-approaches"/>
    <w:p>
      <w:pPr>
        <w:pStyle w:val="Heading2"/>
      </w:pPr>
      <w:r>
        <w:t xml:space="preserve">Relationship to existing approaches</w:t>
      </w:r>
    </w:p>
    <w:p>
      <w:pPr>
        <w:pStyle w:val="FirstParagraph"/>
      </w:pPr>
      <w:r>
        <w:t xml:space="preserve">The proposed metric extends empirical calibration</w:t>
      </w:r>
      <w:r>
        <w:rPr>
          <w:vertAlign w:val="superscript"/>
        </w:rPr>
        <w:t xml:space="preserve">1,2</w:t>
      </w:r>
      <w:r>
        <w:t xml:space="preserve"> </w:t>
      </w:r>
      <w:r>
        <w:t xml:space="preserve">by providing a continuous credibility measure alongside the binary calibrated p-value. The calibrated p-value answers</w:t>
      </w:r>
      <w:r>
        <w:t xml:space="preserve"> </w:t>
      </w:r>
      <w:r>
        <w:t xml:space="preserve">“Is there evidence of an effect after accounting for bias?”</w:t>
      </w:r>
      <w:r>
        <w:t xml:space="preserve"> </w:t>
      </w:r>
      <w:r>
        <w:t xml:space="preserve">while the metric answers</w:t>
      </w:r>
      <w:r>
        <w:t xml:space="preserve"> </w:t>
      </w:r>
      <w:r>
        <w:t xml:space="preserve">“What share of the surviving signal is bias, and does enough of an effect remain to be meaningful?”</w:t>
      </w:r>
    </w:p>
    <w:p>
      <w:pPr>
        <w:pStyle w:val="BodyText"/>
      </w:pPr>
      <w:r>
        <w:t xml:space="preserve">The E-value</w:t>
      </w:r>
      <w:r>
        <w:rPr>
          <w:vertAlign w:val="superscript"/>
        </w:rPr>
        <w:t xml:space="preserve">4</w:t>
      </w:r>
      <w:r>
        <w:t xml:space="preserve"> </w:t>
      </w:r>
      <w:r>
        <w:t xml:space="preserve">quantifies the minimum strength of unmeasured confounding required to explain away an observed association, a hypothetical sensitivity analysis. The proposed metric, in contrast, is empirically grounded in observed negative control data. The two approaches are complementary: the E-value asks what</w:t>
      </w:r>
      <w:r>
        <w:t xml:space="preserve"> </w:t>
      </w:r>
      <w:r>
        <w:rPr>
          <w:i/>
          <w:iCs/>
        </w:rPr>
        <w:t xml:space="preserve">would</w:t>
      </w:r>
      <w:r>
        <w:t xml:space="preserve"> </w:t>
      </w:r>
      <w:r>
        <w:t xml:space="preserve">need to be true, while the calibration-based metric estimates what the negative controls</w:t>
      </w:r>
      <w:r>
        <w:t xml:space="preserve"> </w:t>
      </w:r>
      <w:r>
        <w:rPr>
          <w:i/>
          <w:iCs/>
        </w:rPr>
        <w:t xml:space="preserve">actually indicate</w:t>
      </w:r>
      <w:r>
        <w:t xml:space="preserve"> </w:t>
      </w:r>
      <w:r>
        <w:t xml:space="preserve">about the bias present in the data.</w:t>
      </w:r>
    </w:p>
    <w:bookmarkEnd w:id="13"/>
    <w:bookmarkStart w:id="14" w:name="estimation-procedure"/>
    <w:p>
      <w:pPr>
        <w:pStyle w:val="Heading2"/>
      </w:pPr>
      <w:r>
        <w:t xml:space="preserve">Estimation procedure</w:t>
      </w:r>
    </w:p>
    <w:p>
      <w:pPr>
        <w:pStyle w:val="FirstParagraph"/>
      </w:pPr>
      <w:r>
        <w:rPr>
          <w:b/>
          <w:bCs/>
        </w:rPr>
        <w:t xml:space="preserve">Step 1: Empirical null estimation.</w:t>
      </w:r>
      <w:r>
        <w:t xml:space="preserve"> </w:t>
      </w:r>
      <w:r>
        <w:t xml:space="preserve">Fit the model</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using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w:t>
      </w:r>
      <w:r>
        <w:t xml:space="preserve">. This produces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Credibility metric calculation.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Obtain a 95% confidence interval using the logit-scale nonparametric bootstrap (</w:t>
      </w:r>
      <m:oMath>
        <m:r>
          <m:t>B</m:t>
        </m:r>
        <m:r>
          <m:rPr>
            <m:sty m:val="p"/>
          </m:rPr>
          <m:t>=</m:t>
        </m:r>
        <m:r>
          <m:t>2000</m:t>
        </m:r>
      </m:oMath>
      <w:r>
        <w:t xml:space="preserve">).</w:t>
      </w:r>
    </w:p>
    <w:p>
      <w:pPr>
        <w:pStyle w:val="BodyText"/>
      </w:pPr>
      <w:r>
        <w:rPr>
          <w:b/>
          <w:bCs/>
        </w:rPr>
        <w:t xml:space="preserve">Consistency property.</w:t>
      </w:r>
      <w:r>
        <w:t xml:space="preserve"> </w:t>
      </w:r>
      <w:r>
        <w:t xml:space="preserve">Under the bias exchangeability assumption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By the continuous mapping theorem, BF is consistent for the population bias fraction over the whole parameter space, with no exclusion of the null. This contrasts with the unbounded ratio, whose population limit diverges at the null. The denominator of BF is</w:t>
      </w:r>
      <w:r>
        <w:t xml:space="preserve"> </w:t>
      </w:r>
      <m:oMath>
        <m:acc>
          <m:accPr>
            <m:chr m:val="̃"/>
          </m:accPr>
          <m:e>
            <m:r>
              <m:t>ψ</m:t>
            </m:r>
          </m:e>
        </m:acc>
      </m:oMath>
      <w:r>
        <w:t xml:space="preserve">, not the true effect</w:t>
      </w:r>
      <w:r>
        <w:t xml:space="preserve"> </w:t>
      </w:r>
      <m:oMath>
        <m:r>
          <m:t>ψ</m:t>
        </m:r>
      </m:oMath>
      <w:r>
        <w:t xml:space="preserve">; the metric does not estimate the true treatment effect.</w:t>
      </w:r>
    </w:p>
    <w:bookmarkEnd w:id="14"/>
    <w:bookmarkStart w:id="15" w:name="threshold-asymmetry"/>
    <w:p>
      <w:pPr>
        <w:pStyle w:val="Heading2"/>
      </w:pPr>
      <w:r>
        <w:t xml:space="preserve">Threshold asymmetry</w:t>
      </w:r>
    </w:p>
    <w:p>
      <w:pPr>
        <w:pStyle w:val="FirstParagraph"/>
      </w:pPr>
      <w:r>
        <w:t xml:space="preserve">The thresholds 1/3 and 0.5 are asymmetric on the logit scale. A symmetric alternative would use 1/3 and 2/3. We adopt the asymmetric design deliberately: in observational research, the cost of a false causal claim exceeds the cost of excessive caution. This conservative asymmetry biases classification toward the bias-dominated zone, which we view as appropriate given the stakes of causal claims from observational data. BF = 1 (calibrated estimate exactly zero) is classified as bias-dominated.</w:t>
      </w:r>
    </w:p>
    <w:bookmarkEnd w:id="15"/>
    <w:bookmarkStart w:id="16" w:name="negative-control-overlap-and-cautions"/>
    <w:p>
      <w:pPr>
        <w:pStyle w:val="Heading2"/>
      </w:pPr>
      <w:r>
        <w:t xml:space="preserve">Negative control overlap and cautions</w:t>
      </w:r>
    </w:p>
    <w:p>
      <w:pPr>
        <w:pStyle w:val="FirstParagraph"/>
      </w:pPr>
      <w:r>
        <w:t xml:space="preserve">Some negative controls share overlapping outcome definitions: the</w:t>
      </w:r>
      <w:r>
        <w:t xml:space="preserve"> </w:t>
      </w:r>
      <w:r>
        <w:t xml:space="preserve">“infection”</w:t>
      </w:r>
      <w:r>
        <w:t xml:space="preserve"> </w:t>
      </w:r>
      <w:r>
        <w:t xml:space="preserve">category encompasses urinary tract infection and cellulitis as subcategories. This nesting means the 12 controls do not represent 12 fully independent observations, which could lead to underestimation of</w:t>
      </w:r>
      <w:r>
        <w:t xml:space="preserve"> </w:t>
      </w:r>
      <m:oMath>
        <m:sSub>
          <m:e>
            <m:acc>
              <m:accPr>
                <m:chr m:val="̂"/>
              </m:accPr>
              <m:e>
                <m:r>
                  <m:t>σ</m:t>
                </m:r>
              </m:e>
            </m:acc>
          </m:e>
          <m:sub>
            <m:r>
              <m:t>B</m:t>
            </m:r>
          </m:sub>
        </m:sSub>
      </m:oMath>
      <w:r>
        <w:t xml:space="preserve"> </w:t>
      </w:r>
      <w:r>
        <w:t xml:space="preserve">and overly narrow bootstrap CIs. The leave-one-out sensitivity analysis provides a partial check: removing any single control, including the nested ones, did not change the qualitative classification. The</w:t>
      </w:r>
      <w:r>
        <w:t xml:space="preserve"> </w:t>
      </w:r>
      <w:r>
        <w:t xml:space="preserve">“fall”</w:t>
      </w:r>
      <w:r>
        <w:t xml:space="preserve"> </w:t>
      </w:r>
      <w:r>
        <w:t xml:space="preserve">outcome warrants caution, as beta-blockers may increase fall risk through bradycardia or orthostatic hypotension, potentially violating the no-causal-effect assumption. However, the observed protective association for falls (RR &lt; 1) is opposite in direction to the expected adverse effect. Confounding thus appears to dominate any causal effect; the leave-one-out analysis confirmed that excluding</w:t>
      </w:r>
      <w:r>
        <w:t xml:space="preserve"> </w:t>
      </w:r>
      <w:r>
        <w:t xml:space="preserve">“fall”</w:t>
      </w:r>
      <w:r>
        <w:t xml:space="preserve"> </w:t>
      </w:r>
      <w:r>
        <w:t xml:space="preserve">did not alter the bias-dominated classification.</w:t>
      </w:r>
    </w:p>
    <w:bookmarkEnd w:id="16"/>
    <w:bookmarkEnd w:id="17"/>
    <w:bookmarkStart w:id="18" w:name="eappendix-2.-what-bf-does-not-estimate"/>
    <w:p>
      <w:pPr>
        <w:pStyle w:val="Heading1"/>
      </w:pPr>
      <w:r>
        <w:t xml:space="preserve">eAppendix 2. What BF Does Not Estimate</w:t>
      </w:r>
    </w:p>
    <w:p>
      <w:pPr>
        <w:pStyle w:val="FirstParagraph"/>
      </w:pPr>
      <w:r>
        <w:t xml:space="preserve">The metric</w:t>
      </w:r>
      <w:r>
        <w:t xml:space="preserve"> </w:t>
      </w:r>
      <w:r>
        <w:rPr>
          <w:b/>
          <w:bCs/>
        </w:rPr>
        <w:t xml:space="preserve">does not</w:t>
      </w:r>
      <w:r>
        <w:t xml:space="preserve"> </w:t>
      </w:r>
      <w:r>
        <w:t xml:space="preserve">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w:t>
      </w:r>
      <w:r>
        <w:t xml:space="preserve">not</w:t>
      </w:r>
      <w:r>
        <w:t xml:space="preserve"> </w:t>
      </w:r>
      <w:r>
        <w:t xml:space="preserve">“the true effect is zero.”</w:t>
      </w:r>
      <w:r>
        <w:t xml:space="preserve"> </w:t>
      </w:r>
      <w:r>
        <w:t xml:space="preserve">The metric also</w:t>
      </w:r>
      <w:r>
        <w:t xml:space="preserve"> </w:t>
      </w:r>
      <w:r>
        <w:rPr>
          <w:b/>
          <w:bCs/>
        </w:rPr>
        <w:t xml:space="preserve">does not</w:t>
      </w:r>
      <w:r>
        <w:t xml:space="preserve"> </w:t>
      </w:r>
      <w:r>
        <w:t xml:space="preserve">identify the source of bias, whether healthy-adherer confounding, indication bias, or other sources of unmeasured confounding. The metric</w:t>
      </w:r>
      <w:r>
        <w:t xml:space="preserve"> </w:t>
      </w:r>
      <w:r>
        <w:rPr>
          <w:b/>
          <w:bCs/>
        </w:rPr>
        <w:t xml:space="preserve">does not</w:t>
      </w:r>
      <w:r>
        <w:t xml:space="preserve"> </w:t>
      </w:r>
      <w:r>
        <w:t xml:space="preserve">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8"/>
    <w:bookmarkStart w:id="19" w:name="Xbd8bf77106b5e84903ca0301f2cff2061629647"/>
    <w:p>
      <w:pPr>
        <w:pStyle w:val="Heading1"/>
      </w:pPr>
      <w:r>
        <w:t xml:space="preserve">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will be misleading.</w:t>
      </w:r>
    </w:p>
    <w:p>
      <w:pPr>
        <w:pStyle w:val="BodyText"/>
      </w:pPr>
      <w:r>
        <w:rPr>
          <w:b/>
          <w:bCs/>
        </w:rPr>
        <w:t xml:space="preserve">Heterogeneous bias directions.</w:t>
      </w:r>
      <w:r>
        <w:t xml:space="preserve"> </w:t>
      </w:r>
      <w:r>
        <w:t xml:space="preserve">The empirical null model assumes negative controls are affected by bias in the same direction. If controls show bias in opposite directions,</w:t>
      </w:r>
      <w:r>
        <w:t xml:space="preserve"> </w:t>
      </w:r>
      <m:oMath>
        <m:sSub>
          <m:e>
            <m:acc>
              <m:accPr>
                <m:chr m:val="̂"/>
              </m:accPr>
              <m:e>
                <m:r>
                  <m:t>μ</m:t>
                </m:r>
              </m:e>
            </m:acc>
          </m:e>
          <m:sub>
            <m:r>
              <m:t>B</m:t>
            </m:r>
          </m:sub>
        </m:sSub>
      </m:oMath>
      <w:r>
        <w:t xml:space="preserve"> </w:t>
      </w:r>
      <w:r>
        <w:t xml:space="preserve">will be attenuated toward zero, producing an overly optimistic BF.</w:t>
      </w:r>
    </w:p>
    <w:p>
      <w:pPr>
        <w:pStyle w:val="BodyText"/>
      </w:pPr>
      <w:r>
        <w:rPr>
          <w:b/>
          <w:bCs/>
        </w:rPr>
        <w:t xml:space="preserve">Small residual effects.</w:t>
      </w:r>
      <w:r>
        <w:t xml:space="preserve"> </w:t>
      </w:r>
      <w:r>
        <w:t xml:space="preserve">When the true treatment effect is near zero, the denominator of the underlying ratio is near zero. On the BF scale this appears as values near 1, wide bootstrap CIs, and unbounded Fieller sets. This correctly signals that the calibrated estimate is uninformative; read BF near 1 as signal saturation by bias, not as a precise fraction.</w:t>
      </w:r>
    </w:p>
    <w:bookmarkEnd w:id="19"/>
    <w:bookmarkStart w:id="20" w:name="Xade8475af0abe2b24168657381aad1c7aec56a1"/>
    <w:p>
      <w:pPr>
        <w:pStyle w:val="Heading1"/>
      </w:pPr>
      <w:r>
        <w:t xml:space="preserve">eTable 1. Comparison of BF and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0"/>
    <w:bookmarkStart w:id="21" w:name="etable-2.-simulation-study-design"/>
    <w:p>
      <w:pPr>
        <w:pStyle w:val="Heading1"/>
      </w:pPr>
      <w:r>
        <w:t xml:space="preserve">eTable 2. Simulation Study Design</w:t>
      </w:r>
    </w:p>
    <w:p>
      <w:pPr>
        <w:pStyle w:val="TableCaption"/>
      </w:pPr>
      <w:r>
        <w:t xml:space="preserve">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w:t>
      </w:r>
    </w:p>
    <w:tbl>
      <w:tblPr>
        <w:tblStyle w:val="Table"/>
        <w:tblW w:type="pct" w:w="5000"/>
        <w:tblLayout w:type="fixed"/>
        <w:tblLook w:firstRow="1" w:lastRow="0" w:firstColumn="0" w:lastColumn="0" w:noHBand="0" w:noVBand="0" w:val="0020"/>
        <w:tblCaption w:val="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
      </w:tblPr>
      <w:tblGrid>
        <w:gridCol w:w="2847"/>
        <w:gridCol w:w="4271"/>
        <w:gridCol w:w="800"/>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Bias heterogeneity (sigma_B)</w:t>
            </w:r>
          </w:p>
        </w:tc>
        <w:tc>
          <w:tcPr/>
          <w:p>
            <w:pPr>
              <w:pStyle w:val="Compact"/>
              <w:jc w:val="left"/>
            </w:pPr>
            <w:r>
              <w:t xml:space="preserve">0.05,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1"/>
    <w:bookmarkStart w:id="22" w:name="X0db8cd73aafe0a8f13d16fd09ddb2c3d77ffcbd"/>
    <w:p>
      <w:pPr>
        <w:pStyle w:val="Heading1"/>
      </w:pPr>
      <w:r>
        <w:t xml:space="preserve">eTable 3. CI-Based Classification Heuristic Results</w:t>
      </w:r>
    </w:p>
    <w:p>
      <w:pPr>
        <w:pStyle w:val="TableCaption"/>
      </w:pPr>
      <w:r>
        <w:t xml:space="preserve">CI-based classification heuristic vs point-estimate rule across all 336 conditions (67,200 repetitions).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336 conditions (67,200 repetitions).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bookmarkEnd w:id="22"/>
    <w:bookmarkStart w:id="23" w:name="X58d0f65626bfa892a74fa5633f958a0caa9e198"/>
    <w:p>
      <w:pPr>
        <w:pStyle w:val="Heading1"/>
      </w:pPr>
      <w:r>
        <w:t xml:space="preserve">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2640"/>
        <w:gridCol w:w="2640"/>
        <w:gridCol w:w="264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Bias-dominated</w:t>
            </w:r>
          </w:p>
        </w:tc>
      </w:tr>
    </w:tbl>
    <w:bookmarkEnd w:id="23"/>
    <w:bookmarkStart w:id="24" w:name="Xb0a33d352b3e212559259d48c8a6a280f333d60"/>
    <w:p>
      <w:pPr>
        <w:pStyle w:val="Heading1"/>
      </w:pPr>
      <w:r>
        <w:t xml:space="preserve">eTable 5. SuperLearner Sensitivity Analysis</w:t>
      </w:r>
    </w:p>
    <w:p>
      <w:pPr>
        <w:pStyle w:val="TableCaption"/>
      </w:pPr>
      <w:r>
        <w:t xml:space="preserve">SuperLearner sensitivity analysis. All three configurations remained in the bias-dominated zone with bootstrap CIs entirely above 0.5.</w:t>
      </w:r>
    </w:p>
    <w:tbl>
      <w:tblPr>
        <w:tblStyle w:val="Table"/>
        <w:tblW w:type="auto" w:w="0"/>
        <w:tblLook w:firstRow="1" w:lastRow="0" w:firstColumn="0" w:lastColumn="0" w:noHBand="0" w:noVBand="0" w:val="0020"/>
        <w:tblCaption w:val="SuperLearner sensitivity analysis. All three configurations remained in the bias-dominated zone with bootstrap CIs entirely above 0.5."/>
      </w:tblPr>
      <w:tblGrid>
        <w:gridCol w:w="1980"/>
        <w:gridCol w:w="1980"/>
        <w:gridCol w:w="1980"/>
        <w:gridCol w:w="1980"/>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left"/>
            </w:pPr>
            <w:r>
              <w:t xml:space="preserve">Bias-dominated</w:t>
            </w:r>
          </w:p>
        </w:tc>
      </w:tr>
    </w:tbl>
    <w:bookmarkEnd w:id="24"/>
    <w:bookmarkStart w:id="25" w:name="X4d3cab1fedc037ec72e772e185cba837cc0d358"/>
    <w:p>
      <w:pPr>
        <w:pStyle w:val="Heading1"/>
      </w:pPr>
      <w:r>
        <w:t xml:space="preserve">eTable 6. Grace Period Sensitivity Analysis</w:t>
      </w:r>
    </w:p>
    <w:p>
      <w:pPr>
        <w:pStyle w:val="TableCaption"/>
      </w:pPr>
      <w:r>
        <w:t xml:space="preserve">Grace period sensitivity analysis. Calibrated risk ratio estimates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isk ratio estimates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bookmarkEnd w:id="25"/>
    <w:bookmarkStart w:id="26" w:name="X9fb75fcce10b7f6a43983fd3c7fe573a0c7d5c1"/>
    <w:p>
      <w:pPr>
        <w:pStyle w:val="Heading1"/>
      </w:pPr>
      <w:r>
        <w:t xml:space="preserve">eTable 7. Relative Bias of the Unbounded Ratio (BER) vs BF, Per Simulation Configuration</w:t>
      </w:r>
    </w:p>
    <w:p>
      <w:pPr>
        <w:pStyle w:val="TableCaption"/>
      </w:pPr>
      <w:r>
        <w:t xml:space="preserve">Per-configuration mean relative bias of the unbounded ratio (BER) and the bounded bias fraction (BF). Under bias exchangeability (0% violation, non-null conditions),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w:t>
      </w:r>
    </w:p>
    <w:tbl>
      <w:tblPr>
        <w:tblStyle w:val="Table"/>
        <w:tblW w:type="pct" w:w="5000"/>
        <w:tblLayout w:type="fixed"/>
        <w:tblLook w:firstRow="1" w:lastRow="0" w:firstColumn="0" w:lastColumn="0" w:noHBand="0" w:noVBand="0" w:val="0020"/>
        <w:tblCaption w:val="Per-configuration mean relative bias of the unbounded ratio (BER) and the bounded bias fraction (BF). Under bias exchangeability (0% violation, non-null conditions),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
      </w:tblPr>
      <w:tblGrid>
        <w:gridCol w:w="3608"/>
        <w:gridCol w:w="1848"/>
        <w:gridCol w:w="1760"/>
        <w:gridCol w:w="704"/>
      </w:tblGrid>
      <w:tr>
        <w:trPr>
          <w:tblHeader w:val="on"/>
        </w:trPr>
        <w:tc>
          <w:tcPr/>
          <w:p>
            <w:pPr>
              <w:pStyle w:val="Compact"/>
              <w:jc w:val="left"/>
            </w:pPr>
            <w:r>
              <w:t xml:space="preserve">Simulation setting (24 conditions each)</w:t>
            </w:r>
          </w:p>
        </w:tc>
        <w:tc>
          <w:tcPr/>
          <w:p>
            <w:pPr>
              <w:pStyle w:val="Compact"/>
              <w:jc w:val="left"/>
            </w:pPr>
            <w:r>
              <w:t xml:space="preserve">BER relative bias, %</w:t>
            </w:r>
          </w:p>
        </w:tc>
        <w:tc>
          <w:tcPr/>
          <w:p>
            <w:pPr>
              <w:pStyle w:val="Compact"/>
              <w:jc w:val="left"/>
            </w:pPr>
            <w:r>
              <w:t xml:space="preserve">BF relative bias, %</w:t>
            </w:r>
          </w:p>
        </w:tc>
        <w:tc>
          <w:tcPr/>
          <w:p>
            <w:pPr>
              <w:pStyle w:val="Compact"/>
              <w:jc w:val="left"/>
            </w:pPr>
            <w:r>
              <w:t xml:space="preserve">BF RMSE</w:t>
            </w:r>
          </w:p>
        </w:tc>
      </w:tr>
      <w:tr>
        <w:tc>
          <w:tcPr/>
          <w:p>
            <w:pPr>
              <w:pStyle w:val="Compact"/>
              <w:jc w:val="left"/>
            </w:pPr>
            <w:r>
              <w:t xml:space="preserve">0% violation, K = 12, sigma_B = 0.05</w:t>
            </w:r>
          </w:p>
        </w:tc>
        <w:tc>
          <w:tcPr/>
          <w:p>
            <w:pPr>
              <w:pStyle w:val="Compact"/>
              <w:jc w:val="left"/>
            </w:pPr>
            <w:r>
              <w:t xml:space="preserve">+318.9</w:t>
            </w:r>
          </w:p>
        </w:tc>
        <w:tc>
          <w:tcPr/>
          <w:p>
            <w:pPr>
              <w:pStyle w:val="Compact"/>
              <w:jc w:val="left"/>
            </w:pPr>
            <w:r>
              <w:t xml:space="preserve">+2.3</w:t>
            </w:r>
          </w:p>
        </w:tc>
        <w:tc>
          <w:tcPr/>
          <w:p>
            <w:pPr>
              <w:pStyle w:val="Compact"/>
              <w:jc w:val="left"/>
            </w:pPr>
            <w:r>
              <w:t xml:space="preserve">0.104</w:t>
            </w:r>
          </w:p>
        </w:tc>
      </w:tr>
      <w:tr>
        <w:tc>
          <w:tcPr/>
          <w:p>
            <w:pPr>
              <w:pStyle w:val="Compact"/>
              <w:jc w:val="left"/>
            </w:pPr>
            <w:r>
              <w:t xml:space="preserve">0% violation, K = 12, sigma_B = 0.05</w:t>
            </w:r>
          </w:p>
        </w:tc>
        <w:tc>
          <w:tcPr/>
          <w:p>
            <w:pPr>
              <w:pStyle w:val="Compact"/>
              <w:jc w:val="left"/>
            </w:pPr>
            <w:r>
              <w:t xml:space="preserve">-26.7</w:t>
            </w:r>
          </w:p>
        </w:tc>
        <w:tc>
          <w:tcPr/>
          <w:p>
            <w:pPr>
              <w:pStyle w:val="Compact"/>
              <w:jc w:val="left"/>
            </w:pPr>
            <w:r>
              <w:t xml:space="preserve">-32.2</w:t>
            </w:r>
          </w:p>
        </w:tc>
        <w:tc>
          <w:tcPr/>
          <w:p>
            <w:pPr>
              <w:pStyle w:val="Compact"/>
              <w:jc w:val="left"/>
            </w:pPr>
            <w:r>
              <w:t xml:space="preserve">0.160</w:t>
            </w:r>
          </w:p>
        </w:tc>
      </w:tr>
      <w:tr>
        <w:tc>
          <w:tcPr/>
          <w:p>
            <w:pPr>
              <w:pStyle w:val="Compact"/>
              <w:jc w:val="left"/>
            </w:pPr>
            <w:r>
              <w:t xml:space="preserve">0% violation, K = 25, sigma_B = 0.05</w:t>
            </w:r>
          </w:p>
        </w:tc>
        <w:tc>
          <w:tcPr/>
          <w:p>
            <w:pPr>
              <w:pStyle w:val="Compact"/>
              <w:jc w:val="left"/>
            </w:pPr>
            <w:r>
              <w:t xml:space="preserve">+140.6</w:t>
            </w:r>
          </w:p>
        </w:tc>
        <w:tc>
          <w:tcPr/>
          <w:p>
            <w:pPr>
              <w:pStyle w:val="Compact"/>
              <w:jc w:val="left"/>
            </w:pPr>
            <w:r>
              <w:t xml:space="preserve">+2.1</w:t>
            </w:r>
          </w:p>
        </w:tc>
        <w:tc>
          <w:tcPr/>
          <w:p>
            <w:pPr>
              <w:pStyle w:val="Compact"/>
              <w:jc w:val="left"/>
            </w:pPr>
            <w:r>
              <w:t xml:space="preserve">0.097</w:t>
            </w:r>
          </w:p>
        </w:tc>
      </w:tr>
      <w:tr>
        <w:tc>
          <w:tcPr/>
          <w:p>
            <w:pPr>
              <w:pStyle w:val="Compact"/>
              <w:jc w:val="left"/>
            </w:pPr>
            <w:r>
              <w:t xml:space="preserve">0% violation, K = 25, sigma_B = 0.05</w:t>
            </w:r>
          </w:p>
        </w:tc>
        <w:tc>
          <w:tcPr/>
          <w:p>
            <w:pPr>
              <w:pStyle w:val="Compact"/>
              <w:jc w:val="left"/>
            </w:pPr>
            <w:r>
              <w:t xml:space="preserve">-1.9</w:t>
            </w:r>
          </w:p>
        </w:tc>
        <w:tc>
          <w:tcPr/>
          <w:p>
            <w:pPr>
              <w:pStyle w:val="Compact"/>
              <w:jc w:val="left"/>
            </w:pPr>
            <w:r>
              <w:t xml:space="preserve">-33.2</w:t>
            </w:r>
          </w:p>
        </w:tc>
        <w:tc>
          <w:tcPr/>
          <w:p>
            <w:pPr>
              <w:pStyle w:val="Compact"/>
              <w:jc w:val="left"/>
            </w:pPr>
            <w:r>
              <w:t xml:space="preserve">0.157</w:t>
            </w:r>
          </w:p>
        </w:tc>
      </w:tr>
      <w:tr>
        <w:tc>
          <w:tcPr/>
          <w:p>
            <w:pPr>
              <w:pStyle w:val="Compact"/>
              <w:jc w:val="left"/>
            </w:pPr>
            <w:r>
              <w:t xml:space="preserve">30% violation, K = 12, sigma_B = 0.10</w:t>
            </w:r>
          </w:p>
        </w:tc>
        <w:tc>
          <w:tcPr/>
          <w:p>
            <w:pPr>
              <w:pStyle w:val="Compact"/>
              <w:jc w:val="left"/>
            </w:pPr>
            <w:r>
              <w:t xml:space="preserve">+137.1</w:t>
            </w:r>
          </w:p>
        </w:tc>
        <w:tc>
          <w:tcPr/>
          <w:p>
            <w:pPr>
              <w:pStyle w:val="Compact"/>
              <w:jc w:val="left"/>
            </w:pPr>
            <w:r>
              <w:t xml:space="preserve">+2.3</w:t>
            </w:r>
          </w:p>
        </w:tc>
        <w:tc>
          <w:tcPr/>
          <w:p>
            <w:pPr>
              <w:pStyle w:val="Compact"/>
              <w:jc w:val="left"/>
            </w:pPr>
            <w:r>
              <w:t xml:space="preserve">0.124</w:t>
            </w:r>
          </w:p>
        </w:tc>
      </w:tr>
      <w:tr>
        <w:tc>
          <w:tcPr/>
          <w:p>
            <w:pPr>
              <w:pStyle w:val="Compact"/>
              <w:jc w:val="left"/>
            </w:pPr>
            <w:r>
              <w:t xml:space="preserve">30% violation, K = 12, sigma_B = 0.10</w:t>
            </w:r>
          </w:p>
        </w:tc>
        <w:tc>
          <w:tcPr/>
          <w:p>
            <w:pPr>
              <w:pStyle w:val="Compact"/>
              <w:jc w:val="left"/>
            </w:pPr>
            <w:r>
              <w:t xml:space="preserve">-15.8</w:t>
            </w:r>
          </w:p>
        </w:tc>
        <w:tc>
          <w:tcPr/>
          <w:p>
            <w:pPr>
              <w:pStyle w:val="Compact"/>
              <w:jc w:val="left"/>
            </w:pPr>
            <w:r>
              <w:t xml:space="preserve">-30.1</w:t>
            </w:r>
          </w:p>
        </w:tc>
        <w:tc>
          <w:tcPr/>
          <w:p>
            <w:pPr>
              <w:pStyle w:val="Compact"/>
              <w:jc w:val="left"/>
            </w:pPr>
            <w:r>
              <w:t xml:space="preserve">0.168</w:t>
            </w:r>
          </w:p>
        </w:tc>
      </w:tr>
      <w:tr>
        <w:tc>
          <w:tcPr/>
          <w:p>
            <w:pPr>
              <w:pStyle w:val="Compact"/>
              <w:jc w:val="left"/>
            </w:pPr>
            <w:r>
              <w:t xml:space="preserve">30% violation, K = 25, sigma_B = 0.10</w:t>
            </w:r>
          </w:p>
        </w:tc>
        <w:tc>
          <w:tcPr/>
          <w:p>
            <w:pPr>
              <w:pStyle w:val="Compact"/>
              <w:jc w:val="left"/>
            </w:pPr>
            <w:r>
              <w:t xml:space="preserve">+145.9</w:t>
            </w:r>
          </w:p>
        </w:tc>
        <w:tc>
          <w:tcPr/>
          <w:p>
            <w:pPr>
              <w:pStyle w:val="Compact"/>
              <w:jc w:val="left"/>
            </w:pPr>
            <w:r>
              <w:t xml:space="preserve">+1.8</w:t>
            </w:r>
          </w:p>
        </w:tc>
        <w:tc>
          <w:tcPr/>
          <w:p>
            <w:pPr>
              <w:pStyle w:val="Compact"/>
              <w:jc w:val="left"/>
            </w:pPr>
            <w:r>
              <w:t xml:space="preserve">0.108</w:t>
            </w:r>
          </w:p>
        </w:tc>
      </w:tr>
      <w:tr>
        <w:tc>
          <w:tcPr/>
          <w:p>
            <w:pPr>
              <w:pStyle w:val="Compact"/>
              <w:jc w:val="left"/>
            </w:pPr>
            <w:r>
              <w:t xml:space="preserve">30% violation, K = 25, sigma_B = 0.10</w:t>
            </w:r>
          </w:p>
        </w:tc>
        <w:tc>
          <w:tcPr/>
          <w:p>
            <w:pPr>
              <w:pStyle w:val="Compact"/>
              <w:jc w:val="left"/>
            </w:pPr>
            <w:r>
              <w:t xml:space="preserve">-26.6</w:t>
            </w:r>
          </w:p>
        </w:tc>
        <w:tc>
          <w:tcPr/>
          <w:p>
            <w:pPr>
              <w:pStyle w:val="Compact"/>
              <w:jc w:val="left"/>
            </w:pPr>
            <w:r>
              <w:t xml:space="preserve">-31.2</w:t>
            </w:r>
          </w:p>
        </w:tc>
        <w:tc>
          <w:tcPr/>
          <w:p>
            <w:pPr>
              <w:pStyle w:val="Compact"/>
              <w:jc w:val="left"/>
            </w:pPr>
            <w:r>
              <w:t xml:space="preserve">0.160</w:t>
            </w:r>
          </w:p>
        </w:tc>
      </w:tr>
      <w:tr>
        <w:tc>
          <w:tcPr/>
          <w:p>
            <w:pPr>
              <w:pStyle w:val="Compact"/>
              <w:jc w:val="left"/>
            </w:pPr>
            <w:r>
              <w:t xml:space="preserve">Null conditions (psi = 0), 0% violation</w:t>
            </w:r>
          </w:p>
        </w:tc>
        <w:tc>
          <w:tcPr/>
          <w:p>
            <w:pPr>
              <w:pStyle w:val="Compact"/>
              <w:jc w:val="left"/>
            </w:pPr>
            <w:r>
              <w:t xml:space="preserve">Not defined</w:t>
            </w:r>
          </w:p>
        </w:tc>
        <w:tc>
          <w:tcPr/>
          <w:p>
            <w:pPr>
              <w:pStyle w:val="Compact"/>
              <w:jc w:val="left"/>
            </w:pPr>
            <w:r>
              <w:t xml:space="preserve">-23.6</w:t>
            </w:r>
          </w:p>
        </w:tc>
        <w:tc>
          <w:tcPr/>
          <w:p>
            <w:pPr>
              <w:pStyle w:val="Compact"/>
              <w:jc w:val="left"/>
            </w:pPr>
            <w:r>
              <w:t xml:space="preserve">0.272</w:t>
            </w:r>
          </w:p>
        </w:tc>
      </w:tr>
      <w:tr>
        <w:tc>
          <w:tcPr/>
          <w:p>
            <w:pPr>
              <w:pStyle w:val="Compact"/>
              <w:jc w:val="left"/>
            </w:pPr>
            <w:r>
              <w:t xml:space="preserve">Null conditions (psi = 0), 30% violation</w:t>
            </w:r>
          </w:p>
        </w:tc>
        <w:tc>
          <w:tcPr/>
          <w:p>
            <w:pPr>
              <w:pStyle w:val="Compact"/>
              <w:jc w:val="left"/>
            </w:pPr>
            <w:r>
              <w:t xml:space="preserve">Not defined</w:t>
            </w:r>
          </w:p>
        </w:tc>
        <w:tc>
          <w:tcPr/>
          <w:p>
            <w:pPr>
              <w:pStyle w:val="Compact"/>
              <w:jc w:val="left"/>
            </w:pPr>
            <w:r>
              <w:t xml:space="preserve">-36.7</w:t>
            </w:r>
          </w:p>
        </w:tc>
        <w:tc>
          <w:tcPr/>
          <w:p>
            <w:pPr>
              <w:pStyle w:val="Compact"/>
              <w:jc w:val="left"/>
            </w:pPr>
            <w:r>
              <w:t xml:space="preserve">0.406</w:t>
            </w:r>
          </w:p>
        </w:tc>
      </w:tr>
    </w:tbl>
    <w:bookmarkEnd w:id="26"/>
    <w:bookmarkStart w:id="30" w:name="Xa0e435e101c72c47909197dfbbbaa1bff404bea"/>
    <w:p>
      <w:pPr>
        <w:pStyle w:val="Heading1"/>
      </w:pPr>
      <w:r>
        <w:t xml:space="preserve">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28" name="Picture"/>
            <a:graphic>
              <a:graphicData uri="http://schemas.openxmlformats.org/drawingml/2006/picture">
                <pic:pic>
                  <pic:nvPicPr>
                    <pic:cNvPr descr="../../../output/shared_bias_dag.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0"/>
    <w:bookmarkStart w:id="34" w:name="X5ac7e34e131800f6e8f1ed3917d0d9ae7048b98"/>
    <w:p>
      <w:pPr>
        <w:pStyle w:val="Heading1"/>
      </w:pPr>
      <w:r>
        <w:t xml:space="preserve">eFigure 2. Simulation Classification Accuracy Heatmap</w:t>
      </w:r>
    </w:p>
    <w:p>
      <w:pPr>
        <w:pStyle w:val="CaptionedFigure"/>
      </w:pPr>
      <w:r>
        <w:drawing>
          <wp:inline>
            <wp:extent cx="5334000" cy="3556000"/>
            <wp:effectExtent b="0" l="0" r="0" t="0"/>
            <wp:docPr descr="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 title="" id="32" name="Picture"/>
            <a:graphic>
              <a:graphicData uri="http://schemas.openxmlformats.org/drawingml/2006/picture">
                <pic:pic>
                  <pic:nvPicPr>
                    <pic:cNvPr descr="../../../output/figures/fig03_simulation_heatmap.png" id="33"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w:t>
      </w:r>
    </w:p>
    <w:bookmarkEnd w:id="34"/>
    <w:bookmarkStart w:id="38" w:name="X2e247149f5fd6faaad8920c01c810a8da1e37a1"/>
    <w:p>
      <w:pPr>
        <w:pStyle w:val="Heading1"/>
      </w:pPr>
      <w:r>
        <w:t xml:space="preserve">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36" name="Picture"/>
            <a:graphic>
              <a:graphicData uri="http://schemas.openxmlformats.org/drawingml/2006/picture">
                <pic:pic>
                  <pic:nvPicPr>
                    <pic:cNvPr descr="../../../output/figures/fig04_classification_domain.png" id="37" name="Picture"/>
                    <pic:cNvPicPr>
                      <a:picLocks noChangeArrowheads="1" noChangeAspect="1"/>
                    </pic:cNvPicPr>
                  </pic:nvPicPr>
                  <pic:blipFill>
                    <a:blip r:embed="rId3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38"/>
    <w:bookmarkStart w:id="42" w:name="Xd16c19242f648ad6d96e190523658cddd1af6e0"/>
    <w:p>
      <w:pPr>
        <w:pStyle w:val="Heading1"/>
      </w:pPr>
      <w:r>
        <w:t xml:space="preserve">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0" name="Picture"/>
            <a:graphic>
              <a:graphicData uri="http://schemas.openxmlformats.org/drawingml/2006/picture">
                <pic:pic>
                  <pic:nvPicPr>
                    <pic:cNvPr descr="../../../output/figures/fig05_loo_sensitivity.png" id="41" name="Picture"/>
                    <pic:cNvPicPr>
                      <a:picLocks noChangeArrowheads="1" noChangeAspect="1"/>
                    </pic:cNvPicPr>
                  </pic:nvPicPr>
                  <pic:blipFill>
                    <a:blip r:embed="rId39"/>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2"/>
    <w:bookmarkStart w:id="46" w:name="efigure-5.-negative-control-diagnostics"/>
    <w:p>
      <w:pPr>
        <w:pStyle w:val="Heading1"/>
      </w:pPr>
      <w:r>
        <w:t xml:space="preserve">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4" name="Picture"/>
            <a:graphic>
              <a:graphicData uri="http://schemas.openxmlformats.org/drawingml/2006/picture">
                <pic:pic>
                  <pic:nvPicPr>
                    <pic:cNvPr descr="../../../output/figures/fig06_qq_diagnostics.png" id="45" name="Picture"/>
                    <pic:cNvPicPr>
                      <a:picLocks noChangeArrowheads="1" noChangeAspect="1"/>
                    </pic:cNvPicPr>
                  </pic:nvPicPr>
                  <pic:blipFill>
                    <a:blip r:embed="rId43"/>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46"/>
    <w:bookmarkStart w:id="50" w:name="Xb316ab64651c3e99c4be96a03bff7c47b5f7cd9"/>
    <w:p>
      <w:pPr>
        <w:pStyle w:val="Heading1"/>
      </w:pPr>
      <w:r>
        <w:t xml:space="preserve">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itle="" id="48" name="Picture"/>
            <a:graphic>
              <a:graphicData uri="http://schemas.openxmlformats.org/drawingml/2006/picture">
                <pic:pic>
                  <pic:nvPicPr>
                    <pic:cNvPr descr="../../../output/figures/fig07_bootstrap_BF.png" id="49" name="Picture"/>
                    <pic:cNvPicPr>
                      <a:picLocks noChangeArrowheads="1" noChangeAspect="1"/>
                    </pic:cNvPicPr>
                  </pic:nvPicPr>
                  <pic:blipFill>
                    <a:blip r:embed="rId47"/>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w:t>
      </w:r>
    </w:p>
    <w:bookmarkEnd w:id="50"/>
    <w:bookmarkStart w:id="51" w:name="X02d86ec9255d6c382787e988a7aa3cc20d06d2c"/>
    <w:p>
      <w:pPr>
        <w:pStyle w:val="Heading1"/>
      </w:pPr>
      <w:r>
        <w:t xml:space="preserve">eAppendix 4. RECORD-PE Reporting Checklist</w:t>
      </w:r>
    </w:p>
    <w:p>
      <w:pPr>
        <w:pStyle w:val="FirstParagraph"/>
      </w:pPr>
      <w:r>
        <w:t xml:space="preserve">The study is reported following the RECORD-PE (REporting of studies Conducted using Observational Routinely-collected health Data for Pharmacoepidemiology) guidelines</w:t>
      </w:r>
      <w:r>
        <w:rPr>
          <w:vertAlign w:val="superscript"/>
        </w:rPr>
        <w:t xml:space="preserve">5</w:t>
      </w:r>
      <w:r>
        <w:t xml:space="preserve">. The completed checklist is available from the authors upon request.</w:t>
      </w:r>
    </w:p>
    <w:bookmarkEnd w:id="51"/>
    <w:bookmarkStart w:id="52" w:name="Xa11805d99d20691d535ccd6ca5f909b22ecb47a"/>
    <w:p>
      <w:pPr>
        <w:pStyle w:val="Heading1"/>
      </w:pPr>
      <w:r>
        <w:t xml:space="preserve">eAppendix 5. TARGET Trial Emulation Checklist</w:t>
      </w:r>
    </w:p>
    <w:p>
      <w:pPr>
        <w:pStyle w:val="FirstParagraph"/>
      </w:pPr>
      <w:r>
        <w:t xml:space="preserve">The target trial emulation is reported following the TARGET (Transparent Reporting of Observational Studies Emulating a Target Trial) checklist</w:t>
      </w:r>
      <w:r>
        <w:rPr>
          <w:vertAlign w:val="superscript"/>
        </w:rPr>
        <w:t xml:space="preserve">6</w:t>
      </w:r>
      <w:r>
        <w:t xml:space="preserve">. The completed checklist is available from the authors upon request.</w:t>
      </w:r>
    </w:p>
    <w:bookmarkEnd w:id="52"/>
    <w:bookmarkStart w:id="66" w:name="ereferences"/>
    <w:p>
      <w:pPr>
        <w:pStyle w:val="Heading1"/>
      </w:pPr>
      <w:r>
        <w:t xml:space="preserve">eReferences</w:t>
      </w:r>
    </w:p>
    <w:bookmarkStart w:id="65" w:name="refs"/>
    <w:bookmarkStart w:id="54" w:name="ref-schuemie2014interpreting"/>
    <w:p>
      <w:pPr>
        <w:pStyle w:val="Bibliography"/>
      </w:pPr>
      <w:r>
        <w:t xml:space="preserve">1.</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53">
        <w:r>
          <w:rPr>
            <w:rStyle w:val="Hyperlink"/>
          </w:rPr>
          <w:t xml:space="preserve">10.1002/sim.5925</w:t>
        </w:r>
      </w:hyperlink>
    </w:p>
    <w:bookmarkEnd w:id="54"/>
    <w:bookmarkStart w:id="56" w:name="ref-schuemie2018empirical"/>
    <w:p>
      <w:pPr>
        <w:pStyle w:val="Bibliography"/>
      </w:pPr>
      <w:r>
        <w:t xml:space="preserve">2.</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55">
        <w:r>
          <w:rPr>
            <w:rStyle w:val="Hyperlink"/>
          </w:rPr>
          <w:t xml:space="preserve">10.1073/pnas.1708282114</w:t>
        </w:r>
      </w:hyperlink>
    </w:p>
    <w:bookmarkEnd w:id="56"/>
    <w:bookmarkStart w:id="58" w:name="ref-fieller1954interval"/>
    <w:p>
      <w:pPr>
        <w:pStyle w:val="Bibliography"/>
      </w:pPr>
      <w:r>
        <w:t xml:space="preserve">3.</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57">
        <w:r>
          <w:rPr>
            <w:rStyle w:val="Hyperlink"/>
          </w:rPr>
          <w:t xml:space="preserve">10.1111/j.2517-6161.1954.tb00159.x</w:t>
        </w:r>
      </w:hyperlink>
    </w:p>
    <w:bookmarkEnd w:id="58"/>
    <w:bookmarkStart w:id="60" w:name="ref-vanderweele2017evalue"/>
    <w:p>
      <w:pPr>
        <w:pStyle w:val="Bibliography"/>
      </w:pPr>
      <w:r>
        <w:t xml:space="preserve">4.</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59">
        <w:r>
          <w:rPr>
            <w:rStyle w:val="Hyperlink"/>
          </w:rPr>
          <w:t xml:space="preserve">10.7326/M16-2607</w:t>
        </w:r>
      </w:hyperlink>
    </w:p>
    <w:bookmarkEnd w:id="60"/>
    <w:bookmarkStart w:id="62" w:name="ref-langan2018recordpe"/>
    <w:p>
      <w:pPr>
        <w:pStyle w:val="Bibliography"/>
      </w:pPr>
      <w:r>
        <w:t xml:space="preserve">5.</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1">
        <w:r>
          <w:rPr>
            <w:rStyle w:val="Hyperlink"/>
          </w:rPr>
          <w:t xml:space="preserve">10.1136/bmj.k3532</w:t>
        </w:r>
      </w:hyperlink>
    </w:p>
    <w:bookmarkEnd w:id="62"/>
    <w:bookmarkStart w:id="64" w:name="ref-cashin2025target"/>
    <w:p>
      <w:pPr>
        <w:pStyle w:val="Bibliography"/>
      </w:pPr>
      <w:r>
        <w:t xml:space="preserve">6.</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3">
        <w:r>
          <w:rPr>
            <w:rStyle w:val="Hyperlink"/>
          </w:rPr>
          <w:t xml:space="preserve">10.1136/bmj-2025-087179</w:t>
        </w:r>
      </w:hyperlink>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hyperlink" Id="rId53" Target="https://doi.org/10.1002/sim.5925" TargetMode="External" /><Relationship Type="http://schemas.openxmlformats.org/officeDocument/2006/relationships/hyperlink" Id="rId55" Target="https://doi.org/10.1073/pnas.1708282114" TargetMode="External" /><Relationship Type="http://schemas.openxmlformats.org/officeDocument/2006/relationships/hyperlink" Id="rId57" Target="https://doi.org/10.1111/j.2517-6161.1954.tb00159.x" TargetMode="External" /><Relationship Type="http://schemas.openxmlformats.org/officeDocument/2006/relationships/hyperlink" Id="rId63" Target="https://doi.org/10.1136/bmj-2025-087179" TargetMode="External" /><Relationship Type="http://schemas.openxmlformats.org/officeDocument/2006/relationships/hyperlink" Id="rId61" Target="https://doi.org/10.1136/bmj.k3532" TargetMode="External" /><Relationship Type="http://schemas.openxmlformats.org/officeDocument/2006/relationships/hyperlink" Id="rId59"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2/sim.5925" TargetMode="External" /><Relationship Type="http://schemas.openxmlformats.org/officeDocument/2006/relationships/hyperlink" Id="rId55" Target="https://doi.org/10.1073/pnas.1708282114" TargetMode="External" /><Relationship Type="http://schemas.openxmlformats.org/officeDocument/2006/relationships/hyperlink" Id="rId57" Target="https://doi.org/10.1111/j.2517-6161.1954.tb00159.x" TargetMode="External" /><Relationship Type="http://schemas.openxmlformats.org/officeDocument/2006/relationships/hyperlink" Id="rId63" Target="https://doi.org/10.1136/bmj-2025-087179" TargetMode="External" /><Relationship Type="http://schemas.openxmlformats.org/officeDocument/2006/relationships/hyperlink" Id="rId61" Target="https://doi.org/10.1136/bmj.k3532" TargetMode="External" /><Relationship Type="http://schemas.openxmlformats.org/officeDocument/2006/relationships/hyperlink" Id="rId59"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Quantifying Systematic Bias in Observational Causal Estimates Using Negative Controls: The Bias Fraction</dc:title>
  <dc:creator>Zeng Zhechun, MD, MPH; Wang Jinwen, MD, PhD; Zuo Huijuan, MD, MPH; Shu Lixia, PhD</dc:creator>
  <cp:keywords/>
  <dcterms:created xsi:type="dcterms:W3CDTF">2026-08-16T06:34:03Z</dcterms:created>
  <dcterms:modified xsi:type="dcterms:W3CDTF">2026-08-16T06:34:03Z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american-medical-association.csl</vt:lpwstr>
  </property>
  <property fmtid="{D5CDD505-2E9C-101B-9397-08002B2CF9AE}" pid="7" name="date">
    <vt:lpwstr>2026-08-16</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