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57.png" ContentType="image/png"/>
  <Override PartName="/word/media/rId31.png" ContentType="image/png"/>
  <Override PartName="/word/media/rId35.png" ContentType="image/png"/>
  <Override PartName="/word/media/rId39.png" ContentType="image/png"/>
  <Override PartName="/word/media/rId43.png" ContentType="image/png"/>
  <Override PartName="/word/media/rId47.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 to: Quantifying Systematic Bias in Observational Causal Estimates Using Negative Controls: The Bias Fraction</w:t>
      </w:r>
    </w:p>
    <w:p>
      <w:pPr>
        <w:pStyle w:val="Author"/>
      </w:pPr>
      <w:r>
        <w:t xml:space="preserve">Zeng Zhechun, MD, MPH</w:t>
      </w:r>
    </w:p>
    <w:p>
      <w:pPr>
        <w:pStyle w:val="Author"/>
      </w:pPr>
      <w:r>
        <w:t xml:space="preserve">Wang Jinwen, MD, PhD</w:t>
      </w:r>
    </w:p>
    <w:p>
      <w:pPr>
        <w:pStyle w:val="Author"/>
      </w:pPr>
      <w:r>
        <w:t xml:space="preserve">Zuo Huijuan, MD, MPH</w:t>
      </w:r>
    </w:p>
    <w:p>
      <w:pPr>
        <w:pStyle w:val="Author"/>
      </w:pPr>
      <w:r>
        <w:t xml:space="preserve">Shu Lixia, PhD</w:t>
      </w:r>
    </w:p>
    <w:p>
      <w:pPr>
        <w:pStyle w:val="Date"/>
      </w:pPr>
      <w:r>
        <w:t xml:space="preserve">2026-08-16</w:t>
      </w:r>
    </w:p>
    <w:bookmarkStart w:id="17" w:name="eappendix-1.-detailed-methods"/>
    <w:p>
      <w:pPr>
        <w:pStyle w:val="Heading1"/>
      </w:pPr>
      <w:r>
        <w:t xml:space="preserve">eAppendix 1. Detailed Methods</w:t>
      </w:r>
    </w:p>
    <w:bookmarkStart w:id="9" w:name="notation-and-setting"/>
    <w:p>
      <w:pPr>
        <w:pStyle w:val="Heading2"/>
      </w:pPr>
      <w:r>
        <w:t xml:space="preserve">Notation and setting</w:t>
      </w:r>
    </w:p>
    <w:p>
      <w:pPr>
        <w:pStyle w:val="FirstParagraph"/>
      </w:pPr>
      <w:r>
        <w:t xml:space="preserve">Consider an observational study estimating the effect of a binary treatment</w:t>
      </w:r>
      <w:r>
        <w:t xml:space="preserve"> </w:t>
      </w:r>
      <m:oMath>
        <m:r>
          <m:t>A</m:t>
        </m:r>
      </m:oMath>
      <w:r>
        <w:t xml:space="preserve"> </w:t>
      </w:r>
      <w:r>
        <w:t xml:space="preserve">on an outcome</w:t>
      </w:r>
      <w:r>
        <w:t xml:space="preserve"> </w:t>
      </w:r>
      <m:oMath>
        <m:r>
          <m:t>Y</m:t>
        </m:r>
      </m:oMath>
      <w:r>
        <w:t xml:space="preserve">. The target causal estimand is the average treatment effect on the log relative risk scale,</w:t>
      </w:r>
      <w:r>
        <w:t xml:space="preserve"> </w:t>
      </w:r>
      <m:oMath>
        <m:r>
          <m:t>ψ</m:t>
        </m:r>
        <m:r>
          <m:rPr>
            <m:sty m:val="p"/>
          </m:rPr>
          <m:t>=</m:t>
        </m:r>
        <m:r>
          <m:rPr>
            <m:sty m:val="p"/>
          </m:rPr>
          <m:t>log</m:t>
        </m:r>
        <m:sSub>
          <m:e>
            <m:r>
              <m:rPr>
                <m:nor/>
                <m:sty m:val="p"/>
              </m:rPr>
              <m:t>RR</m:t>
            </m:r>
          </m:e>
          <m:sub>
            <m:r>
              <m:rPr>
                <m:nor/>
                <m:sty m:val="p"/>
              </m:rPr>
              <m:t>true</m:t>
            </m:r>
          </m:sub>
        </m:sSub>
      </m:oMath>
      <w:r>
        <w:t xml:space="preserve">. After applying an estimator</w:t>
      </w:r>
      <w:r>
        <w:t xml:space="preserve"> </w:t>
      </w:r>
      <m:oMath>
        <m:acc>
          <m:accPr>
            <m:chr m:val="̂"/>
          </m:accPr>
          <m:e>
            <m:r>
              <m:t>ψ</m:t>
            </m:r>
          </m:e>
        </m:acc>
      </m:oMath>
      <w:r>
        <w:t xml:space="preserve"> </w:t>
      </w:r>
      <w:r>
        <w:t xml:space="preserve">(eg, TMLE with SuperLearner-based nuisance function estimation), we obtain a point estimate</w:t>
      </w:r>
      <w:r>
        <w:t xml:space="preserve"> </w:t>
      </w:r>
      <m:oMath>
        <m:sSub>
          <m:e>
            <m:acc>
              <m:accPr>
                <m:chr m:val="̂"/>
              </m:accPr>
              <m:e>
                <m:r>
                  <m:t>ψ</m:t>
                </m:r>
              </m:e>
            </m:acc>
          </m:e>
          <m:sub>
            <m:r>
              <m:rPr>
                <m:nor/>
                <m:sty m:val="p"/>
              </m:rPr>
              <m:t>obs</m:t>
            </m:r>
          </m:sub>
        </m:sSub>
      </m:oMath>
      <w:r>
        <w:t xml:space="preserve"> </w:t>
      </w:r>
      <w:r>
        <w:t xml:space="preserve">with estimated standard error</w:t>
      </w:r>
      <w:r>
        <w:t xml:space="preserve"> </w:t>
      </w:r>
      <m:oMath>
        <m:sSub>
          <m:e>
            <m:acc>
              <m:accPr>
                <m:chr m:val="̂"/>
              </m:accPr>
              <m:e>
                <m:r>
                  <m:t>σ</m:t>
                </m:r>
              </m:e>
            </m:acc>
          </m:e>
          <m:sub>
            <m:r>
              <m:rPr>
                <m:nor/>
                <m:sty m:val="p"/>
              </m:rPr>
              <m:t>obs</m:t>
            </m:r>
          </m:sub>
        </m:sSub>
      </m:oMath>
      <w:r>
        <w:t xml:space="preserve">.</w:t>
      </w:r>
    </w:p>
    <w:p>
      <w:pPr>
        <w:pStyle w:val="BodyText"/>
      </w:pPr>
      <w:r>
        <w:t xml:space="preserve">In addition to the primary outcome</w:t>
      </w:r>
      <w:r>
        <w:t xml:space="preserve"> </w:t>
      </w:r>
      <m:oMath>
        <m:r>
          <m:t>Y</m:t>
        </m:r>
      </m:oMath>
      <w:r>
        <w:t xml:space="preserve">, the investigator has</w:t>
      </w:r>
      <w:r>
        <w:t xml:space="preserve"> </w:t>
      </w:r>
      <m:oMath>
        <m:r>
          <m:t>K</m:t>
        </m:r>
      </m:oMath>
      <w:r>
        <w:t xml:space="preserve"> </w:t>
      </w:r>
      <w:r>
        <w:t xml:space="preserve">negative control outcomes</w:t>
      </w:r>
      <w:r>
        <w:t xml:space="preserve"> </w:t>
      </w:r>
      <m:oMath>
        <m:sSub>
          <m:e>
            <m:r>
              <m:t>N</m:t>
            </m:r>
          </m:e>
          <m:sub>
            <m:r>
              <m:t>1</m:t>
            </m:r>
          </m:sub>
        </m:sSub>
        <m:r>
          <m:rPr>
            <m:sty m:val="p"/>
          </m:rPr>
          <m:t>,</m:t>
        </m:r>
        <m:r>
          <m:rPr>
            <m:sty m:val="p"/>
          </m:rPr>
          <m:t>…</m:t>
        </m:r>
        <m:r>
          <m:rPr>
            <m:sty m:val="p"/>
          </m:rPr>
          <m:t>,</m:t>
        </m:r>
        <m:sSub>
          <m:e>
            <m:r>
              <m:t>N</m:t>
            </m:r>
          </m:e>
          <m:sub>
            <m:r>
              <m:t>K</m:t>
            </m:r>
          </m:sub>
        </m:sSub>
      </m:oMath>
      <w:r>
        <w:t xml:space="preserve">. Each negative control</w:t>
      </w:r>
      <w:r>
        <w:t xml:space="preserve"> </w:t>
      </w:r>
      <m:oMath>
        <m:sSub>
          <m:e>
            <m:r>
              <m:t>N</m:t>
            </m:r>
          </m:e>
          <m:sub>
            <m:r>
              <m:t>k</m:t>
            </m:r>
          </m:sub>
        </m:sSub>
      </m:oMath>
      <w:r>
        <w:t xml:space="preserve"> </w:t>
      </w:r>
      <w:r>
        <w:t xml:space="preserve">shares the confounding structure of</w:t>
      </w:r>
      <w:r>
        <w:t xml:space="preserve"> </w:t>
      </w:r>
      <m:oMath>
        <m:r>
          <m:t>Y</m:t>
        </m:r>
      </m:oMath>
      <w:r>
        <w:t xml:space="preserve">, meaning the same set of unmeasured confounders affects both</w:t>
      </w:r>
      <w:r>
        <w:t xml:space="preserve"> </w:t>
      </w:r>
      <m:oMath>
        <m:sSub>
          <m:e>
            <m:r>
              <m:t>N</m:t>
            </m:r>
          </m:e>
          <m:sub>
            <m:r>
              <m:t>k</m:t>
            </m:r>
          </m:sub>
        </m:sSub>
      </m:oMath>
      <w:r>
        <w:t xml:space="preserve"> </w:t>
      </w:r>
      <w:r>
        <w:t xml:space="preserve">and</w:t>
      </w:r>
      <w:r>
        <w:t xml:space="preserve"> </w:t>
      </w:r>
      <m:oMath>
        <m:r>
          <m:t>Y</m:t>
        </m:r>
      </m:oMath>
      <w:r>
        <w:t xml:space="preserve">, but</w:t>
      </w:r>
      <w:r>
        <w:t xml:space="preserve"> </w:t>
      </w:r>
      <m:oMath>
        <m:sSub>
          <m:e>
            <m:r>
              <m:t>N</m:t>
            </m:r>
          </m:e>
          <m:sub>
            <m:r>
              <m:t>k</m:t>
            </m:r>
          </m:sub>
        </m:sSub>
      </m:oMath>
      <w:r>
        <w:t xml:space="preserve"> </w:t>
      </w:r>
      <w:r>
        <w:t xml:space="preserve">is not causally affected by treatment</w:t>
      </w:r>
      <w:r>
        <w:t xml:space="preserve"> </w:t>
      </w:r>
      <m:oMath>
        <m:r>
          <m:t>A</m:t>
        </m:r>
      </m:oMath>
      <w:r>
        <w:t xml:space="preserve">. For each control, the same estimator</w:t>
      </w:r>
      <w:r>
        <w:t xml:space="preserve"> </w:t>
      </w:r>
      <m:oMath>
        <m:acc>
          <m:accPr>
            <m:chr m:val="̂"/>
          </m:accPr>
          <m:e>
            <m:r>
              <m:t>ψ</m:t>
            </m:r>
          </m:e>
        </m:acc>
      </m:oMath>
      <w:r>
        <w:t xml:space="preserve"> </w:t>
      </w:r>
      <w:r>
        <w:t xml:space="preserve">is applied to obtain</w:t>
      </w:r>
      <w:r>
        <w:t xml:space="preserve"> </w:t>
      </w:r>
      <m:oMath>
        <m:sSub>
          <m:e>
            <m:acc>
              <m:accPr>
                <m:chr m:val="̂"/>
              </m:accPr>
              <m:e>
                <m:r>
                  <m:t>γ</m:t>
                </m:r>
              </m:e>
            </m:acc>
          </m:e>
          <m:sub>
            <m:r>
              <m:t>k</m:t>
            </m:r>
          </m:sub>
        </m:sSub>
      </m:oMath>
      <w:r>
        <w:t xml:space="preserve">, the estimated log relative risk associating</w:t>
      </w:r>
      <w:r>
        <w:t xml:space="preserve"> </w:t>
      </w:r>
      <m:oMath>
        <m:r>
          <m:t>A</m:t>
        </m:r>
      </m:oMath>
      <w:r>
        <w:t xml:space="preserve"> </w:t>
      </w:r>
      <w:r>
        <w:t xml:space="preserve">with</w:t>
      </w:r>
      <w:r>
        <w:t xml:space="preserve"> </w:t>
      </w:r>
      <m:oMath>
        <m:sSub>
          <m:e>
            <m:r>
              <m:t>N</m:t>
            </m:r>
          </m:e>
          <m:sub>
            <m:r>
              <m:t>k</m:t>
            </m:r>
          </m:sub>
        </m:sSub>
      </m:oMath>
      <w:r>
        <w:t xml:space="preserve">, along with its standard error</w:t>
      </w:r>
      <w:r>
        <w:t xml:space="preserve"> </w:t>
      </w:r>
      <m:oMath>
        <m:sSub>
          <m:e>
            <m:acc>
              <m:accPr>
                <m:chr m:val="̂"/>
              </m:accPr>
              <m:e>
                <m:r>
                  <m:t>τ</m:t>
                </m:r>
              </m:e>
            </m:acc>
          </m:e>
          <m:sub>
            <m:r>
              <m:t>k</m:t>
            </m:r>
          </m:sub>
        </m:sSub>
      </m:oMath>
      <w:r>
        <w:t xml:space="preserve">.</w:t>
      </w:r>
    </w:p>
    <w:p>
      <w:pPr>
        <w:pStyle w:val="BodyText"/>
      </w:pPr>
      <w:r>
        <w:t xml:space="preserve">The key working assumption is</w:t>
      </w:r>
      <w:r>
        <w:t xml:space="preserve"> </w:t>
      </w:r>
      <w:r>
        <w:rPr>
          <w:b/>
          <w:bCs/>
        </w:rPr>
        <w:t xml:space="preserve">shared bias structure</w:t>
      </w:r>
      <w:r>
        <w:t xml:space="preserve"> </w:t>
      </w:r>
      <w:r>
        <w:t xml:space="preserve">(also termed bias exchangeability): conditional on measured covariates, the distribution of residual bias affecting the primary estimate</w:t>
      </w:r>
      <w:r>
        <w:t xml:space="preserve"> </w:t>
      </w:r>
      <m:oMath>
        <m:sSub>
          <m:e>
            <m:acc>
              <m:accPr>
                <m:chr m:val="̂"/>
              </m:accPr>
              <m:e>
                <m:r>
                  <m:t>ψ</m:t>
                </m:r>
              </m:e>
            </m:acc>
          </m:e>
          <m:sub>
            <m:r>
              <m:rPr>
                <m:nor/>
                <m:sty m:val="p"/>
              </m:rPr>
              <m:t>obs</m:t>
            </m:r>
          </m:sub>
        </m:sSub>
      </m:oMath>
      <w:r>
        <w:t xml:space="preserve"> </w:t>
      </w:r>
      <w:r>
        <w:t xml:space="preserve">is approximately the same as the distribution governing the negative control estimates</w:t>
      </w:r>
      <w:r>
        <w:t xml:space="preserve"> </w:t>
      </w:r>
      <m:oMath>
        <m:sSub>
          <m:e>
            <m:acc>
              <m:accPr>
                <m:chr m:val="̂"/>
              </m:accPr>
              <m:e>
                <m:r>
                  <m:t>γ</m:t>
                </m:r>
              </m:e>
            </m:acc>
          </m:e>
          <m:sub>
            <m:r>
              <m:t>1</m:t>
            </m:r>
          </m:sub>
        </m:sSub>
        <m:r>
          <m:rPr>
            <m:sty m:val="p"/>
          </m:rPr>
          <m:t>,</m:t>
        </m:r>
        <m:r>
          <m:rPr>
            <m:sty m:val="p"/>
          </m:rPr>
          <m:t>…</m:t>
        </m:r>
        <m:r>
          <m:rPr>
            <m:sty m:val="p"/>
          </m:rPr>
          <m:t>,</m:t>
        </m:r>
        <m:sSub>
          <m:e>
            <m:acc>
              <m:accPr>
                <m:chr m:val="̂"/>
              </m:accPr>
              <m:e>
                <m:r>
                  <m:t>γ</m:t>
                </m:r>
              </m:e>
            </m:acc>
          </m:e>
          <m:sub>
            <m:r>
              <m:t>K</m:t>
            </m:r>
          </m:sub>
        </m:sSub>
      </m:oMath>
      <w:r>
        <w:t xml:space="preserve">. We use the term bias exchangeability to distinguish this assumption from the standard causal exchangeability assumption (no unmeasured confounding); the two are related but distinct. Under bias exchangeability, the negative controls form a sample from the bias-generating process, allowing empirical estimation of the bias distribution. This assumption, like the no-unmeasured-confounding assumption it is meant to diagnose, cannot be directly verified from the data; its plausibility must be assessed through domain knowledge and sensitivity analyses.</w:t>
      </w:r>
    </w:p>
    <w:bookmarkEnd w:id="9"/>
    <w:bookmarkStart w:id="10" w:name="definition-of-the-credibility-metric"/>
    <w:p>
      <w:pPr>
        <w:pStyle w:val="Heading2"/>
      </w:pPr>
      <w:r>
        <w:t xml:space="preserve">Definition of the credibility metric</w:t>
      </w:r>
    </w:p>
    <w:p>
      <w:pPr>
        <w:pStyle w:val="FirstParagraph"/>
      </w:pPr>
      <w:r>
        <w:t xml:space="preserve">Let</w:t>
      </w:r>
      <w:r>
        <w:t xml:space="preserve"> </w:t>
      </w:r>
      <m:oMath>
        <m:sSub>
          <m:e>
            <m:r>
              <m:t>μ</m:t>
            </m:r>
          </m:e>
          <m:sub>
            <m:r>
              <m:t>B</m:t>
            </m:r>
          </m:sub>
        </m:sSub>
      </m:oMath>
      <w:r>
        <w:t xml:space="preserve"> </w:t>
      </w:r>
      <w:r>
        <w:t xml:space="preserve">denote the mean systematic bias. Under the bias exchangeability assumption,</w:t>
      </w:r>
      <w:r>
        <w:t xml:space="preserve"> </w:t>
      </w:r>
      <m:oMath>
        <m:sSub>
          <m:e>
            <m:r>
              <m:t>μ</m:t>
            </m:r>
          </m:e>
          <m:sub>
            <m:r>
              <m:t>B</m:t>
            </m:r>
          </m:sub>
        </m:sSub>
      </m:oMath>
      <w:r>
        <w:t xml:space="preserve"> </w:t>
      </w:r>
      <w:r>
        <w:t xml:space="preserve">can be estimated from the negative controls:</w:t>
      </w:r>
      <w:r>
        <w:t xml:space="preserve"> </w:t>
      </w:r>
      <m:oMath>
        <m:sSub>
          <m:e>
            <m:acc>
              <m:accPr>
                <m:chr m:val="̂"/>
              </m:accPr>
              <m:e>
                <m:r>
                  <m:t>μ</m:t>
                </m:r>
              </m:e>
            </m:acc>
          </m:e>
          <m:sub>
            <m:r>
              <m:t>B</m:t>
            </m:r>
          </m:sub>
        </m:sSub>
      </m:oMath>
      <w:r>
        <w:t xml:space="preserve"> </w:t>
      </w:r>
      <w:r>
        <w:t xml:space="preserve">is obtained by fitting an empirical null distribution to</w:t>
      </w:r>
      <w:r>
        <w:t xml:space="preserve"> </w:t>
      </w:r>
      <m:oMath>
        <m:r>
          <m:rPr>
            <m:sty m:val="p"/>
          </m:rPr>
          <m:t>{</m:t>
        </m:r>
        <m:r>
          <m:rPr>
            <m:sty m:val="p"/>
          </m:rPr>
          <m:t>(</m:t>
        </m:r>
        <m:sSub>
          <m:e>
            <m:acc>
              <m:accPr>
                <m:chr m:val="̂"/>
              </m:accPr>
              <m:e>
                <m:r>
                  <m:t>γ</m:t>
                </m:r>
              </m:e>
            </m:acc>
          </m:e>
          <m:sub>
            <m:r>
              <m:t>k</m:t>
            </m:r>
          </m:sub>
        </m:sSub>
        <m:r>
          <m:rPr>
            <m:sty m:val="p"/>
          </m:rPr>
          <m:t>,</m:t>
        </m:r>
        <m:sSub>
          <m:e>
            <m:acc>
              <m:accPr>
                <m:chr m:val="̂"/>
              </m:accPr>
              <m:e>
                <m:r>
                  <m:t>τ</m:t>
                </m:r>
              </m:e>
            </m:acc>
          </m:e>
          <m:sub>
            <m:r>
              <m:t>k</m:t>
            </m:r>
          </m:sub>
        </m:sSub>
        <m:r>
          <m:rPr>
            <m:sty m:val="p"/>
          </m:rPr>
          <m:t>)</m:t>
        </m:r>
        <m:sSubSup>
          <m:e>
            <m:r>
              <m:rPr>
                <m:sty m:val="p"/>
              </m:rPr>
              <m:t>}</m:t>
            </m:r>
          </m:e>
          <m:sub>
            <m:r>
              <m:t>k</m:t>
            </m:r>
            <m:r>
              <m:rPr>
                <m:sty m:val="p"/>
              </m:rPr>
              <m:t>=</m:t>
            </m:r>
            <m:r>
              <m:t>1</m:t>
            </m:r>
          </m:sub>
          <m:sup>
            <m:r>
              <m:t>K</m:t>
            </m:r>
          </m:sup>
        </m:sSubSup>
      </m:oMath>
      <w:r>
        <w:rPr>
          <w:vertAlign w:val="superscript"/>
        </w:rPr>
        <w:t xml:space="preserve">1</w:t>
      </w:r>
      <w:r>
        <w:t xml:space="preserve">. The bias-corrected (calibrated) estimate is</w:t>
      </w:r>
      <w:r>
        <w:t xml:space="preserve"> </w:t>
      </w:r>
      <m:oMath>
        <m:acc>
          <m:accPr>
            <m:chr m:val="̃"/>
          </m:accPr>
          <m:e>
            <m:r>
              <m:t>ψ</m:t>
            </m:r>
          </m:e>
        </m:acc>
        <m:r>
          <m:rPr>
            <m:sty m:val="p"/>
          </m:rPr>
          <m:t>=</m:t>
        </m:r>
        <m:sSub>
          <m:e>
            <m:acc>
              <m:accPr>
                <m:chr m:val="̂"/>
              </m:accPr>
              <m:e>
                <m:r>
                  <m:t>ψ</m:t>
                </m:r>
              </m:e>
            </m:acc>
          </m:e>
          <m:sub>
            <m:r>
              <m:rPr>
                <m:nor/>
                <m:sty m:val="p"/>
              </m:rPr>
              <m:t>obs</m:t>
            </m:r>
          </m:sub>
        </m:sSub>
        <m:r>
          <m:rPr>
            <m:sty m:val="p"/>
          </m:rPr>
          <m:t>−</m:t>
        </m:r>
        <m:sSub>
          <m:e>
            <m:acc>
              <m:accPr>
                <m:chr m:val="̂"/>
              </m:accPr>
              <m:e>
                <m:r>
                  <m:t>μ</m:t>
                </m:r>
              </m:e>
            </m:acc>
          </m:e>
          <m:sub>
            <m:r>
              <m:t>B</m:t>
            </m:r>
          </m:sub>
        </m:sSub>
      </m:oMath>
      <w:r>
        <w:t xml:space="preserve">, with calibrated standard error</w:t>
      </w:r>
      <w:r>
        <w:t xml:space="preserve"> </w:t>
      </w:r>
      <m:oMath>
        <m:acc>
          <m:accPr>
            <m:chr m:val="̃"/>
          </m:accPr>
          <m:e>
            <m:r>
              <m:t>σ</m:t>
            </m:r>
          </m:e>
        </m:acc>
        <m:r>
          <m:rPr>
            <m:sty m:val="p"/>
          </m:rPr>
          <m:t>=</m:t>
        </m:r>
        <m:rad>
          <m:radPr>
            <m:degHide m:val="on"/>
          </m:radPr>
          <m:deg/>
          <m:e>
            <m:sSubSup>
              <m:e>
                <m:acc>
                  <m:accPr>
                    <m:chr m:val="̂"/>
                  </m:accPr>
                  <m:e>
                    <m:r>
                      <m:t>σ</m:t>
                    </m:r>
                  </m:e>
                </m:acc>
              </m:e>
              <m:sub>
                <m:r>
                  <m:rPr>
                    <m:nor/>
                    <m:sty m:val="p"/>
                  </m:rPr>
                  <m:t>obs</m:t>
                </m:r>
              </m:sub>
              <m:sup>
                <m:r>
                  <m:t>2</m:t>
                </m:r>
              </m:sup>
            </m:sSubSup>
            <m:r>
              <m:rPr>
                <m:sty m:val="p"/>
              </m:rPr>
              <m:t>+</m:t>
            </m:r>
            <m:sSubSup>
              <m:e>
                <m:acc>
                  <m:accPr>
                    <m:chr m:val="̂"/>
                  </m:accPr>
                  <m:e>
                    <m:r>
                      <m:t>σ</m:t>
                    </m:r>
                  </m:e>
                </m:acc>
              </m:e>
              <m:sub>
                <m:r>
                  <m:t>B</m:t>
                </m:r>
              </m:sub>
              <m:sup>
                <m:r>
                  <m:t>2</m:t>
                </m:r>
              </m:sup>
            </m:sSubSup>
          </m:e>
        </m:rad>
      </m:oMath>
      <w:r>
        <w:t xml:space="preserve">, where</w:t>
      </w:r>
      <w:r>
        <w:t xml:space="preserve"> </w:t>
      </w:r>
      <m:oMath>
        <m:sSub>
          <m:e>
            <m:acc>
              <m:accPr>
                <m:chr m:val="̂"/>
              </m:accPr>
              <m:e>
                <m:r>
                  <m:t>σ</m:t>
                </m:r>
              </m:e>
            </m:acc>
          </m:e>
          <m:sub>
            <m:r>
              <m:t>B</m:t>
            </m:r>
          </m:sub>
        </m:sSub>
      </m:oMath>
      <w:r>
        <w:t xml:space="preserve"> </w:t>
      </w:r>
      <w:r>
        <w:t xml:space="preserve">is the estimated between-control heterogeneity in bias.</w:t>
      </w:r>
    </w:p>
    <w:p>
      <w:pPr>
        <w:pStyle w:val="BodyText"/>
      </w:pPr>
      <m:oMathPara>
        <m:oMathParaPr>
          <m:jc m:val="center"/>
        </m:oMathParaPr>
        <m:oMath>
          <m:r>
            <m:rPr>
              <m:sty m:val="p"/>
            </m:rPr>
            <m:t>B</m:t>
          </m:r>
          <m:r>
            <m:rPr>
              <m:sty m:val="p"/>
            </m:rPr>
            <m:t>F</m:t>
          </m:r>
          <m:r>
            <m:rPr>
              <m:sty m:val="p"/>
            </m:rPr>
            <m:t>=</m:t>
          </m:r>
          <m:f>
            <m:fPr>
              <m:type m:val="bar"/>
            </m:fPr>
            <m:num>
              <m:r>
                <m:rPr>
                  <m:sty m:val="p"/>
                </m:rPr>
                <m:t>|</m:t>
              </m:r>
              <m:sSub>
                <m:e>
                  <m:acc>
                    <m:accPr>
                      <m:chr m:val="̂"/>
                    </m:accPr>
                    <m:e>
                      <m:r>
                        <m:t>μ</m:t>
                      </m:r>
                    </m:e>
                  </m:acc>
                </m:e>
                <m:sub>
                  <m:r>
                    <m:t>B</m:t>
                  </m:r>
                </m:sub>
              </m:sSub>
              <m:r>
                <m:rPr>
                  <m:sty m:val="p"/>
                </m:rPr>
                <m:t>|</m:t>
              </m:r>
            </m:num>
            <m:den>
              <m:r>
                <m:rPr>
                  <m:sty m:val="p"/>
                </m:rPr>
                <m:t>|</m:t>
              </m:r>
              <m:sSub>
                <m:e>
                  <m:acc>
                    <m:accPr>
                      <m:chr m:val="̂"/>
                    </m:accPr>
                    <m:e>
                      <m:r>
                        <m:t>μ</m:t>
                      </m:r>
                    </m:e>
                  </m:acc>
                </m:e>
                <m:sub>
                  <m:r>
                    <m:t>B</m:t>
                  </m:r>
                </m:sub>
              </m:sSub>
              <m:r>
                <m:rPr>
                  <m:sty m:val="p"/>
                </m:rPr>
                <m:t>|</m:t>
              </m:r>
              <m:r>
                <m:rPr>
                  <m:sty m:val="p"/>
                </m:rPr>
                <m:t>+</m:t>
              </m:r>
              <m:r>
                <m:rPr>
                  <m:sty m:val="p"/>
                </m:rPr>
                <m:t>|</m:t>
              </m:r>
              <m:acc>
                <m:accPr>
                  <m:chr m:val="̃"/>
                </m:accPr>
                <m:e>
                  <m:r>
                    <m:t>ψ</m:t>
                  </m:r>
                </m:e>
              </m:acc>
              <m:r>
                <m:rPr>
                  <m:sty m:val="p"/>
                </m:rPr>
                <m:t>|</m:t>
              </m:r>
            </m:den>
          </m:f>
          <m:r>
            <m:rPr>
              <m:sty m:val="p"/>
            </m:rPr>
            <m:t>=</m:t>
          </m:r>
          <m:f>
            <m:fPr>
              <m:type m:val="bar"/>
            </m:fPr>
            <m:num>
              <m:r>
                <m:rPr>
                  <m:sty m:val="p"/>
                </m:rPr>
                <m:t>|</m:t>
              </m:r>
              <m:sSub>
                <m:e>
                  <m:acc>
                    <m:accPr>
                      <m:chr m:val="̂"/>
                    </m:accPr>
                    <m:e>
                      <m:r>
                        <m:t>μ</m:t>
                      </m:r>
                    </m:e>
                  </m:acc>
                </m:e>
                <m:sub>
                  <m:r>
                    <m:t>B</m:t>
                  </m:r>
                </m:sub>
              </m:sSub>
              <m:r>
                <m:rPr>
                  <m:sty m:val="p"/>
                </m:rPr>
                <m:t>|</m:t>
              </m:r>
            </m:num>
            <m:den>
              <m:r>
                <m:rPr>
                  <m:sty m:val="p"/>
                </m:rPr>
                <m:t>|</m:t>
              </m:r>
              <m:sSub>
                <m:e>
                  <m:acc>
                    <m:accPr>
                      <m:chr m:val="̂"/>
                    </m:accPr>
                    <m:e>
                      <m:r>
                        <m:t>μ</m:t>
                      </m:r>
                    </m:e>
                  </m:acc>
                </m:e>
                <m:sub>
                  <m:r>
                    <m:t>B</m:t>
                  </m:r>
                </m:sub>
              </m:sSub>
              <m:r>
                <m:rPr>
                  <m:sty m:val="p"/>
                </m:rPr>
                <m:t>|</m:t>
              </m:r>
              <m:r>
                <m:rPr>
                  <m:sty m:val="p"/>
                </m:rPr>
                <m:t>+</m:t>
              </m:r>
              <m:r>
                <m:rPr>
                  <m:sty m:val="p"/>
                </m:rPr>
                <m:t>|</m:t>
              </m:r>
              <m:sSub>
                <m:e>
                  <m:acc>
                    <m:accPr>
                      <m:chr m:val="̂"/>
                    </m:accPr>
                    <m:e>
                      <m:r>
                        <m:t>ψ</m:t>
                      </m:r>
                    </m:e>
                  </m:acc>
                </m:e>
                <m:sub>
                  <m:r>
                    <m:rPr>
                      <m:nor/>
                      <m:sty m:val="p"/>
                    </m:rPr>
                    <m:t>obs</m:t>
                  </m:r>
                </m:sub>
              </m:sSub>
              <m:r>
                <m:rPr>
                  <m:sty m:val="p"/>
                </m:rPr>
                <m:t>−</m:t>
              </m:r>
              <m:sSub>
                <m:e>
                  <m:acc>
                    <m:accPr>
                      <m:chr m:val="̂"/>
                    </m:accPr>
                    <m:e>
                      <m:r>
                        <m:t>μ</m:t>
                      </m:r>
                    </m:e>
                  </m:acc>
                </m:e>
                <m:sub>
                  <m:r>
                    <m:t>B</m:t>
                  </m:r>
                </m:sub>
              </m:sSub>
              <m:r>
                <m:rPr>
                  <m:sty m:val="p"/>
                </m:rPr>
                <m:t>|</m:t>
              </m:r>
            </m:den>
          </m:f>
        </m:oMath>
      </m:oMathPara>
    </w:p>
    <w:p>
      <w:pPr>
        <w:pStyle w:val="FirstParagraph"/>
      </w:pPr>
      <w:r>
        <w:t xml:space="preserve">BF is the share of the total calibrated signal, bias plus residual effect, attributable to systematic bias. It lies in [0,1] by construction; BF = 1 when the calibrated estimate is exactly zero, and BF = 0 when no systematic bias is estimated. The value 0.5 marks equal contributions of bias and residual effect; 1/3 marks a residual effect twice the bias.</w:t>
      </w:r>
    </w:p>
    <w:p>
      <w:pPr>
        <w:pStyle w:val="BodyText"/>
      </w:pPr>
      <w:r>
        <w:rPr>
          <w:b/>
          <w:bCs/>
        </w:rPr>
        <w:t xml:space="preserve">Rationale for the bounded form.</w:t>
      </w:r>
      <w:r>
        <w:t xml:space="preserve"> </w:t>
      </w:r>
      <w:r>
        <w:t xml:space="preserve">The ratio form is preferred over a bias difference (</w:t>
      </w:r>
      <m:oMath>
        <m:r>
          <m:rPr>
            <m:sty m:val="p"/>
          </m:rPr>
          <m:t>|</m:t>
        </m:r>
        <m:sSub>
          <m:e>
            <m:acc>
              <m:accPr>
                <m:chr m:val="̂"/>
              </m:accPr>
              <m:e>
                <m:r>
                  <m:t>μ</m:t>
                </m:r>
              </m:e>
            </m:acc>
          </m:e>
          <m:sub>
            <m:r>
              <m:t>B</m:t>
            </m:r>
          </m:sub>
        </m:sSub>
        <m:r>
          <m:rPr>
            <m:sty m:val="p"/>
          </m:rPr>
          <m:t>|</m:t>
        </m:r>
        <m:r>
          <m:rPr>
            <m:sty m:val="p"/>
          </m:rPr>
          <m:t>−</m:t>
        </m:r>
        <m:r>
          <m:rPr>
            <m:sty m:val="p"/>
          </m:rPr>
          <m:t>|</m:t>
        </m:r>
        <m:acc>
          <m:accPr>
            <m:chr m:val="̃"/>
          </m:accPr>
          <m:e>
            <m:r>
              <m:t>ψ</m:t>
            </m:r>
          </m:e>
        </m:acc>
        <m:r>
          <m:rPr>
            <m:sty m:val="p"/>
          </m:rPr>
          <m:t>|</m:t>
        </m:r>
      </m:oMath>
      <w:r>
        <w:t xml:space="preserve">) because, on the log relative risk scale, it is scale-invariant and directly captures the question of interest: of the signal that survives calibration, how much is bias? The specific choice of denominator, total calibrated signal rather than the residual effect alone, makes the metric bounded. The unbounded bias-effect ratio,</w:t>
      </w:r>
      <w:r>
        <w:t xml:space="preserve"> </w:t>
      </w:r>
      <m:oMath>
        <m:r>
          <m:rPr>
            <m:sty m:val="p"/>
          </m:rPr>
          <m:t>B</m:t>
        </m:r>
        <m:r>
          <m:rPr>
            <m:sty m:val="p"/>
          </m:rPr>
          <m:t>E</m:t>
        </m:r>
        <m:r>
          <m:rPr>
            <m:sty m:val="p"/>
          </m:rPr>
          <m:t>R</m:t>
        </m:r>
        <m:r>
          <m:rPr>
            <m:sty m:val="p"/>
          </m:rPr>
          <m:t>=</m:t>
        </m:r>
        <m:r>
          <m:rPr>
            <m:sty m:val="p"/>
          </m:rPr>
          <m:t>|</m:t>
        </m:r>
        <m:sSub>
          <m:e>
            <m:acc>
              <m:accPr>
                <m:chr m:val="̂"/>
              </m:accPr>
              <m:e>
                <m:r>
                  <m:t>μ</m:t>
                </m:r>
              </m:e>
            </m:acc>
          </m:e>
          <m:sub>
            <m:r>
              <m:t>B</m:t>
            </m:r>
          </m:sub>
        </m:sSub>
        <m:r>
          <m:rPr>
            <m:sty m:val="p"/>
          </m:rPr>
          <m:t>|</m:t>
        </m:r>
        <m:r>
          <m:rPr>
            <m:sty m:val="p"/>
          </m:rPr>
          <m:t>/</m:t>
        </m:r>
        <m:r>
          <m:rPr>
            <m:sty m:val="p"/>
          </m:rPr>
          <m:t>|</m:t>
        </m:r>
        <m:acc>
          <m:accPr>
            <m:chr m:val="̃"/>
          </m:accPr>
          <m:e>
            <m:r>
              <m:t>ψ</m:t>
            </m:r>
          </m:e>
        </m:acc>
        <m:r>
          <m:rPr>
            <m:sty m:val="p"/>
          </m:rPr>
          <m:t>|</m:t>
        </m:r>
      </m:oMath>
      <w:r>
        <w:t xml:space="preserve">, is likewise a metric introduced by this work; it carries the same information through</w:t>
      </w:r>
      <w:r>
        <w:t xml:space="preserve"> </w:t>
      </w:r>
      <m:oMath>
        <m:r>
          <m:rPr>
            <m:sty m:val="p"/>
          </m:rPr>
          <m:t>B</m:t>
        </m:r>
        <m:r>
          <m:rPr>
            <m:sty m:val="p"/>
          </m:rPr>
          <m:t>F</m:t>
        </m:r>
        <m:r>
          <m:rPr>
            <m:sty m:val="p"/>
          </m:rPr>
          <m:t>=</m:t>
        </m:r>
        <m:r>
          <m:rPr>
            <m:sty m:val="p"/>
          </m:rPr>
          <m:t>B</m:t>
        </m:r>
        <m:r>
          <m:rPr>
            <m:sty m:val="p"/>
          </m:rPr>
          <m:t>E</m:t>
        </m:r>
        <m:r>
          <m:rPr>
            <m:sty m:val="p"/>
          </m:rPr>
          <m:t>R</m:t>
        </m:r>
        <m:r>
          <m:rPr>
            <m:sty m:val="p"/>
          </m:rPr>
          <m:t>/</m:t>
        </m:r>
        <m:r>
          <m:rPr>
            <m:sty m:val="p"/>
          </m:rPr>
          <m:t>(</m:t>
        </m:r>
        <m:r>
          <m:t>1</m:t>
        </m:r>
        <m:r>
          <m:rPr>
            <m:sty m:val="p"/>
          </m:rPr>
          <m:t>+</m:t>
        </m:r>
        <m:r>
          <m:rPr>
            <m:sty m:val="p"/>
          </m:rPr>
          <m:t>B</m:t>
        </m:r>
        <m:r>
          <m:rPr>
            <m:sty m:val="p"/>
          </m:rPr>
          <m:t>E</m:t>
        </m:r>
        <m:r>
          <m:rPr>
            <m:sty m:val="p"/>
          </m:rPr>
          <m:t>R</m:t>
        </m:r>
        <m:r>
          <m:rPr>
            <m:sty m:val="p"/>
          </m:rPr>
          <m:t>)</m:t>
        </m:r>
      </m:oMath>
      <w:r>
        <w:t xml:space="preserve">. The bounded scale avoids the ratio’s instability when the denominator approaches zero and removes the need for special handling of infinite values at the null. We report BER as an auxiliary display.</w:t>
      </w:r>
    </w:p>
    <w:p>
      <w:pPr>
        <w:pStyle w:val="BodyText"/>
      </w:pPr>
      <w:r>
        <w:rPr>
          <w:b/>
          <w:bCs/>
        </w:rPr>
        <w:t xml:space="preserve">Observed bias fraction.</w:t>
      </w:r>
      <w:r>
        <w:t xml:space="preserve"> </w:t>
      </w:r>
      <w:r>
        <w:t xml:space="preserve">A companion quantity, the observed bias fraction (OBF), divides the estimated bias by the uncalibrated estimate:</w:t>
      </w:r>
      <w:r>
        <w:t xml:space="preserve"> </w:t>
      </w:r>
      <m:oMath>
        <m:r>
          <m:rPr>
            <m:sty m:val="p"/>
          </m:rPr>
          <m:t>O</m:t>
        </m:r>
        <m:r>
          <m:rPr>
            <m:sty m:val="p"/>
          </m:rPr>
          <m:t>B</m:t>
        </m:r>
        <m:r>
          <m:rPr>
            <m:sty m:val="p"/>
          </m:rPr>
          <m:t>F</m:t>
        </m:r>
        <m:r>
          <m:rPr>
            <m:sty m:val="p"/>
          </m:rPr>
          <m:t>=</m:t>
        </m:r>
        <m:r>
          <m:rPr>
            <m:sty m:val="p"/>
          </m:rPr>
          <m:t>|</m:t>
        </m:r>
        <m:sSub>
          <m:e>
            <m:acc>
              <m:accPr>
                <m:chr m:val="̂"/>
              </m:accPr>
              <m:e>
                <m:r>
                  <m:t>μ</m:t>
                </m:r>
              </m:e>
            </m:acc>
          </m:e>
          <m:sub>
            <m:r>
              <m:t>B</m:t>
            </m:r>
          </m:sub>
        </m:sSub>
        <m:r>
          <m:rPr>
            <m:sty m:val="p"/>
          </m:rPr>
          <m:t>|</m:t>
        </m:r>
        <m:r>
          <m:rPr>
            <m:sty m:val="p"/>
          </m:rPr>
          <m:t>/</m:t>
        </m:r>
        <m:r>
          <m:rPr>
            <m:sty m:val="p"/>
          </m:rPr>
          <m:t>|</m:t>
        </m:r>
        <m:sSub>
          <m:e>
            <m:acc>
              <m:accPr>
                <m:chr m:val="̂"/>
              </m:accPr>
              <m:e>
                <m:r>
                  <m:t>ψ</m:t>
                </m:r>
              </m:e>
            </m:acc>
          </m:e>
          <m:sub>
            <m:r>
              <m:rPr>
                <m:nor/>
                <m:sty m:val="p"/>
              </m:rPr>
              <m:t>obs</m:t>
            </m:r>
          </m:sub>
        </m:sSub>
        <m:r>
          <m:rPr>
            <m:sty m:val="p"/>
          </m:rPr>
          <m:t>|</m:t>
        </m:r>
      </m:oMath>
      <w:r>
        <w:t xml:space="preserve">. OBF answers</w:t>
      </w:r>
      <w:r>
        <w:t xml:space="preserve"> </w:t>
      </w:r>
      <w:r>
        <w:t xml:space="preserve">“of the association as estimated before calibration, what share is bias?”</w:t>
      </w:r>
      <w:r>
        <w:t xml:space="preserve"> </w:t>
      </w:r>
      <w:r>
        <w:t xml:space="preserve">In the beta-blocker analysis OBF = 1.03: the estimated bias is comparable to the entire observed association. In the GDMT analysis OBF = 0.44. OBF is descriptive and unbounded; all classifications use BF.</w:t>
      </w:r>
    </w:p>
    <w:p>
      <w:pPr>
        <w:pStyle w:val="BodyText"/>
      </w:pPr>
      <w:r>
        <w:t xml:space="preserve">The metric is defined in this work; it is not an existing output of the calibration software. It is computed directly from quantities already produced by the pre-existing OHDSI empirical calibration pipeline</w:t>
      </w:r>
      <w:r>
        <w:rPr>
          <w:vertAlign w:val="superscript"/>
        </w:rPr>
        <w:t xml:space="preserve">1,2</w:t>
      </w:r>
      <w:r>
        <w:t xml:space="preserve"> </w:t>
      </w:r>
      <w:r>
        <w:t xml:space="preserve">using the EmpiricalCalibration R package, and therefore requires no additional data beyond the negative control estimates and the primary estimate. The pipeline and package are prior methodology developed by Schuemie et al.; BF, BER, and OBF are metrics proposed in the parent manuscript that extend them.</w:t>
      </w:r>
    </w:p>
    <w:bookmarkEnd w:id="10"/>
    <w:bookmarkStart w:id="11" w:name="confidence-interval-for-bf"/>
    <w:p>
      <w:pPr>
        <w:pStyle w:val="Heading2"/>
      </w:pPr>
      <w:r>
        <w:t xml:space="preserve">Confidence interval for BF</w:t>
      </w:r>
    </w:p>
    <w:p>
      <w:pPr>
        <w:pStyle w:val="FirstParagraph"/>
      </w:pPr>
      <w:r>
        <w:t xml:space="preserve">A 95% confidence interval for BF is constructed through nonparametric bootstrap with</w:t>
      </w:r>
      <w:r>
        <w:t xml:space="preserve"> </w:t>
      </w:r>
      <m:oMath>
        <m:r>
          <m:t>B</m:t>
        </m:r>
        <m:r>
          <m:rPr>
            <m:sty m:val="p"/>
          </m:rPr>
          <m:t>=</m:t>
        </m:r>
        <m:r>
          <m:t>2000</m:t>
        </m:r>
      </m:oMath>
      <w:r>
        <w:t xml:space="preserve"> </w:t>
      </w:r>
      <w:r>
        <w:t xml:space="preserve">resamples, as follows. For each iteration</w:t>
      </w:r>
      <w:r>
        <w:t xml:space="preserve"> </w:t>
      </w:r>
      <m:oMath>
        <m:r>
          <m:t>b</m:t>
        </m:r>
        <m:r>
          <m:rPr>
            <m:sty m:val="p"/>
          </m:rPr>
          <m:t>=</m:t>
        </m:r>
        <m:r>
          <m:t>1</m:t>
        </m:r>
        <m:r>
          <m:rPr>
            <m:sty m:val="p"/>
          </m:rPr>
          <m:t>,</m:t>
        </m:r>
        <m:r>
          <m:rPr>
            <m:sty m:val="p"/>
          </m:rPr>
          <m:t>…</m:t>
        </m:r>
        <m:r>
          <m:rPr>
            <m:sty m:val="p"/>
          </m:rPr>
          <m:t>,</m:t>
        </m:r>
        <m:r>
          <m:t>B</m:t>
        </m:r>
      </m:oMath>
      <w:r>
        <w:t xml:space="preserve">: (1) resample the</w:t>
      </w:r>
      <w:r>
        <w:t xml:space="preserve"> </w:t>
      </w:r>
      <m:oMath>
        <m:r>
          <m:t>K</m:t>
        </m:r>
      </m:oMath>
      <w:r>
        <w:t xml:space="preserve"> </w:t>
      </w:r>
      <w:r>
        <w:t xml:space="preserve">negative control estimates</w:t>
      </w:r>
      <w:r>
        <w:t xml:space="preserve"> </w:t>
      </w:r>
      <m:oMath>
        <m:r>
          <m:rPr>
            <m:sty m:val="p"/>
          </m:rPr>
          <m:t>{</m:t>
        </m:r>
        <m:r>
          <m:rPr>
            <m:sty m:val="p"/>
          </m:rPr>
          <m:t>(</m:t>
        </m:r>
        <m:sSub>
          <m:e>
            <m:acc>
              <m:accPr>
                <m:chr m:val="̂"/>
              </m:accPr>
              <m:e>
                <m:r>
                  <m:t>γ</m:t>
                </m:r>
              </m:e>
            </m:acc>
          </m:e>
          <m:sub>
            <m:r>
              <m:t>k</m:t>
            </m:r>
          </m:sub>
        </m:sSub>
        <m:r>
          <m:rPr>
            <m:sty m:val="p"/>
          </m:rPr>
          <m:t>,</m:t>
        </m:r>
        <m:sSub>
          <m:e>
            <m:acc>
              <m:accPr>
                <m:chr m:val="̂"/>
              </m:accPr>
              <m:e>
                <m:r>
                  <m:t>τ</m:t>
                </m:r>
              </m:e>
            </m:acc>
          </m:e>
          <m:sub>
            <m:r>
              <m:t>k</m:t>
            </m:r>
          </m:sub>
        </m:sSub>
        <m:r>
          <m:rPr>
            <m:sty m:val="p"/>
          </m:rPr>
          <m:t>)</m:t>
        </m:r>
        <m:r>
          <m:rPr>
            <m:sty m:val="p"/>
          </m:rPr>
          <m:t>}</m:t>
        </m:r>
      </m:oMath>
      <w:r>
        <w:t xml:space="preserve"> </w:t>
      </w:r>
      <w:r>
        <w:t xml:space="preserve">with replacement; (2) refit the empirical null distribution to obtain</w:t>
      </w:r>
      <w:r>
        <w:t xml:space="preserve"> </w:t>
      </w:r>
      <m:oMath>
        <m:sSubSup>
          <m:e>
            <m:acc>
              <m:accPr>
                <m:chr m:val="̂"/>
              </m:accPr>
              <m:e>
                <m:r>
                  <m:t>μ</m:t>
                </m:r>
              </m:e>
            </m:acc>
          </m:e>
          <m:sub>
            <m:r>
              <m:t>B</m:t>
            </m:r>
          </m:sub>
          <m:sup>
            <m:r>
              <m:rPr>
                <m:sty m:val="p"/>
              </m:rPr>
              <m:t>(</m:t>
            </m:r>
            <m:r>
              <m:t>b</m:t>
            </m:r>
            <m:r>
              <m:rPr>
                <m:sty m:val="p"/>
              </m:rPr>
              <m:t>)</m:t>
            </m:r>
          </m:sup>
        </m:sSubSup>
      </m:oMath>
      <w:r>
        <w:t xml:space="preserve"> </w:t>
      </w:r>
      <w:r>
        <w:t xml:space="preserve">and</w:t>
      </w:r>
      <w:r>
        <w:t xml:space="preserve"> </w:t>
      </w:r>
      <m:oMath>
        <m:sSubSup>
          <m:e>
            <m:acc>
              <m:accPr>
                <m:chr m:val="̂"/>
              </m:accPr>
              <m:e>
                <m:r>
                  <m:t>σ</m:t>
                </m:r>
              </m:e>
            </m:acc>
          </m:e>
          <m:sub>
            <m:r>
              <m:t>B</m:t>
            </m:r>
          </m:sub>
          <m:sup>
            <m:r>
              <m:rPr>
                <m:sty m:val="p"/>
              </m:rPr>
              <m:t>(</m:t>
            </m:r>
            <m:r>
              <m:t>b</m:t>
            </m:r>
            <m:r>
              <m:rPr>
                <m:sty m:val="p"/>
              </m:rPr>
              <m:t>)</m:t>
            </m:r>
          </m:sup>
        </m:sSubSup>
      </m:oMath>
      <w:r>
        <w:t xml:space="preserve">; (3) compute the bias-corrected estimate</w:t>
      </w:r>
      <w:r>
        <w:t xml:space="preserve"> </w:t>
      </w:r>
      <m:oMath>
        <m:sSup>
          <m:e>
            <m:acc>
              <m:accPr>
                <m:chr m:val="̃"/>
              </m:accPr>
              <m:e>
                <m:r>
                  <m:t>ψ</m:t>
                </m:r>
              </m:e>
            </m:acc>
          </m:e>
          <m:sup>
            <m:r>
              <m:rPr>
                <m:sty m:val="p"/>
              </m:rPr>
              <m:t>(</m:t>
            </m:r>
            <m:r>
              <m:t>b</m:t>
            </m:r>
            <m:r>
              <m:rPr>
                <m:sty m:val="p"/>
              </m:rPr>
              <m:t>)</m:t>
            </m:r>
          </m:sup>
        </m:sSup>
        <m:r>
          <m:rPr>
            <m:sty m:val="p"/>
          </m:rPr>
          <m:t>=</m:t>
        </m:r>
        <m:sSub>
          <m:e>
            <m:acc>
              <m:accPr>
                <m:chr m:val="̂"/>
              </m:accPr>
              <m:e>
                <m:r>
                  <m:t>ψ</m:t>
                </m:r>
              </m:e>
            </m:acc>
          </m:e>
          <m:sub>
            <m:r>
              <m:rPr>
                <m:nor/>
                <m:sty m:val="p"/>
              </m:rPr>
              <m:t>obs</m:t>
            </m:r>
          </m:sub>
        </m:sSub>
        <m:r>
          <m:rPr>
            <m:sty m:val="p"/>
          </m:rPr>
          <m:t>−</m:t>
        </m:r>
        <m:sSubSup>
          <m:e>
            <m:acc>
              <m:accPr>
                <m:chr m:val="̂"/>
              </m:accPr>
              <m:e>
                <m:r>
                  <m:t>μ</m:t>
                </m:r>
              </m:e>
            </m:acc>
          </m:e>
          <m:sub>
            <m:r>
              <m:t>B</m:t>
            </m:r>
          </m:sub>
          <m:sup>
            <m:r>
              <m:rPr>
                <m:sty m:val="p"/>
              </m:rPr>
              <m:t>(</m:t>
            </m:r>
            <m:r>
              <m:t>b</m:t>
            </m:r>
            <m:r>
              <m:rPr>
                <m:sty m:val="p"/>
              </m:rPr>
              <m:t>)</m:t>
            </m:r>
          </m:sup>
        </m:sSubSup>
      </m:oMath>
      <w:r>
        <w:t xml:space="preserve">, holding the primary estimate</w:t>
      </w:r>
      <w:r>
        <w:t xml:space="preserve"> </w:t>
      </w:r>
      <m:oMath>
        <m:sSub>
          <m:e>
            <m:acc>
              <m:accPr>
                <m:chr m:val="̂"/>
              </m:accPr>
              <m:e>
                <m:r>
                  <m:t>ψ</m:t>
                </m:r>
              </m:e>
            </m:acc>
          </m:e>
          <m:sub>
            <m:r>
              <m:rPr>
                <m:nor/>
                <m:sty m:val="p"/>
              </m:rPr>
              <m:t>obs</m:t>
            </m:r>
          </m:sub>
        </m:sSub>
      </m:oMath>
      <w:r>
        <w:t xml:space="preserve"> </w:t>
      </w:r>
      <w:r>
        <w:t xml:space="preserve">fixed; (4) compute</w:t>
      </w:r>
      <w:r>
        <w:t xml:space="preserve"> </w:t>
      </w:r>
      <m:oMath>
        <m:sSup>
          <m:e>
            <m:r>
              <m:rPr>
                <m:sty m:val="p"/>
              </m:rPr>
              <m:t>B</m:t>
            </m:r>
            <m:r>
              <m:rPr>
                <m:sty m:val="p"/>
              </m:rPr>
              <m:t>F</m:t>
            </m:r>
          </m:e>
          <m:sup>
            <m:r>
              <m:rPr>
                <m:sty m:val="p"/>
              </m:rPr>
              <m:t>(</m:t>
            </m:r>
            <m:r>
              <m:t>b</m:t>
            </m:r>
            <m:r>
              <m:rPr>
                <m:sty m:val="p"/>
              </m:rPr>
              <m:t>)</m:t>
            </m:r>
          </m:sup>
        </m:sSup>
        <m:r>
          <m:rPr>
            <m:sty m:val="p"/>
          </m:rPr>
          <m:t>=</m:t>
        </m:r>
        <m:r>
          <m:rPr>
            <m:sty m:val="p"/>
          </m:rPr>
          <m:t>|</m:t>
        </m:r>
        <m:sSubSup>
          <m:e>
            <m:acc>
              <m:accPr>
                <m:chr m:val="̂"/>
              </m:accPr>
              <m:e>
                <m:r>
                  <m:t>μ</m:t>
                </m:r>
              </m:e>
            </m:acc>
          </m:e>
          <m:sub>
            <m:r>
              <m:t>B</m:t>
            </m:r>
          </m:sub>
          <m:sup>
            <m:r>
              <m:rPr>
                <m:sty m:val="p"/>
              </m:rPr>
              <m:t>(</m:t>
            </m:r>
            <m:r>
              <m:t>b</m:t>
            </m:r>
            <m:r>
              <m:rPr>
                <m:sty m:val="p"/>
              </m:rPr>
              <m:t>)</m:t>
            </m:r>
          </m:sup>
        </m:sSubSup>
        <m:r>
          <m:rPr>
            <m:sty m:val="p"/>
          </m:rPr>
          <m:t>|</m:t>
        </m:r>
        <m:r>
          <m:rPr>
            <m:sty m:val="p"/>
          </m:rPr>
          <m:t>/</m:t>
        </m:r>
        <m:r>
          <m:rPr>
            <m:sty m:val="p"/>
          </m:rPr>
          <m:t>(</m:t>
        </m:r>
        <m:r>
          <m:rPr>
            <m:sty m:val="p"/>
          </m:rPr>
          <m:t>|</m:t>
        </m:r>
        <m:sSubSup>
          <m:e>
            <m:acc>
              <m:accPr>
                <m:chr m:val="̂"/>
              </m:accPr>
              <m:e>
                <m:r>
                  <m:t>μ</m:t>
                </m:r>
              </m:e>
            </m:acc>
          </m:e>
          <m:sub>
            <m:r>
              <m:t>B</m:t>
            </m:r>
          </m:sub>
          <m:sup>
            <m:r>
              <m:rPr>
                <m:sty m:val="p"/>
              </m:rPr>
              <m:t>(</m:t>
            </m:r>
            <m:r>
              <m:t>b</m:t>
            </m:r>
            <m:r>
              <m:rPr>
                <m:sty m:val="p"/>
              </m:rPr>
              <m:t>)</m:t>
            </m:r>
          </m:sup>
        </m:sSubSup>
        <m:r>
          <m:rPr>
            <m:sty m:val="p"/>
          </m:rPr>
          <m:t>|</m:t>
        </m:r>
        <m:r>
          <m:rPr>
            <m:sty m:val="p"/>
          </m:rPr>
          <m:t>+</m:t>
        </m:r>
        <m:r>
          <m:rPr>
            <m:sty m:val="p"/>
          </m:rPr>
          <m:t>|</m:t>
        </m:r>
        <m:sSup>
          <m:e>
            <m:acc>
              <m:accPr>
                <m:chr m:val="̃"/>
              </m:accPr>
              <m:e>
                <m:r>
                  <m:t>ψ</m:t>
                </m:r>
              </m:e>
            </m:acc>
          </m:e>
          <m:sup>
            <m:r>
              <m:rPr>
                <m:sty m:val="p"/>
              </m:rPr>
              <m:t>(</m:t>
            </m:r>
            <m:r>
              <m:t>b</m:t>
            </m:r>
            <m:r>
              <m:rPr>
                <m:sty m:val="p"/>
              </m:rPr>
              <m:t>)</m:t>
            </m:r>
          </m:sup>
        </m:sSup>
        <m:r>
          <m:rPr>
            <m:sty m:val="p"/>
          </m:rPr>
          <m:t>|</m:t>
        </m:r>
        <m:r>
          <m:rPr>
            <m:sty m:val="p"/>
          </m:rPr>
          <m:t>)</m:t>
        </m:r>
      </m:oMath>
      <w:r>
        <w:t xml:space="preserve">. The 95% CI is the 2.5th and 97.5th percentiles of</w:t>
      </w:r>
      <w:r>
        <w:t xml:space="preserve"> </w:t>
      </w:r>
      <m:oMath>
        <m:r>
          <m:rPr>
            <m:sty m:val="p"/>
          </m:rPr>
          <m:t>{</m:t>
        </m:r>
        <m:sSup>
          <m:e>
            <m:r>
              <m:rPr>
                <m:sty m:val="p"/>
              </m:rPr>
              <m:t>B</m:t>
            </m:r>
            <m:r>
              <m:rPr>
                <m:sty m:val="p"/>
              </m:rPr>
              <m:t>F</m:t>
            </m:r>
          </m:e>
          <m:sup>
            <m:r>
              <m:rPr>
                <m:sty m:val="p"/>
              </m:rPr>
              <m:t>(</m:t>
            </m:r>
            <m:r>
              <m:t>b</m:t>
            </m:r>
            <m:r>
              <m:rPr>
                <m:sty m:val="p"/>
              </m:rPr>
              <m:t>)</m:t>
            </m:r>
          </m:sup>
        </m:sSup>
        <m:r>
          <m:rPr>
            <m:sty m:val="p"/>
          </m:rPr>
          <m:t>}</m:t>
        </m:r>
      </m:oMath>
      <w:r>
        <w:t xml:space="preserve"> </w:t>
      </w:r>
      <w:r>
        <w:t xml:space="preserve">on the logit scale, back-transformed to [0,1]; equivalently, it is the percentile CI of BER on the log scale, transformed to BF. The point estimate is the bootstrap median on the logit scale, back-transformed, so the point estimate and the CI come from the same distribution. Iterations where the empirical null fit fails are set to NA rather than silently substituted. In rare resamples where the estimated mean bias is exactly zero, the log ratio is floored at</w:t>
      </w:r>
      <w:r>
        <w:t xml:space="preserve"> </w:t>
      </w:r>
      <m:oMath>
        <m:sSup>
          <m:e>
            <m:r>
              <m:t>10</m:t>
            </m:r>
          </m:e>
          <m:sup>
            <m:r>
              <m:rPr>
                <m:sty m:val="p"/>
              </m:rPr>
              <m:t>−</m:t>
            </m:r>
            <m:r>
              <m:t>4</m:t>
            </m:r>
          </m:sup>
        </m:sSup>
      </m:oMath>
      <w:r>
        <w:t xml:space="preserve"> </w:t>
      </w:r>
      <w:r>
        <w:t xml:space="preserve">before the log transform (the logarithm of zero being undefined); the floor sits far below any practically relevant ratio value and leaves the reported intervals unchanged. The bootstrap resamples only the negative controls because the dominant source of uncertainty for BF is the estimation of</w:t>
      </w:r>
      <w:r>
        <w:t xml:space="preserve"> </w:t>
      </w:r>
      <m:oMath>
        <m:sSub>
          <m:e>
            <m:r>
              <m:t>μ</m:t>
            </m:r>
          </m:e>
          <m:sub>
            <m:r>
              <m:t>B</m:t>
            </m:r>
          </m:sub>
        </m:sSub>
      </m:oMath>
      <w:r>
        <w:t xml:space="preserve"> </w:t>
      </w:r>
      <w:r>
        <w:t xml:space="preserve">from a finite set of negative controls. As an alternative, Fieller’s theorem provides a closed-form confidence set for the underlying ratio that may offer better coverage when the denominator is near zero</w:t>
      </w:r>
      <w:r>
        <w:rPr>
          <w:vertAlign w:val="superscript"/>
        </w:rPr>
        <w:t xml:space="preserve">3</w:t>
      </w:r>
      <w:r>
        <w:t xml:space="preserve">.</w:t>
      </w:r>
    </w:p>
    <w:bookmarkEnd w:id="11"/>
    <w:bookmarkStart w:id="12" w:name="fieller-confidence-sets"/>
    <w:p>
      <w:pPr>
        <w:pStyle w:val="Heading2"/>
      </w:pPr>
      <w:r>
        <w:t xml:space="preserve">Fieller confidence sets</w:t>
      </w:r>
    </w:p>
    <w:p>
      <w:pPr>
        <w:pStyle w:val="FirstParagraph"/>
      </w:pPr>
      <w:r>
        <w:t xml:space="preserve">The signed ratio</w:t>
      </w:r>
      <w:r>
        <w:t xml:space="preserve"> </w:t>
      </w:r>
      <m:oMath>
        <m:r>
          <m:t>ρ</m:t>
        </m:r>
        <m:r>
          <m:rPr>
            <m:sty m:val="p"/>
          </m:rPr>
          <m:t>=</m:t>
        </m:r>
        <m:sSub>
          <m:e>
            <m:r>
              <m:t>μ</m:t>
            </m:r>
          </m:e>
          <m:sub>
            <m:r>
              <m:t>B</m:t>
            </m:r>
          </m:sub>
        </m:sSub>
        <m:r>
          <m:rPr>
            <m:sty m:val="p"/>
          </m:rPr>
          <m:t>/</m:t>
        </m:r>
        <m:acc>
          <m:accPr>
            <m:chr m:val="̃"/>
          </m:accPr>
          <m:e>
            <m:r>
              <m:t>ψ</m:t>
            </m:r>
          </m:e>
        </m:acc>
      </m:oMath>
      <w:r>
        <w:t xml:space="preserve"> </w:t>
      </w:r>
      <w:r>
        <w:t xml:space="preserve">underlies BF through</w:t>
      </w:r>
      <w:r>
        <w:t xml:space="preserve"> </w:t>
      </w:r>
      <m:oMath>
        <m:r>
          <m:rPr>
            <m:sty m:val="p"/>
          </m:rPr>
          <m:t>B</m:t>
        </m:r>
        <m:r>
          <m:rPr>
            <m:sty m:val="p"/>
          </m:rPr>
          <m:t>F</m:t>
        </m:r>
        <m:r>
          <m:rPr>
            <m:sty m:val="p"/>
          </m:rPr>
          <m:t>=</m:t>
        </m:r>
        <m:r>
          <m:rPr>
            <m:sty m:val="p"/>
          </m:rPr>
          <m:t>|</m:t>
        </m:r>
        <m:r>
          <m:t>ρ</m:t>
        </m:r>
        <m:r>
          <m:rPr>
            <m:sty m:val="p"/>
          </m:rPr>
          <m:t>|</m:t>
        </m:r>
        <m:r>
          <m:rPr>
            <m:sty m:val="p"/>
          </m:rPr>
          <m:t>/</m:t>
        </m:r>
        <m:r>
          <m:rPr>
            <m:sty m:val="p"/>
          </m:rPr>
          <m:t>(</m:t>
        </m:r>
        <m:r>
          <m:t>1</m:t>
        </m:r>
        <m:r>
          <m:rPr>
            <m:sty m:val="p"/>
          </m:rPr>
          <m:t>+</m:t>
        </m:r>
        <m:r>
          <m:rPr>
            <m:sty m:val="p"/>
          </m:rPr>
          <m:t>|</m:t>
        </m:r>
        <m:r>
          <m:t>ρ</m:t>
        </m:r>
        <m:r>
          <m:rPr>
            <m:sty m:val="p"/>
          </m:rPr>
          <m:t>|</m:t>
        </m:r>
        <m:r>
          <m:rPr>
            <m:sty m:val="p"/>
          </m:rPr>
          <m:t>)</m:t>
        </m:r>
      </m:oMath>
      <w:r>
        <w:t xml:space="preserve">. With</w:t>
      </w:r>
      <w:r>
        <w:t xml:space="preserve"> </w:t>
      </w:r>
      <m:oMath>
        <m:sSub>
          <m:e>
            <m:r>
              <m:t>m</m:t>
            </m:r>
          </m:e>
          <m:sub>
            <m:r>
              <m:t>1</m:t>
            </m:r>
          </m:sub>
        </m:sSub>
        <m:r>
          <m:rPr>
            <m:sty m:val="p"/>
          </m:rPr>
          <m:t>=</m:t>
        </m:r>
        <m:sSub>
          <m:e>
            <m:acc>
              <m:accPr>
                <m:chr m:val="̂"/>
              </m:accPr>
              <m:e>
                <m:r>
                  <m:t>μ</m:t>
                </m:r>
              </m:e>
            </m:acc>
          </m:e>
          <m:sub>
            <m:r>
              <m:t>B</m:t>
            </m:r>
          </m:sub>
        </m:sSub>
      </m:oMath>
      <w:r>
        <w:t xml:space="preserve">,</w:t>
      </w:r>
      <w:r>
        <w:t xml:space="preserve"> </w:t>
      </w:r>
      <m:oMath>
        <m:sSub>
          <m:e>
            <m:r>
              <m:t>m</m:t>
            </m:r>
          </m:e>
          <m:sub>
            <m:r>
              <m:t>2</m:t>
            </m:r>
          </m:sub>
        </m:sSub>
        <m:r>
          <m:rPr>
            <m:sty m:val="p"/>
          </m:rPr>
          <m:t>=</m:t>
        </m:r>
        <m:acc>
          <m:accPr>
            <m:chr m:val="̃"/>
          </m:accPr>
          <m:e>
            <m:r>
              <m:t>ψ</m:t>
            </m:r>
          </m:e>
        </m:acc>
      </m:oMath>
      <w:r>
        <w:t xml:space="preserve">,</w:t>
      </w:r>
      <w:r>
        <w:t xml:space="preserve"> </w:t>
      </w:r>
      <m:oMath>
        <m:sSub>
          <m:e>
            <m:r>
              <m:t>v</m:t>
            </m:r>
          </m:e>
          <m:sub>
            <m:r>
              <m:t>11</m:t>
            </m:r>
          </m:sub>
        </m:sSub>
        <m:r>
          <m:rPr>
            <m:sty m:val="p"/>
          </m:rPr>
          <m:t>=</m:t>
        </m:r>
        <m:r>
          <m:rPr>
            <m:sty m:val="p"/>
          </m:rPr>
          <m:t>V</m:t>
        </m:r>
        <m:r>
          <m:rPr>
            <m:sty m:val="p"/>
          </m:rPr>
          <m:t>a</m:t>
        </m:r>
        <m:r>
          <m:rPr>
            <m:sty m:val="p"/>
          </m:rPr>
          <m:t>r</m:t>
        </m:r>
        <m:r>
          <m:rPr>
            <m:sty m:val="p"/>
          </m:rPr>
          <m:t>(</m:t>
        </m:r>
        <m:sSub>
          <m:e>
            <m:acc>
              <m:accPr>
                <m:chr m:val="̂"/>
              </m:accPr>
              <m:e>
                <m:r>
                  <m:t>μ</m:t>
                </m:r>
              </m:e>
            </m:acc>
          </m:e>
          <m:sub>
            <m:r>
              <m:t>B</m:t>
            </m:r>
          </m:sub>
        </m:sSub>
        <m:r>
          <m:rPr>
            <m:sty m:val="p"/>
          </m:rPr>
          <m:t>)</m:t>
        </m:r>
      </m:oMath>
      <w:r>
        <w:t xml:space="preserve">,</w:t>
      </w:r>
      <w:r>
        <w:t xml:space="preserve"> </w:t>
      </w:r>
      <m:oMath>
        <m:sSub>
          <m:e>
            <m:r>
              <m:t>v</m:t>
            </m:r>
          </m:e>
          <m:sub>
            <m:r>
              <m:t>22</m:t>
            </m:r>
          </m:sub>
        </m:sSub>
        <m:r>
          <m:rPr>
            <m:sty m:val="p"/>
          </m:rPr>
          <m:t>=</m:t>
        </m:r>
        <m:sSubSup>
          <m:e>
            <m:acc>
              <m:accPr>
                <m:chr m:val="̂"/>
              </m:accPr>
              <m:e>
                <m:r>
                  <m:t>σ</m:t>
                </m:r>
              </m:e>
            </m:acc>
          </m:e>
          <m:sub>
            <m:r>
              <m:rPr>
                <m:nor/>
                <m:sty m:val="p"/>
              </m:rPr>
              <m:t>obs</m:t>
            </m:r>
          </m:sub>
          <m:sup>
            <m:r>
              <m:t>2</m:t>
            </m:r>
          </m:sup>
        </m:sSubSup>
        <m:r>
          <m:rPr>
            <m:sty m:val="p"/>
          </m:rPr>
          <m:t>+</m:t>
        </m:r>
        <m:sSub>
          <m:e>
            <m:r>
              <m:t>v</m:t>
            </m:r>
          </m:e>
          <m:sub>
            <m:r>
              <m:t>11</m:t>
            </m:r>
          </m:sub>
        </m:sSub>
      </m:oMath>
      <w:r>
        <w:t xml:space="preserve">, and</w:t>
      </w:r>
      <w:r>
        <w:t xml:space="preserve"> </w:t>
      </w:r>
      <m:oMath>
        <m:sSub>
          <m:e>
            <m:r>
              <m:t>v</m:t>
            </m:r>
          </m:e>
          <m:sub>
            <m:r>
              <m:t>12</m:t>
            </m:r>
          </m:sub>
        </m:sSub>
        <m:r>
          <m:rPr>
            <m:sty m:val="p"/>
          </m:rPr>
          <m:t>=</m:t>
        </m:r>
        <m:r>
          <m:rPr>
            <m:sty m:val="p"/>
          </m:rPr>
          <m:t>−</m:t>
        </m:r>
        <m:sSub>
          <m:e>
            <m:r>
              <m:t>v</m:t>
            </m:r>
          </m:e>
          <m:sub>
            <m:r>
              <m:t>11</m:t>
            </m:r>
          </m:sub>
        </m:sSub>
      </m:oMath>
      <w:r>
        <w:t xml:space="preserve"> </w:t>
      </w:r>
      <w:r>
        <w:t xml:space="preserve">(the primary estimate is independent of the negative controls), the Fieller set at level</w:t>
      </w:r>
      <w:r>
        <w:t xml:space="preserve"> </w:t>
      </w:r>
      <m:oMath>
        <m:r>
          <m:t>1</m:t>
        </m:r>
        <m:r>
          <m:rPr>
            <m:sty m:val="p"/>
          </m:rPr>
          <m:t>−</m:t>
        </m:r>
        <m:r>
          <m:t>α</m:t>
        </m:r>
      </m:oMath>
      <w:r>
        <w:t xml:space="preserve"> </w:t>
      </w:r>
      <w:r>
        <w:t xml:space="preserve">contains all</w:t>
      </w:r>
      <w:r>
        <w:t xml:space="preserve"> </w:t>
      </w:r>
      <m:oMath>
        <m:r>
          <m:t>ρ</m:t>
        </m:r>
      </m:oMath>
      <w:r>
        <w:t xml:space="preserve"> </w:t>
      </w:r>
      <w:r>
        <w:t xml:space="preserve">satisfying</w:t>
      </w:r>
      <w:r>
        <w:t xml:space="preserve"> </w:t>
      </w:r>
      <m:oMath>
        <m:r>
          <m:rPr>
            <m:sty m:val="p"/>
          </m:rPr>
          <m:t>(</m:t>
        </m:r>
        <m:sSub>
          <m:e>
            <m:r>
              <m:t>m</m:t>
            </m:r>
          </m:e>
          <m:sub>
            <m:r>
              <m:t>1</m:t>
            </m:r>
          </m:sub>
        </m:sSub>
        <m:r>
          <m:rPr>
            <m:sty m:val="p"/>
          </m:rPr>
          <m:t>−</m:t>
        </m:r>
        <m:r>
          <m:t>ρ</m:t>
        </m:r>
        <m:sSub>
          <m:e>
            <m:r>
              <m:t>m</m:t>
            </m:r>
          </m:e>
          <m:sub>
            <m:r>
              <m:t>2</m:t>
            </m:r>
          </m:sub>
        </m:sSub>
        <m:sSup>
          <m:e>
            <m:r>
              <m:rPr>
                <m:sty m:val="p"/>
              </m:rPr>
              <m:t>)</m:t>
            </m:r>
          </m:e>
          <m:sup>
            <m:r>
              <m:t>2</m:t>
            </m:r>
          </m:sup>
        </m:sSup>
        <m:r>
          <m:rPr>
            <m:sty m:val="p"/>
          </m:rPr>
          <m:t>≤</m:t>
        </m:r>
        <m:sSubSup>
          <m:e>
            <m:r>
              <m:t>z</m:t>
            </m:r>
          </m:e>
          <m:sub>
            <m:r>
              <m:t>α</m:t>
            </m:r>
            <m:r>
              <m:rPr>
                <m:sty m:val="p"/>
              </m:rPr>
              <m:t>/</m:t>
            </m:r>
            <m:r>
              <m:t>2</m:t>
            </m:r>
          </m:sub>
          <m:sup>
            <m:r>
              <m:t>2</m:t>
            </m:r>
          </m:sup>
        </m:sSubSup>
        <m:r>
          <m:rPr>
            <m:sty m:val="p"/>
          </m:rPr>
          <m:t>(</m:t>
        </m:r>
        <m:sSub>
          <m:e>
            <m:r>
              <m:t>v</m:t>
            </m:r>
          </m:e>
          <m:sub>
            <m:r>
              <m:t>11</m:t>
            </m:r>
          </m:sub>
        </m:sSub>
        <m:r>
          <m:rPr>
            <m:sty m:val="p"/>
          </m:rPr>
          <m:t>−</m:t>
        </m:r>
        <m:r>
          <m:t>2</m:t>
        </m:r>
        <m:r>
          <m:t>ρ</m:t>
        </m:r>
        <m:sSub>
          <m:e>
            <m:r>
              <m:t>v</m:t>
            </m:r>
          </m:e>
          <m:sub>
            <m:r>
              <m:t>12</m:t>
            </m:r>
          </m:sub>
        </m:sSub>
        <m:r>
          <m:rPr>
            <m:sty m:val="p"/>
          </m:rPr>
          <m:t>+</m:t>
        </m:r>
        <m:sSup>
          <m:e>
            <m:r>
              <m:t>ρ</m:t>
            </m:r>
          </m:e>
          <m:sup>
            <m:r>
              <m:t>2</m:t>
            </m:r>
          </m:sup>
        </m:sSup>
        <m:sSub>
          <m:e>
            <m:r>
              <m:t>v</m:t>
            </m:r>
          </m:e>
          <m:sub>
            <m:r>
              <m:t>22</m:t>
            </m:r>
          </m:sub>
        </m:sSub>
        <m:r>
          <m:rPr>
            <m:sty m:val="p"/>
          </m:rPr>
          <m:t>)</m:t>
        </m:r>
      </m:oMath>
      <w:r>
        <w:rPr>
          <w:vertAlign w:val="superscript"/>
        </w:rPr>
        <w:t xml:space="preserve">3</w:t>
      </w:r>
      <w:r>
        <w:t xml:space="preserve">. We estimated</w:t>
      </w:r>
      <w:r>
        <w:t xml:space="preserve"> </w:t>
      </w:r>
      <m:oMath>
        <m:sSub>
          <m:e>
            <m:r>
              <m:t>v</m:t>
            </m:r>
          </m:e>
          <m:sub>
            <m:r>
              <m:t>11</m:t>
            </m:r>
          </m:sub>
        </m:sSub>
      </m:oMath>
      <w:r>
        <w:t xml:space="preserve"> </w:t>
      </w:r>
      <w:r>
        <w:t xml:space="preserve">from the variance of</w:t>
      </w:r>
      <w:r>
        <w:t xml:space="preserve"> </w:t>
      </w:r>
      <m:oMath>
        <m:sSub>
          <m:e>
            <m:acc>
              <m:accPr>
                <m:chr m:val="̂"/>
              </m:accPr>
              <m:e>
                <m:r>
                  <m:t>μ</m:t>
                </m:r>
              </m:e>
            </m:acc>
          </m:e>
          <m:sub>
            <m:r>
              <m:t>B</m:t>
            </m:r>
          </m:sub>
        </m:sSub>
      </m:oMath>
      <w:r>
        <w:t xml:space="preserve"> </w:t>
      </w:r>
      <w:r>
        <w:t xml:space="preserve">across bootstrap resamples.</w:t>
      </w:r>
    </w:p>
    <w:p>
      <w:pPr>
        <w:pStyle w:val="BodyText"/>
      </w:pPr>
      <w:r>
        <w:t xml:space="preserve">For the beta-blocker analysis the set was exterior,</w:t>
      </w:r>
      <w:r>
        <w:t xml:space="preserve"> </w:t>
      </w:r>
      <m:oMath>
        <m:r>
          <m:rPr>
            <m:sty m:val="p"/>
          </m:rPr>
          <m:t>(</m:t>
        </m:r>
        <m:r>
          <m:rPr>
            <m:sty m:val="p"/>
          </m:rPr>
          <m:t>−</m:t>
        </m:r>
        <m:r>
          <m:rPr>
            <m:sty m:val="p"/>
          </m:rPr>
          <m:t>∞</m:t>
        </m:r>
        <m:r>
          <m:rPr>
            <m:sty m:val="p"/>
          </m:rPr>
          <m:t>,</m:t>
        </m:r>
        <m:r>
          <m:rPr>
            <m:sty m:val="p"/>
          </m:rPr>
          <m:t>−</m:t>
        </m:r>
        <m:r>
          <m:t>1.62</m:t>
        </m:r>
        <m:r>
          <m:rPr>
            <m:sty m:val="p"/>
          </m:rPr>
          <m:t>]</m:t>
        </m:r>
        <m:r>
          <m:rPr>
            <m:sty m:val="p"/>
          </m:rPr>
          <m:t>∪</m:t>
        </m:r>
        <m:r>
          <m:rPr>
            <m:sty m:val="p"/>
          </m:rPr>
          <m:t>[</m:t>
        </m:r>
        <m:r>
          <m:t>1.45</m:t>
        </m:r>
        <m:r>
          <m:rPr>
            <m:sty m:val="p"/>
          </m:rPr>
          <m:t>,</m:t>
        </m:r>
        <m:r>
          <m:rPr>
            <m:sty m:val="p"/>
          </m:rPr>
          <m:t>∞</m:t>
        </m:r>
        <m:r>
          <m:rPr>
            <m:sty m:val="p"/>
          </m:rPr>
          <m:t>)</m:t>
        </m:r>
      </m:oMath>
      <w:r>
        <w:t xml:space="preserve">: only ratios inside [-1.62, 1.45] are excluded at 95%. The calibrated estimate (</w:t>
      </w:r>
      <m:oMath>
        <m:acc>
          <m:accPr>
            <m:chr m:val="̃"/>
          </m:accPr>
          <m:e>
            <m:r>
              <m:t>ψ</m:t>
            </m:r>
          </m:e>
        </m:acc>
        <m:r>
          <m:rPr>
            <m:sty m:val="p"/>
          </m:rPr>
          <m:t>=</m:t>
        </m:r>
        <m:r>
          <m:t>0.006</m:t>
        </m:r>
      </m:oMath>
      <w:r>
        <w:t xml:space="preserve">) is tiny relative to its uncertainty, so the ratio is poorly identified in the frequentist sense; the bootstrap CI on BF nevertheless lies entirely above 0.5, and the zone assignment is unaffected. For GDMT the set was interior, [0.42, 1.8], straddling 1, consistent with the mixed classification. When the calibrated estimate is near zero, no interval method can pin down the ratio; readers should rely on the zone assignment from the BF bootstrap CI and on the calibrated p-value.</w:t>
      </w:r>
    </w:p>
    <w:p>
      <w:pPr>
        <w:pStyle w:val="BodyText"/>
      </w:pPr>
      <w:r>
        <w:t xml:space="preserve">The exterior Fieller set for the beta-blocker analysis admits signed ratios with</w:t>
      </w:r>
      <w:r>
        <w:t xml:space="preserve"> </w:t>
      </w:r>
      <m:oMath>
        <m:r>
          <m:rPr>
            <m:sty m:val="p"/>
          </m:rPr>
          <m:t>|</m:t>
        </m:r>
        <m:r>
          <m:t>ρ</m:t>
        </m:r>
        <m:r>
          <m:rPr>
            <m:sty m:val="p"/>
          </m:rPr>
          <m:t>|</m:t>
        </m:r>
        <m:r>
          <m:rPr>
            <m:sty m:val="p"/>
          </m:rPr>
          <m:t>≥</m:t>
        </m:r>
        <m:r>
          <m:t>1.45</m:t>
        </m:r>
      </m:oMath>
      <w:r>
        <w:t xml:space="preserve">, corresponding to</w:t>
      </w:r>
      <w:r>
        <w:t xml:space="preserve"> </w:t>
      </w:r>
      <m:oMath>
        <m:r>
          <m:rPr>
            <m:sty m:val="p"/>
          </m:rPr>
          <m:t>B</m:t>
        </m:r>
        <m:r>
          <m:rPr>
            <m:sty m:val="p"/>
          </m:rPr>
          <m:t>F</m:t>
        </m:r>
        <m:r>
          <m:rPr>
            <m:sty m:val="p"/>
          </m:rPr>
          <m:t>≥</m:t>
        </m:r>
        <m:r>
          <m:t>0.59</m:t>
        </m:r>
      </m:oMath>
      <w:r>
        <w:t xml:space="preserve"> </w:t>
      </w:r>
      <w:r>
        <w:t xml:space="preserve">— a weaker restriction than the bootstrap lower bound of 0.74 — because</w:t>
      </w:r>
      <w:r>
        <w:t xml:space="preserve"> </w:t>
      </w:r>
      <m:oMath>
        <m:sSub>
          <m:e>
            <m:r>
              <m:t>v</m:t>
            </m:r>
          </m:e>
          <m:sub>
            <m:r>
              <m:t>11</m:t>
            </m:r>
          </m:sub>
        </m:sSub>
      </m:oMath>
      <w:r>
        <w:t xml:space="preserve"> </w:t>
      </w:r>
      <w:r>
        <w:t xml:space="preserve">enters the Fieller quadratic as the bootstrap variance of</w:t>
      </w:r>
      <w:r>
        <w:t xml:space="preserve"> </w:t>
      </w:r>
      <m:oMath>
        <m:sSub>
          <m:e>
            <m:acc>
              <m:accPr>
                <m:chr m:val="̂"/>
              </m:accPr>
              <m:e>
                <m:r>
                  <m:t>μ</m:t>
                </m:r>
              </m:e>
            </m:acc>
          </m:e>
          <m:sub>
            <m:r>
              <m:t>B</m:t>
            </m:r>
          </m:sub>
        </m:sSub>
      </m:oMath>
      <w:r>
        <w:t xml:space="preserve"> </w:t>
      </w:r>
      <w:r>
        <w:t xml:space="preserve">(not the full sampling variance of the primary estimate) and because Fieller inverts a test on the unbounded signed ratio, whose confidence set may be unbounded, whereas the bootstrap percentile interval is computed on the bounded logit-BF scale. When the two methods disagree, the honest reading is that the ratio itself is weakly identified; the zone assignment, on which both methods agree, is the stable summary.</w:t>
      </w:r>
    </w:p>
    <w:bookmarkEnd w:id="12"/>
    <w:bookmarkStart w:id="13" w:name="relationship-to-existing-approaches"/>
    <w:p>
      <w:pPr>
        <w:pStyle w:val="Heading2"/>
      </w:pPr>
      <w:r>
        <w:t xml:space="preserve">Relationship to existing approaches</w:t>
      </w:r>
    </w:p>
    <w:p>
      <w:pPr>
        <w:pStyle w:val="FirstParagraph"/>
      </w:pPr>
      <w:r>
        <w:t xml:space="preserve">The proposed metric extends empirical calibration</w:t>
      </w:r>
      <w:r>
        <w:rPr>
          <w:vertAlign w:val="superscript"/>
        </w:rPr>
        <w:t xml:space="preserve">1,2</w:t>
      </w:r>
      <w:r>
        <w:t xml:space="preserve">, a framework developed by Schuemie et al. and implemented in the EmpiricalCalibration R package, by providing a continuous credibility measure alongside the binary calibrated p-value. The framework and package are prior work; the metric proposed here is the new contribution. The calibrated p-value answers</w:t>
      </w:r>
      <w:r>
        <w:t xml:space="preserve"> </w:t>
      </w:r>
      <w:r>
        <w:t xml:space="preserve">“Is there evidence of an effect after accounting for bias?”</w:t>
      </w:r>
      <w:r>
        <w:t xml:space="preserve"> </w:t>
      </w:r>
      <w:r>
        <w:t xml:space="preserve">while the metric answers</w:t>
      </w:r>
      <w:r>
        <w:t xml:space="preserve"> </w:t>
      </w:r>
      <w:r>
        <w:t xml:space="preserve">“What share of the surviving signal is bias, and does enough of an effect remain to be meaningful?”</w:t>
      </w:r>
    </w:p>
    <w:p>
      <w:pPr>
        <w:pStyle w:val="BodyText"/>
      </w:pPr>
      <w:r>
        <w:t xml:space="preserve">The E-value</w:t>
      </w:r>
      <w:r>
        <w:rPr>
          <w:vertAlign w:val="superscript"/>
        </w:rPr>
        <w:t xml:space="preserve">4</w:t>
      </w:r>
      <w:r>
        <w:t xml:space="preserve"> </w:t>
      </w:r>
      <w:r>
        <w:t xml:space="preserve">quantifies the minimum strength of unmeasured confounding required to explain away an observed association, a hypothetical sensitivity analysis. The proposed metric, in contrast, is empirically grounded in observed negative control data. The two approaches are complementary: the E-value asks what</w:t>
      </w:r>
      <w:r>
        <w:t xml:space="preserve"> </w:t>
      </w:r>
      <w:r>
        <w:rPr>
          <w:i/>
          <w:iCs/>
        </w:rPr>
        <w:t xml:space="preserve">would</w:t>
      </w:r>
      <w:r>
        <w:t xml:space="preserve"> </w:t>
      </w:r>
      <w:r>
        <w:t xml:space="preserve">need to be true, while the calibration-based metric estimates what the negative controls</w:t>
      </w:r>
      <w:r>
        <w:t xml:space="preserve"> </w:t>
      </w:r>
      <w:r>
        <w:rPr>
          <w:i/>
          <w:iCs/>
        </w:rPr>
        <w:t xml:space="preserve">actually indicate</w:t>
      </w:r>
      <w:r>
        <w:t xml:space="preserve"> </w:t>
      </w:r>
      <w:r>
        <w:t xml:space="preserve">about the bias present in the data.</w:t>
      </w:r>
    </w:p>
    <w:bookmarkEnd w:id="13"/>
    <w:bookmarkStart w:id="14" w:name="estimation-procedure"/>
    <w:p>
      <w:pPr>
        <w:pStyle w:val="Heading2"/>
      </w:pPr>
      <w:r>
        <w:t xml:space="preserve">Estimation procedure</w:t>
      </w:r>
    </w:p>
    <w:p>
      <w:pPr>
        <w:pStyle w:val="FirstParagraph"/>
      </w:pPr>
      <w:r>
        <w:rPr>
          <w:b/>
          <w:bCs/>
        </w:rPr>
        <w:t xml:space="preserve">Step 1: Empirical null estimation.</w:t>
      </w:r>
      <w:r>
        <w:t xml:space="preserve"> </w:t>
      </w:r>
      <w:r>
        <w:t xml:space="preserve">Fit the model</w:t>
      </w:r>
      <w:r>
        <w:t xml:space="preserve"> </w:t>
      </w:r>
      <m:oMath>
        <m:sSub>
          <m:e>
            <m:acc>
              <m:accPr>
                <m:chr m:val="̂"/>
              </m:accPr>
              <m:e>
                <m:r>
                  <m:t>γ</m:t>
                </m:r>
              </m:e>
            </m:acc>
          </m:e>
          <m:sub>
            <m:r>
              <m:t>k</m:t>
            </m:r>
          </m:sub>
        </m:sSub>
        <m:r>
          <m:rPr>
            <m:sty m:val="p"/>
          </m:rPr>
          <m:t>∼</m:t>
        </m:r>
        <m:r>
          <m:rPr>
            <m:scr m:val="script"/>
            <m:sty m:val="p"/>
          </m:rPr>
          <m:t>N</m:t>
        </m:r>
        <m:r>
          <m:rPr>
            <m:sty m:val="p"/>
          </m:rPr>
          <m:t>(</m:t>
        </m:r>
        <m:sSub>
          <m:e>
            <m:r>
              <m:t>μ</m:t>
            </m:r>
          </m:e>
          <m:sub>
            <m:r>
              <m:t>B</m:t>
            </m:r>
          </m:sub>
        </m:sSub>
        <m:r>
          <m:rPr>
            <m:sty m:val="p"/>
          </m:rPr>
          <m:t>,</m:t>
        </m:r>
        <m:rad>
          <m:radPr>
            <m:degHide m:val="on"/>
          </m:radPr>
          <m:deg/>
          <m:e>
            <m:sSubSup>
              <m:e>
                <m:acc>
                  <m:accPr>
                    <m:chr m:val="̂"/>
                  </m:accPr>
                  <m:e>
                    <m:r>
                      <m:t>τ</m:t>
                    </m:r>
                  </m:e>
                </m:acc>
              </m:e>
              <m:sub>
                <m:r>
                  <m:t>k</m:t>
                </m:r>
              </m:sub>
              <m:sup>
                <m:r>
                  <m:t>2</m:t>
                </m:r>
              </m:sup>
            </m:sSubSup>
            <m:r>
              <m:rPr>
                <m:sty m:val="p"/>
              </m:rPr>
              <m:t>+</m:t>
            </m:r>
            <m:sSubSup>
              <m:e>
                <m:r>
                  <m:t>σ</m:t>
                </m:r>
              </m:e>
              <m:sub>
                <m:r>
                  <m:t>B</m:t>
                </m:r>
              </m:sub>
              <m:sup>
                <m:r>
                  <m:t>2</m:t>
                </m:r>
              </m:sup>
            </m:sSubSup>
          </m:e>
        </m:rad>
        <m:r>
          <m:rPr>
            <m:sty m:val="p"/>
          </m:rPr>
          <m:t>)</m:t>
        </m:r>
      </m:oMath>
      <w:r>
        <w:t xml:space="preserve">,</w:t>
      </w:r>
      <w:r>
        <w:t xml:space="preserve"> </w:t>
      </w:r>
      <m:oMath>
        <m:r>
          <m:t>k</m:t>
        </m:r>
        <m:r>
          <m:rPr>
            <m:sty m:val="p"/>
          </m:rPr>
          <m:t>=</m:t>
        </m:r>
        <m:r>
          <m:t>1</m:t>
        </m:r>
        <m:r>
          <m:rPr>
            <m:sty m:val="p"/>
          </m:rPr>
          <m:t>,</m:t>
        </m:r>
        <m:r>
          <m:rPr>
            <m:sty m:val="p"/>
          </m:rPr>
          <m:t>…</m:t>
        </m:r>
        <m:r>
          <m:rPr>
            <m:sty m:val="p"/>
          </m:rPr>
          <m:t>,</m:t>
        </m:r>
        <m:r>
          <m:t>K</m:t>
        </m:r>
      </m:oMath>
      <w:r>
        <w:t xml:space="preserve">, using maximum likelihood as implemented in the</w:t>
      </w:r>
      <w:r>
        <w:t xml:space="preserve"> </w:t>
      </w:r>
      <w:r>
        <w:rPr>
          <w:rStyle w:val="VerbatimChar"/>
        </w:rPr>
        <w:t xml:space="preserve">fitNull</w:t>
      </w:r>
      <w:r>
        <w:t xml:space="preserve"> </w:t>
      </w:r>
      <w:r>
        <w:t xml:space="preserve">function of the EmpiricalCalibration R package</w:t>
      </w:r>
      <w:r>
        <w:rPr>
          <w:vertAlign w:val="superscript"/>
        </w:rPr>
        <w:t xml:space="preserve">1</w:t>
      </w:r>
      <w:r>
        <w:t xml:space="preserve">. This produces</w:t>
      </w:r>
      <w:r>
        <w:t xml:space="preserve"> </w:t>
      </w:r>
      <m:oMath>
        <m:sSub>
          <m:e>
            <m:acc>
              <m:accPr>
                <m:chr m:val="̂"/>
              </m:accPr>
              <m:e>
                <m:r>
                  <m:t>μ</m:t>
                </m:r>
              </m:e>
            </m:acc>
          </m:e>
          <m:sub>
            <m:r>
              <m:t>B</m:t>
            </m:r>
          </m:sub>
        </m:sSub>
      </m:oMath>
      <w:r>
        <w:t xml:space="preserve"> </w:t>
      </w:r>
      <w:r>
        <w:t xml:space="preserve">and</w:t>
      </w:r>
      <w:r>
        <w:t xml:space="preserve"> </w:t>
      </w:r>
      <m:oMath>
        <m:sSub>
          <m:e>
            <m:acc>
              <m:accPr>
                <m:chr m:val="̂"/>
              </m:accPr>
              <m:e>
                <m:r>
                  <m:t>σ</m:t>
                </m:r>
              </m:e>
            </m:acc>
          </m:e>
          <m:sub>
            <m:r>
              <m:t>B</m:t>
            </m:r>
          </m:sub>
        </m:sSub>
      </m:oMath>
      <w:r>
        <w:t xml:space="preserve">.</w:t>
      </w:r>
    </w:p>
    <w:p>
      <w:pPr>
        <w:pStyle w:val="BodyText"/>
      </w:pPr>
      <w:r>
        <w:rPr>
          <w:b/>
          <w:bCs/>
        </w:rPr>
        <w:t xml:space="preserve">Step 2: Bias-corrected estimate.</w:t>
      </w:r>
      <w:r>
        <w:t xml:space="preserve"> </w:t>
      </w:r>
      <w:r>
        <w:t xml:space="preserve">Compute</w:t>
      </w:r>
      <w:r>
        <w:t xml:space="preserve"> </w:t>
      </w:r>
      <m:oMath>
        <m:acc>
          <m:accPr>
            <m:chr m:val="̃"/>
          </m:accPr>
          <m:e>
            <m:r>
              <m:t>ψ</m:t>
            </m:r>
          </m:e>
        </m:acc>
        <m:r>
          <m:rPr>
            <m:sty m:val="p"/>
          </m:rPr>
          <m:t>=</m:t>
        </m:r>
        <m:sSub>
          <m:e>
            <m:acc>
              <m:accPr>
                <m:chr m:val="̂"/>
              </m:accPr>
              <m:e>
                <m:r>
                  <m:t>ψ</m:t>
                </m:r>
              </m:e>
            </m:acc>
          </m:e>
          <m:sub>
            <m:r>
              <m:rPr>
                <m:nor/>
                <m:sty m:val="p"/>
              </m:rPr>
              <m:t>obs</m:t>
            </m:r>
          </m:sub>
        </m:sSub>
        <m:r>
          <m:rPr>
            <m:sty m:val="p"/>
          </m:rPr>
          <m:t>−</m:t>
        </m:r>
        <m:sSub>
          <m:e>
            <m:acc>
              <m:accPr>
                <m:chr m:val="̂"/>
              </m:accPr>
              <m:e>
                <m:r>
                  <m:t>μ</m:t>
                </m:r>
              </m:e>
            </m:acc>
          </m:e>
          <m:sub>
            <m:r>
              <m:t>B</m:t>
            </m:r>
          </m:sub>
        </m:sSub>
      </m:oMath>
      <w:r>
        <w:t xml:space="preserve"> </w:t>
      </w:r>
      <w:r>
        <w:t xml:space="preserve">with calibrated standard error</w:t>
      </w:r>
      <w:r>
        <w:t xml:space="preserve"> </w:t>
      </w:r>
      <m:oMath>
        <m:acc>
          <m:accPr>
            <m:chr m:val="̃"/>
          </m:accPr>
          <m:e>
            <m:r>
              <m:t>σ</m:t>
            </m:r>
          </m:e>
        </m:acc>
        <m:r>
          <m:rPr>
            <m:sty m:val="p"/>
          </m:rPr>
          <m:t>=</m:t>
        </m:r>
        <m:rad>
          <m:radPr>
            <m:degHide m:val="on"/>
          </m:radPr>
          <m:deg/>
          <m:e>
            <m:sSubSup>
              <m:e>
                <m:acc>
                  <m:accPr>
                    <m:chr m:val="̂"/>
                  </m:accPr>
                  <m:e>
                    <m:r>
                      <m:t>σ</m:t>
                    </m:r>
                  </m:e>
                </m:acc>
              </m:e>
              <m:sub>
                <m:r>
                  <m:rPr>
                    <m:nor/>
                    <m:sty m:val="p"/>
                  </m:rPr>
                  <m:t>obs</m:t>
                </m:r>
              </m:sub>
              <m:sup>
                <m:r>
                  <m:t>2</m:t>
                </m:r>
              </m:sup>
            </m:sSubSup>
            <m:r>
              <m:rPr>
                <m:sty m:val="p"/>
              </m:rPr>
              <m:t>+</m:t>
            </m:r>
            <m:sSubSup>
              <m:e>
                <m:acc>
                  <m:accPr>
                    <m:chr m:val="̂"/>
                  </m:accPr>
                  <m:e>
                    <m:r>
                      <m:t>σ</m:t>
                    </m:r>
                  </m:e>
                </m:acc>
              </m:e>
              <m:sub>
                <m:r>
                  <m:t>B</m:t>
                </m:r>
              </m:sub>
              <m:sup>
                <m:r>
                  <m:t>2</m:t>
                </m:r>
              </m:sup>
            </m:sSubSup>
          </m:e>
        </m:rad>
      </m:oMath>
      <w:r>
        <w:t xml:space="preserve">.</w:t>
      </w:r>
    </w:p>
    <w:p>
      <w:pPr>
        <w:pStyle w:val="BodyText"/>
      </w:pPr>
      <w:r>
        <w:rPr>
          <w:b/>
          <w:bCs/>
        </w:rPr>
        <w:t xml:space="preserve">Step 3: Credibility metric calculation.</w:t>
      </w:r>
      <w:r>
        <w:t xml:space="preserve"> </w:t>
      </w:r>
      <w:r>
        <w:t xml:space="preserve">Compute</w:t>
      </w:r>
      <w:r>
        <w:t xml:space="preserve"> </w:t>
      </w:r>
      <m:oMath>
        <m:r>
          <m:rPr>
            <m:sty m:val="p"/>
          </m:rPr>
          <m:t>B</m:t>
        </m:r>
        <m:r>
          <m:rPr>
            <m:sty m:val="p"/>
          </m:rPr>
          <m:t>F</m:t>
        </m:r>
        <m:r>
          <m:rPr>
            <m:sty m:val="p"/>
          </m:rPr>
          <m:t>=</m:t>
        </m:r>
        <m:r>
          <m:rPr>
            <m:sty m:val="p"/>
          </m:rPr>
          <m:t>|</m:t>
        </m:r>
        <m:sSub>
          <m:e>
            <m:acc>
              <m:accPr>
                <m:chr m:val="̂"/>
              </m:accPr>
              <m:e>
                <m:r>
                  <m:t>μ</m:t>
                </m:r>
              </m:e>
            </m:acc>
          </m:e>
          <m:sub>
            <m:r>
              <m:t>B</m:t>
            </m:r>
          </m:sub>
        </m:sSub>
        <m:r>
          <m:rPr>
            <m:sty m:val="p"/>
          </m:rPr>
          <m:t>|</m:t>
        </m:r>
        <m:r>
          <m:rPr>
            <m:sty m:val="p"/>
          </m:rPr>
          <m:t>/</m:t>
        </m:r>
        <m:r>
          <m:rPr>
            <m:sty m:val="p"/>
          </m:rPr>
          <m:t>(</m:t>
        </m:r>
        <m:r>
          <m:rPr>
            <m:sty m:val="p"/>
          </m:rPr>
          <m:t>|</m:t>
        </m:r>
        <m:sSub>
          <m:e>
            <m:acc>
              <m:accPr>
                <m:chr m:val="̂"/>
              </m:accPr>
              <m:e>
                <m:r>
                  <m:t>μ</m:t>
                </m:r>
              </m:e>
            </m:acc>
          </m:e>
          <m:sub>
            <m:r>
              <m:t>B</m:t>
            </m:r>
          </m:sub>
        </m:sSub>
        <m:r>
          <m:rPr>
            <m:sty m:val="p"/>
          </m:rPr>
          <m:t>|</m:t>
        </m:r>
        <m:r>
          <m:rPr>
            <m:sty m:val="p"/>
          </m:rPr>
          <m:t>+</m:t>
        </m:r>
        <m:r>
          <m:rPr>
            <m:sty m:val="p"/>
          </m:rPr>
          <m:t>|</m:t>
        </m:r>
        <m:acc>
          <m:accPr>
            <m:chr m:val="̃"/>
          </m:accPr>
          <m:e>
            <m:r>
              <m:t>ψ</m:t>
            </m:r>
          </m:e>
        </m:acc>
        <m:r>
          <m:rPr>
            <m:sty m:val="p"/>
          </m:rPr>
          <m:t>|</m:t>
        </m:r>
        <m:r>
          <m:rPr>
            <m:sty m:val="p"/>
          </m:rPr>
          <m:t>)</m:t>
        </m:r>
      </m:oMath>
      <w:r>
        <w:t xml:space="preserve">. Obtain a 95% confidence interval using the logit-scale nonparametric bootstrap (</w:t>
      </w:r>
      <m:oMath>
        <m:r>
          <m:t>B</m:t>
        </m:r>
        <m:r>
          <m:rPr>
            <m:sty m:val="p"/>
          </m:rPr>
          <m:t>=</m:t>
        </m:r>
        <m:r>
          <m:t>2000</m:t>
        </m:r>
      </m:oMath>
      <w:r>
        <w:t xml:space="preserve">).</w:t>
      </w:r>
    </w:p>
    <w:p>
      <w:pPr>
        <w:pStyle w:val="BodyText"/>
      </w:pPr>
      <w:r>
        <w:rPr>
          <w:b/>
          <w:bCs/>
        </w:rPr>
        <w:t xml:space="preserve">Consistency property.</w:t>
      </w:r>
      <w:r>
        <w:t xml:space="preserve"> </w:t>
      </w:r>
      <w:r>
        <w:t xml:space="preserve">Under the bias exchangeability assumption and standard regularity conditions,</w:t>
      </w:r>
      <w:r>
        <w:t xml:space="preserve"> </w:t>
      </w:r>
      <m:oMath>
        <m:sSub>
          <m:e>
            <m:acc>
              <m:accPr>
                <m:chr m:val="̂"/>
              </m:accPr>
              <m:e>
                <m:r>
                  <m:t>μ</m:t>
                </m:r>
              </m:e>
            </m:acc>
          </m:e>
          <m:sub>
            <m:r>
              <m:t>B</m:t>
            </m:r>
          </m:sub>
        </m:sSub>
      </m:oMath>
      <w:r>
        <w:t xml:space="preserve"> </w:t>
      </w:r>
      <w:r>
        <w:t xml:space="preserve">is consistent for</w:t>
      </w:r>
      <w:r>
        <w:t xml:space="preserve"> </w:t>
      </w:r>
      <m:oMath>
        <m:sSub>
          <m:e>
            <m:r>
              <m:t>μ</m:t>
            </m:r>
          </m:e>
          <m:sub>
            <m:r>
              <m:t>B</m:t>
            </m:r>
          </m:sub>
        </m:sSub>
      </m:oMath>
      <w:r>
        <w:t xml:space="preserve"> </w:t>
      </w:r>
      <w:r>
        <w:t xml:space="preserve">as</w:t>
      </w:r>
      <w:r>
        <w:t xml:space="preserve"> </w:t>
      </w:r>
      <m:oMath>
        <m:r>
          <m:t>K</m:t>
        </m:r>
        <m:r>
          <m:rPr>
            <m:sty m:val="p"/>
          </m:rPr>
          <m:t>→</m:t>
        </m:r>
        <m:r>
          <m:rPr>
            <m:sty m:val="p"/>
          </m:rPr>
          <m:t>∞</m:t>
        </m:r>
      </m:oMath>
      <w:r>
        <w:t xml:space="preserve">, and</w:t>
      </w:r>
      <w:r>
        <w:t xml:space="preserve"> </w:t>
      </w:r>
      <m:oMath>
        <m:acc>
          <m:accPr>
            <m:chr m:val="̃"/>
          </m:accPr>
          <m:e>
            <m:r>
              <m:t>ψ</m:t>
            </m:r>
          </m:e>
        </m:acc>
      </m:oMath>
      <w:r>
        <w:t xml:space="preserve"> </w:t>
      </w:r>
      <w:r>
        <w:t xml:space="preserve">converges in probability to</w:t>
      </w:r>
      <w:r>
        <w:t xml:space="preserve"> </w:t>
      </w:r>
      <m:oMath>
        <m:r>
          <m:t>ψ</m:t>
        </m:r>
      </m:oMath>
      <w:r>
        <w:t xml:space="preserve">. The map</w:t>
      </w:r>
      <w:r>
        <w:t xml:space="preserve"> </w:t>
      </w:r>
      <m:oMath>
        <m:r>
          <m:t>f</m:t>
        </m:r>
        <m:r>
          <m:rPr>
            <m:sty m:val="p"/>
          </m:rPr>
          <m:t>(</m:t>
        </m:r>
        <m:sSub>
          <m:e>
            <m:r>
              <m:t>μ</m:t>
            </m:r>
          </m:e>
          <m:sub>
            <m:r>
              <m:t>B</m:t>
            </m:r>
          </m:sub>
        </m:sSub>
        <m:r>
          <m:rPr>
            <m:sty m:val="p"/>
          </m:rPr>
          <m:t>,</m:t>
        </m:r>
        <m:r>
          <m:t>ψ</m:t>
        </m:r>
        <m:r>
          <m:rPr>
            <m:sty m:val="p"/>
          </m:rPr>
          <m:t>)</m:t>
        </m:r>
        <m:r>
          <m:rPr>
            <m:sty m:val="p"/>
          </m:rPr>
          <m:t>=</m:t>
        </m:r>
        <m:r>
          <m:rPr>
            <m:sty m:val="p"/>
          </m:rPr>
          <m:t>|</m:t>
        </m:r>
        <m:sSub>
          <m:e>
            <m:r>
              <m:t>μ</m:t>
            </m:r>
          </m:e>
          <m:sub>
            <m:r>
              <m:t>B</m:t>
            </m:r>
          </m:sub>
        </m:sSub>
        <m:r>
          <m:rPr>
            <m:sty m:val="p"/>
          </m:rPr>
          <m:t>|</m:t>
        </m:r>
        <m:r>
          <m:rPr>
            <m:sty m:val="p"/>
          </m:rPr>
          <m:t>/</m:t>
        </m:r>
        <m:r>
          <m:rPr>
            <m:sty m:val="p"/>
          </m:rPr>
          <m:t>(</m:t>
        </m:r>
        <m:r>
          <m:rPr>
            <m:sty m:val="p"/>
          </m:rPr>
          <m:t>|</m:t>
        </m:r>
        <m:sSub>
          <m:e>
            <m:r>
              <m:t>μ</m:t>
            </m:r>
          </m:e>
          <m:sub>
            <m:r>
              <m:t>B</m:t>
            </m:r>
          </m:sub>
        </m:sSub>
        <m:r>
          <m:rPr>
            <m:sty m:val="p"/>
          </m:rPr>
          <m:t>|</m:t>
        </m:r>
        <m:r>
          <m:rPr>
            <m:sty m:val="p"/>
          </m:rPr>
          <m:t>+</m:t>
        </m:r>
        <m:r>
          <m:rPr>
            <m:sty m:val="p"/>
          </m:rPr>
          <m:t>|</m:t>
        </m:r>
        <m:r>
          <m:t>ψ</m:t>
        </m:r>
        <m:r>
          <m:rPr>
            <m:sty m:val="p"/>
          </m:rPr>
          <m:t>|</m:t>
        </m:r>
        <m:r>
          <m:rPr>
            <m:sty m:val="p"/>
          </m:rPr>
          <m:t>)</m:t>
        </m:r>
      </m:oMath>
      <w:r>
        <w:t xml:space="preserve"> </w:t>
      </w:r>
      <w:r>
        <w:t xml:space="preserve">is continuous at every point of the parameter space, including</w:t>
      </w:r>
      <w:r>
        <w:t xml:space="preserve"> </w:t>
      </w:r>
      <m:oMath>
        <m:r>
          <m:t>ψ</m:t>
        </m:r>
        <m:r>
          <m:rPr>
            <m:sty m:val="p"/>
          </m:rPr>
          <m:t>=</m:t>
        </m:r>
        <m:r>
          <m:t>0</m:t>
        </m:r>
      </m:oMath>
      <w:r>
        <w:t xml:space="preserve">, where</w:t>
      </w:r>
      <w:r>
        <w:t xml:space="preserve"> </w:t>
      </w:r>
      <m:oMath>
        <m:r>
          <m:t>f</m:t>
        </m:r>
        <m:r>
          <m:rPr>
            <m:sty m:val="p"/>
          </m:rPr>
          <m:t>(</m:t>
        </m:r>
        <m:sSub>
          <m:e>
            <m:r>
              <m:t>μ</m:t>
            </m:r>
          </m:e>
          <m:sub>
            <m:r>
              <m:t>B</m:t>
            </m:r>
          </m:sub>
        </m:sSub>
        <m:r>
          <m:rPr>
            <m:sty m:val="p"/>
          </m:rPr>
          <m:t>,</m:t>
        </m:r>
        <m:r>
          <m:t>0</m:t>
        </m:r>
        <m:r>
          <m:rPr>
            <m:sty m:val="p"/>
          </m:rPr>
          <m:t>)</m:t>
        </m:r>
        <m:r>
          <m:rPr>
            <m:sty m:val="p"/>
          </m:rPr>
          <m:t>=</m:t>
        </m:r>
        <m:r>
          <m:t>1</m:t>
        </m:r>
      </m:oMath>
      <w:r>
        <w:t xml:space="preserve">. By the continuous mapping theorem, BF is consistent for the population bias fraction over the whole parameter space, with no exclusion of the null. This contrasts with the unbounded ratio, whose population limit diverges at the null. The denominator of BF is</w:t>
      </w:r>
      <w:r>
        <w:t xml:space="preserve"> </w:t>
      </w:r>
      <m:oMath>
        <m:acc>
          <m:accPr>
            <m:chr m:val="̃"/>
          </m:accPr>
          <m:e>
            <m:r>
              <m:t>ψ</m:t>
            </m:r>
          </m:e>
        </m:acc>
      </m:oMath>
      <w:r>
        <w:t xml:space="preserve">, not the true effect</w:t>
      </w:r>
      <w:r>
        <w:t xml:space="preserve"> </w:t>
      </w:r>
      <m:oMath>
        <m:r>
          <m:t>ψ</m:t>
        </m:r>
      </m:oMath>
      <w:r>
        <w:t xml:space="preserve">; the metric does not estimate the true treatment effect.</w:t>
      </w:r>
    </w:p>
    <w:bookmarkEnd w:id="14"/>
    <w:bookmarkStart w:id="15" w:name="threshold-asymmetry"/>
    <w:p>
      <w:pPr>
        <w:pStyle w:val="Heading2"/>
      </w:pPr>
      <w:r>
        <w:t xml:space="preserve">Threshold asymmetry</w:t>
      </w:r>
    </w:p>
    <w:p>
      <w:pPr>
        <w:pStyle w:val="FirstParagraph"/>
      </w:pPr>
      <w:r>
        <w:t xml:space="preserve">The thresholds 1/3 and 0.5 are asymmetric on the logit scale. A symmetric alternative would use 1/3 and 2/3. We adopt the asymmetric design deliberately: in observational research, the cost of a false causal claim exceeds the cost of excessive caution. This conservative asymmetry biases classification toward the bias-dominated zone, which we view as appropriate given the stakes of causal claims from observational data. BF = 1 (calibrated estimate exactly zero) is classified as bias-dominated.</w:t>
      </w:r>
    </w:p>
    <w:bookmarkEnd w:id="15"/>
    <w:bookmarkStart w:id="16" w:name="negative-control-overlap-and-cautions"/>
    <w:p>
      <w:pPr>
        <w:pStyle w:val="Heading2"/>
      </w:pPr>
      <w:r>
        <w:t xml:space="preserve">Negative control overlap and cautions</w:t>
      </w:r>
    </w:p>
    <w:p>
      <w:pPr>
        <w:pStyle w:val="FirstParagraph"/>
      </w:pPr>
      <w:r>
        <w:t xml:space="preserve">Some negative controls share overlapping outcome definitions: the</w:t>
      </w:r>
      <w:r>
        <w:t xml:space="preserve"> </w:t>
      </w:r>
      <w:r>
        <w:t xml:space="preserve">“infection”</w:t>
      </w:r>
      <w:r>
        <w:t xml:space="preserve"> </w:t>
      </w:r>
      <w:r>
        <w:t xml:space="preserve">category encompasses urinary tract infection and cellulitis as subcategories. This nesting means the 12 controls do not represent 12 fully independent observations, which could lead to underestimation of</w:t>
      </w:r>
      <w:r>
        <w:t xml:space="preserve"> </w:t>
      </w:r>
      <m:oMath>
        <m:sSub>
          <m:e>
            <m:acc>
              <m:accPr>
                <m:chr m:val="̂"/>
              </m:accPr>
              <m:e>
                <m:r>
                  <m:t>σ</m:t>
                </m:r>
              </m:e>
            </m:acc>
          </m:e>
          <m:sub>
            <m:r>
              <m:t>B</m:t>
            </m:r>
          </m:sub>
        </m:sSub>
      </m:oMath>
      <w:r>
        <w:t xml:space="preserve"> </w:t>
      </w:r>
      <w:r>
        <w:t xml:space="preserve">and overly narrow bootstrap CIs. The leave-one-out sensitivity analysis provides a partial check: removing any single control, including the nested ones, did not change the qualitative classification. The</w:t>
      </w:r>
      <w:r>
        <w:t xml:space="preserve"> </w:t>
      </w:r>
      <w:r>
        <w:t xml:space="preserve">“fall”</w:t>
      </w:r>
      <w:r>
        <w:t xml:space="preserve"> </w:t>
      </w:r>
      <w:r>
        <w:t xml:space="preserve">outcome warrants caution, as beta-blockers may increase fall risk through bradycardia or orthostatic hypotension, potentially violating the no-causal-effect assumption. However, the observed protective association for falls (RR &lt; 1) is opposite in direction to the expected adverse effect. Confounding thus appears to dominate any causal effect; the leave-one-out analysis confirmed that excluding</w:t>
      </w:r>
      <w:r>
        <w:t xml:space="preserve"> </w:t>
      </w:r>
      <w:r>
        <w:t xml:space="preserve">“fall”</w:t>
      </w:r>
      <w:r>
        <w:t xml:space="preserve"> </w:t>
      </w:r>
      <w:r>
        <w:t xml:space="preserve">did not alter the bias-dominated classification.</w:t>
      </w:r>
    </w:p>
    <w:bookmarkEnd w:id="16"/>
    <w:bookmarkEnd w:id="17"/>
    <w:bookmarkStart w:id="18" w:name="eappendix-2.-what-bf-does-not-estimate"/>
    <w:p>
      <w:pPr>
        <w:pStyle w:val="Heading1"/>
      </w:pPr>
      <w:r>
        <w:t xml:space="preserve">eAppendix 2. What BF Does Not Estimate</w:t>
      </w:r>
    </w:p>
    <w:p>
      <w:pPr>
        <w:pStyle w:val="FirstParagraph"/>
      </w:pPr>
      <w:r>
        <w:t xml:space="preserve">The metric</w:t>
      </w:r>
      <w:r>
        <w:t xml:space="preserve"> </w:t>
      </w:r>
      <w:r>
        <w:rPr>
          <w:b/>
          <w:bCs/>
        </w:rPr>
        <w:t xml:space="preserve">does not</w:t>
      </w:r>
      <w:r>
        <w:t xml:space="preserve"> </w:t>
      </w:r>
      <w:r>
        <w:t xml:space="preserve">estimate the true treatment effect; it summarizes the relationship between estimated bias and the residual effect after calibration. A bias-dominated classification means</w:t>
      </w:r>
      <w:r>
        <w:t xml:space="preserve"> </w:t>
      </w:r>
      <w:r>
        <w:t xml:space="preserve">“the calibrated estimate does not support a causal claim,”</w:t>
      </w:r>
      <w:r>
        <w:t xml:space="preserve"> </w:t>
      </w:r>
      <w:r>
        <w:t xml:space="preserve">not</w:t>
      </w:r>
      <w:r>
        <w:t xml:space="preserve"> </w:t>
      </w:r>
      <w:r>
        <w:t xml:space="preserve">“the true effect is zero.”</w:t>
      </w:r>
      <w:r>
        <w:t xml:space="preserve"> </w:t>
      </w:r>
      <w:r>
        <w:t xml:space="preserve">The metric also</w:t>
      </w:r>
      <w:r>
        <w:t xml:space="preserve"> </w:t>
      </w:r>
      <w:r>
        <w:rPr>
          <w:b/>
          <w:bCs/>
        </w:rPr>
        <w:t xml:space="preserve">does not</w:t>
      </w:r>
      <w:r>
        <w:t xml:space="preserve"> </w:t>
      </w:r>
      <w:r>
        <w:t xml:space="preserve">identify the source of bias, whether healthy-adherer confounding, indication bias, or other sources of unmeasured confounding. The metric</w:t>
      </w:r>
      <w:r>
        <w:t xml:space="preserve"> </w:t>
      </w:r>
      <w:r>
        <w:rPr>
          <w:b/>
          <w:bCs/>
        </w:rPr>
        <w:t xml:space="preserve">does not</w:t>
      </w:r>
      <w:r>
        <w:t xml:space="preserve"> </w:t>
      </w:r>
      <w:r>
        <w:t xml:space="preserve">provide a probability or posterior distribution over the true effect. When</w:t>
      </w:r>
      <w:r>
        <w:t xml:space="preserve"> </w:t>
      </w:r>
      <m:oMath>
        <m:acc>
          <m:accPr>
            <m:chr m:val="̃"/>
          </m:accPr>
          <m:e>
            <m:r>
              <m:t>ψ</m:t>
            </m:r>
          </m:e>
        </m:acc>
        <m:r>
          <m:rPr>
            <m:sty m:val="p"/>
          </m:rPr>
          <m:t>≈</m:t>
        </m:r>
        <m:r>
          <m:t>0</m:t>
        </m:r>
      </m:oMath>
      <w:r>
        <w:t xml:space="preserve">, a BF near 1 could reflect either a genuinely null treatment effect or a bias that approximately cancels a non-zero true effect. The metric cannot distinguish these cases.</w:t>
      </w:r>
    </w:p>
    <w:bookmarkEnd w:id="18"/>
    <w:bookmarkStart w:id="19" w:name="Xbd8bf77106b5e84903ca0301f2cff2061629647"/>
    <w:p>
      <w:pPr>
        <w:pStyle w:val="Heading1"/>
      </w:pPr>
      <w:r>
        <w:t xml:space="preserve">eAppendix 3. When Calibration-Based Diagnostics Should Not Be Used</w:t>
      </w:r>
    </w:p>
    <w:p>
      <w:pPr>
        <w:pStyle w:val="FirstParagraph"/>
      </w:pPr>
      <w:r>
        <w:rPr>
          <w:b/>
          <w:bCs/>
        </w:rPr>
        <w:t xml:space="preserve">Insufficient negative controls.</w:t>
      </w:r>
      <w:r>
        <w:t xml:space="preserve"> </w:t>
      </w:r>
      <w:r>
        <w:t xml:space="preserve">With</w:t>
      </w:r>
      <w:r>
        <w:t xml:space="preserve"> </w:t>
      </w:r>
      <m:oMath>
        <m:r>
          <m:t>K</m:t>
        </m:r>
        <m:r>
          <m:rPr>
            <m:sty m:val="p"/>
          </m:rPr>
          <m:t>&lt;</m:t>
        </m:r>
        <m:r>
          <m:t>5</m:t>
        </m:r>
      </m:oMath>
      <w:r>
        <w:t xml:space="preserve">, the empirical null estimate is too imprecise. We recommend at least 8-10 controls with adequate event counts.</w:t>
      </w:r>
    </w:p>
    <w:p>
      <w:pPr>
        <w:pStyle w:val="BodyText"/>
      </w:pPr>
      <w:r>
        <w:rPr>
          <w:b/>
          <w:bCs/>
        </w:rPr>
        <w:t xml:space="preserve">Non-exchangeable controls.</w:t>
      </w:r>
      <w:r>
        <w:t xml:space="preserve"> </w:t>
      </w:r>
      <w:r>
        <w:t xml:space="preserve">If negative controls are affected by outcome-specific mechanisms that do not operate on the primary endpoint, the bias distribution will be misleading.</w:t>
      </w:r>
    </w:p>
    <w:p>
      <w:pPr>
        <w:pStyle w:val="BodyText"/>
      </w:pPr>
      <w:r>
        <w:rPr>
          <w:b/>
          <w:bCs/>
        </w:rPr>
        <w:t xml:space="preserve">Heterogeneous bias directions.</w:t>
      </w:r>
      <w:r>
        <w:t xml:space="preserve"> </w:t>
      </w:r>
      <w:r>
        <w:t xml:space="preserve">The empirical null model assumes negative controls are affected by bias in the same direction. If controls show bias in opposite directions,</w:t>
      </w:r>
      <w:r>
        <w:t xml:space="preserve"> </w:t>
      </w:r>
      <m:oMath>
        <m:sSub>
          <m:e>
            <m:acc>
              <m:accPr>
                <m:chr m:val="̂"/>
              </m:accPr>
              <m:e>
                <m:r>
                  <m:t>μ</m:t>
                </m:r>
              </m:e>
            </m:acc>
          </m:e>
          <m:sub>
            <m:r>
              <m:t>B</m:t>
            </m:r>
          </m:sub>
        </m:sSub>
      </m:oMath>
      <w:r>
        <w:t xml:space="preserve"> </w:t>
      </w:r>
      <w:r>
        <w:t xml:space="preserve">will be attenuated toward zero, producing an overly optimistic BF.</w:t>
      </w:r>
    </w:p>
    <w:p>
      <w:pPr>
        <w:pStyle w:val="BodyText"/>
      </w:pPr>
      <w:r>
        <w:rPr>
          <w:b/>
          <w:bCs/>
        </w:rPr>
        <w:t xml:space="preserve">Small residual effects.</w:t>
      </w:r>
      <w:r>
        <w:t xml:space="preserve"> </w:t>
      </w:r>
      <w:r>
        <w:t xml:space="preserve">When the true treatment effect is near zero, the denominator of the underlying ratio is near zero. On the BF scale this appears as values near 1, wide bootstrap CIs, and unbounded Fieller sets. This correctly signals that the calibrated estimate is uninformative; read BF near 1 as signal saturation by bias, not as a precise fraction.</w:t>
      </w:r>
    </w:p>
    <w:bookmarkEnd w:id="19"/>
    <w:bookmarkStart w:id="20" w:name="Xade8475af0abe2b24168657381aad1c7aec56a1"/>
    <w:p>
      <w:pPr>
        <w:pStyle w:val="Heading1"/>
      </w:pPr>
      <w:r>
        <w:t xml:space="preserve">eTable 1. Comparison of BF and Calibrated p-Value</w:t>
      </w:r>
    </w:p>
    <w:tbl>
      <w:tblPr>
        <w:tblStyle w:val="Table"/>
        <w:tblW w:type="pct" w:w="5000"/>
        <w:tblLayout w:type="fixed"/>
        <w:tblLook w:firstRow="1" w:lastRow="0" w:firstColumn="0" w:lastColumn="0" w:noHBand="0" w:noVBand="0" w:val="0020"/>
      </w:tblPr>
      <w:tblGrid>
        <w:gridCol w:w="2160"/>
        <w:gridCol w:w="1200"/>
        <w:gridCol w:w="4560"/>
      </w:tblGrid>
      <w:tr>
        <w:trPr>
          <w:tblHeader w:val="on"/>
        </w:trPr>
        <w:tc>
          <w:tcPr/>
          <w:p>
            <w:pPr>
              <w:pStyle w:val="Compact"/>
            </w:pPr>
            <w:r>
              <w:t xml:space="preserve">Feature</w:t>
            </w:r>
          </w:p>
        </w:tc>
        <w:tc>
          <w:tcPr/>
          <w:p>
            <w:pPr>
              <w:pStyle w:val="Compact"/>
            </w:pPr>
            <w:r>
              <w:t xml:space="preserve">BF</w:t>
            </w:r>
          </w:p>
        </w:tc>
        <w:tc>
          <w:tcPr/>
          <w:p>
            <w:pPr>
              <w:pStyle w:val="Compact"/>
            </w:pPr>
            <w:r>
              <w:t xml:space="preserve">Calibrated p-value</w:t>
            </w:r>
          </w:p>
        </w:tc>
      </w:tr>
      <w:tr>
        <w:tc>
          <w:tcPr/>
          <w:p>
            <w:pPr>
              <w:pStyle w:val="Compact"/>
            </w:pPr>
            <w:r>
              <w:t xml:space="preserve">Output type</w:t>
            </w:r>
          </w:p>
        </w:tc>
        <w:tc>
          <w:tcPr/>
          <w:p>
            <w:pPr>
              <w:pStyle w:val="Compact"/>
            </w:pPr>
            <w:r>
              <w:t xml:space="preserve">Continuous fraction in [0,1]</w:t>
            </w:r>
          </w:p>
        </w:tc>
        <w:tc>
          <w:tcPr/>
          <w:p>
            <w:pPr>
              <w:pStyle w:val="Compact"/>
            </w:pPr>
            <w:r>
              <w:t xml:space="preserve">Binary significance test</w:t>
            </w:r>
          </w:p>
        </w:tc>
      </w:tr>
      <w:tr>
        <w:tc>
          <w:tcPr/>
          <w:p>
            <w:pPr>
              <w:pStyle w:val="Compact"/>
            </w:pPr>
            <w:r>
              <w:t xml:space="preserve">Question answered</w:t>
            </w:r>
          </w:p>
        </w:tc>
        <w:tc>
          <w:tcPr/>
          <w:p>
            <w:pPr>
              <w:pStyle w:val="Compact"/>
            </w:pPr>
            <w:r>
              <w:t xml:space="preserve">How large is bias relative to residual effect?</w:t>
            </w:r>
          </w:p>
        </w:tc>
        <w:tc>
          <w:tcPr/>
          <w:p>
            <w:pPr>
              <w:pStyle w:val="Compact"/>
            </w:pPr>
            <w:r>
              <w:t xml:space="preserve">Is there evidence of an effect after bias correction?</w:t>
            </w:r>
          </w:p>
        </w:tc>
      </w:tr>
      <w:tr>
        <w:tc>
          <w:tcPr/>
          <w:p>
            <w:pPr>
              <w:pStyle w:val="Compact"/>
            </w:pPr>
            <w:r>
              <w:t xml:space="preserve">Scale</w:t>
            </w:r>
          </w:p>
        </w:tc>
        <w:tc>
          <w:tcPr/>
          <w:p>
            <w:pPr>
              <w:pStyle w:val="Compact"/>
            </w:pPr>
            <w:r>
              <w:t xml:space="preserve">Scale-invariant, bounded</w:t>
            </w:r>
          </w:p>
        </w:tc>
        <w:tc>
          <w:tcPr/>
          <w:p>
            <w:pPr>
              <w:pStyle w:val="Compact"/>
            </w:pPr>
            <w:r>
              <w:t xml:space="preserve">Depends on sample size</w:t>
            </w:r>
          </w:p>
        </w:tc>
      </w:tr>
      <w:tr>
        <w:tc>
          <w:tcPr/>
          <w:p>
            <w:pPr>
              <w:pStyle w:val="Compact"/>
            </w:pPr>
            <w:r>
              <w:t xml:space="preserve">Interpretation when non-significant</w:t>
            </w:r>
          </w:p>
        </w:tc>
        <w:tc>
          <w:tcPr/>
          <w:p>
            <w:pPr>
              <w:pStyle w:val="Compact"/>
            </w:pPr>
            <w:r>
              <w:t xml:space="preserve">Distinguishes</w:t>
            </w:r>
            <w:r>
              <w:t xml:space="preserve"> </w:t>
            </w:r>
            <w:r>
              <w:t xml:space="preserve">“bias dominated”</w:t>
            </w:r>
            <w:r>
              <w:t xml:space="preserve"> </w:t>
            </w:r>
            <w:r>
              <w:t xml:space="preserve">from</w:t>
            </w:r>
            <w:r>
              <w:t xml:space="preserve"> </w:t>
            </w:r>
            <w:r>
              <w:t xml:space="preserve">“borderline”</w:t>
            </w:r>
          </w:p>
        </w:tc>
        <w:tc>
          <w:tcPr/>
          <w:p>
            <w:pPr>
              <w:pStyle w:val="Compact"/>
            </w:pPr>
            <w:r>
              <w:t xml:space="preserve">Cannot distinguish these scenarios</w:t>
            </w:r>
          </w:p>
        </w:tc>
      </w:tr>
      <w:tr>
        <w:tc>
          <w:tcPr/>
          <w:p>
            <w:pPr>
              <w:pStyle w:val="Compact"/>
            </w:pPr>
            <w:r>
              <w:t xml:space="preserve">Behavior at the null</w:t>
            </w:r>
          </w:p>
        </w:tc>
        <w:tc>
          <w:tcPr/>
          <w:p>
            <w:pPr>
              <w:pStyle w:val="Compact"/>
            </w:pPr>
            <w:r>
              <w:t xml:space="preserve">BF = 1</w:t>
            </w:r>
          </w:p>
        </w:tc>
        <w:tc>
          <w:tcPr/>
          <w:p>
            <w:pPr>
              <w:pStyle w:val="Compact"/>
            </w:pPr>
            <w:r>
              <w:t xml:space="preserve">p close to 1</w:t>
            </w:r>
          </w:p>
        </w:tc>
      </w:tr>
      <w:tr>
        <w:tc>
          <w:tcPr/>
          <w:p>
            <w:pPr>
              <w:pStyle w:val="Compact"/>
            </w:pPr>
            <w:r>
              <w:t xml:space="preserve">Computation</w:t>
            </w:r>
          </w:p>
        </w:tc>
        <w:tc>
          <w:tcPr/>
          <w:p>
            <w:pPr>
              <w:pStyle w:val="Compact"/>
            </w:pPr>
            <w:r>
              <w:t xml:space="preserve">From OHDSI pipeline quantities</w:t>
            </w:r>
          </w:p>
        </w:tc>
        <w:tc>
          <w:tcPr/>
          <w:p>
            <w:pPr>
              <w:pStyle w:val="Compact"/>
            </w:pPr>
            <w:r>
              <w:t xml:space="preserve">From OHDSI pipeline</w:t>
            </w:r>
          </w:p>
        </w:tc>
      </w:tr>
      <w:tr>
        <w:tc>
          <w:tcPr/>
          <w:p>
            <w:pPr>
              <w:pStyle w:val="Compact"/>
            </w:pPr>
            <w:r>
              <w:t xml:space="preserve">Recommended use</w:t>
            </w:r>
          </w:p>
        </w:tc>
        <w:tc>
          <w:tcPr/>
          <w:p>
            <w:pPr>
              <w:pStyle w:val="Compact"/>
            </w:pPr>
            <w:r>
              <w:t xml:space="preserve">Alongside calibrated p-value and CI</w:t>
            </w:r>
          </w:p>
        </w:tc>
        <w:tc>
          <w:tcPr/>
          <w:p>
            <w:pPr>
              <w:pStyle w:val="Compact"/>
            </w:pPr>
            <w:r>
              <w:t xml:space="preserve">Current standard</w:t>
            </w:r>
          </w:p>
        </w:tc>
      </w:tr>
    </w:tbl>
    <w:bookmarkEnd w:id="20"/>
    <w:bookmarkStart w:id="21" w:name="etable-2.-simulation-study-design"/>
    <w:p>
      <w:pPr>
        <w:pStyle w:val="Heading1"/>
      </w:pPr>
      <w:r>
        <w:t xml:space="preserve">eTable 2. Simulation Study Design</w:t>
      </w:r>
    </w:p>
    <w:p>
      <w:pPr>
        <w:pStyle w:val="TableCaption"/>
      </w:pPr>
      <w:r>
        <w:t xml:space="preserve">Simulation study design. Total: 10 x 8 x 2 x 2 x 2 = 640 conditions, 1000 repetitions each (640,000 total). BF_true values span {0.111, 0.143, 0.200, 0.250, 0.273, 0.333, 0.400, 0.429, 0.500, 0.571, 0.600, 0.667, 0.727, 0.750, 0.800, 0.857, 0.889} plus the near-null BF_true ≈ 0.95 to 0.99 at the smallest-magnitude cell ψ = −0.01 (RR = 0.99), which replaces the literal ψ = 0 / BF = 1 boundary so the operating range has no singularity. The 30% violation level is implemented as a fixed, pre-specified subset of round(K x 0.3) shifted controls (the last 4 of 12 = 33.3% for K = 12 and the last 8 of 25 = 32.0% for K = 25), distributionally equivalent to a random 30% subset.</w:t>
      </w:r>
    </w:p>
    <w:tbl>
      <w:tblPr>
        <w:tblStyle w:val="Table"/>
        <w:tblW w:type="pct" w:w="5000"/>
        <w:tblLayout w:type="fixed"/>
        <w:tblLook w:firstRow="1" w:lastRow="0" w:firstColumn="0" w:lastColumn="0" w:noHBand="0" w:noVBand="0" w:val="0020"/>
        <w:tblCaption w:val="Simulation study design. Total: 10 x 8 x 2 x 2 x 2 = 640 conditions, 1000 repetitions each (640,000 total). BF_true values span {0.111, 0.143, 0.200, 0.250, 0.273, 0.333, 0.400, 0.429, 0.500, 0.571, 0.600, 0.667, 0.727, 0.750, 0.800, 0.857, 0.889} plus the near-null BF_true ≈ 0.95 to 0.99 at the smallest-magnitude cell ψ = −0.01 (RR = 0.99), which replaces the literal ψ = 0 / BF = 1 boundary so the operating range has no singularity. The 30% violation level is implemented as a fixed, pre-specified subset of round(K x 0.3) shifted controls (the last 4 of 12 = 33.3% for K = 12 and the last 8 of 25 = 32.0% for K = 25), distributionally equivalent to a random 30% subset."/>
      </w:tblPr>
      <w:tblGrid>
        <w:gridCol w:w="4189"/>
        <w:gridCol w:w="3141"/>
        <w:gridCol w:w="589"/>
      </w:tblGrid>
      <w:tr>
        <w:trPr>
          <w:tblHeader w:val="on"/>
        </w:trPr>
        <w:tc>
          <w:tcPr/>
          <w:p>
            <w:pPr>
              <w:pStyle w:val="Compact"/>
              <w:jc w:val="left"/>
            </w:pPr>
            <w:r>
              <w:t xml:space="preserve">Factor</w:t>
            </w:r>
          </w:p>
        </w:tc>
        <w:tc>
          <w:tcPr/>
          <w:p>
            <w:pPr>
              <w:pStyle w:val="Compact"/>
              <w:jc w:val="left"/>
            </w:pPr>
            <w:r>
              <w:t xml:space="preserve">Levels (count)</w:t>
            </w:r>
          </w:p>
        </w:tc>
        <w:tc>
          <w:tcPr/>
          <w:p>
            <w:pPr>
              <w:pStyle w:val="Compact"/>
              <w:jc w:val="left"/>
            </w:pPr>
            <w:r>
              <w:t xml:space="preserve">N levels</w:t>
            </w:r>
          </w:p>
        </w:tc>
      </w:tr>
      <w:tr>
        <w:tc>
          <w:tcPr/>
          <w:p>
            <w:pPr>
              <w:pStyle w:val="Compact"/>
              <w:jc w:val="left"/>
            </w:pPr>
            <w:r>
              <w:t xml:space="preserve">True effect size (psi)</w:t>
            </w:r>
          </w:p>
        </w:tc>
        <w:tc>
          <w:tcPr/>
          <w:p>
            <w:pPr>
              <w:pStyle w:val="Compact"/>
              <w:jc w:val="left"/>
            </w:pPr>
            <w:r>
              <w:t xml:space="preserve">0, -0.05, -0.10, -0.15, -0.20, -0.30, -0.40 (7)</w:t>
            </w:r>
          </w:p>
        </w:tc>
        <w:tc>
          <w:tcPr/>
          <w:p>
            <w:pPr>
              <w:pStyle w:val="Compact"/>
              <w:jc w:val="left"/>
            </w:pPr>
            <w:r>
              <w:t xml:space="preserve">7</w:t>
            </w:r>
          </w:p>
        </w:tc>
      </w:tr>
      <w:tr>
        <w:tc>
          <w:tcPr/>
          <w:p>
            <w:pPr>
              <w:pStyle w:val="Compact"/>
              <w:jc w:val="left"/>
            </w:pPr>
            <w:r>
              <w:t xml:space="preserve">Systematic bias (mu_B)</w:t>
            </w:r>
          </w:p>
        </w:tc>
        <w:tc>
          <w:tcPr/>
          <w:p>
            <w:pPr>
              <w:pStyle w:val="Compact"/>
              <w:jc w:val="left"/>
            </w:pPr>
            <w:r>
              <w:t xml:space="preserve">-0.05, -0.10, -0.15, -0.20, -0.30, -0.40 (6)</w:t>
            </w:r>
          </w:p>
        </w:tc>
        <w:tc>
          <w:tcPr/>
          <w:p>
            <w:pPr>
              <w:pStyle w:val="Compact"/>
              <w:jc w:val="left"/>
            </w:pPr>
            <w:r>
              <w:t xml:space="preserve">6</w:t>
            </w:r>
          </w:p>
        </w:tc>
      </w:tr>
      <w:tr>
        <w:tc>
          <w:tcPr/>
          <w:p>
            <w:pPr>
              <w:pStyle w:val="Compact"/>
              <w:jc w:val="left"/>
            </w:pPr>
            <w:r>
              <w:t xml:space="preserve">Observation standard error of target-effect estimate (sigma_ps)</w:t>
            </w:r>
          </w:p>
        </w:tc>
        <w:tc>
          <w:tcPr/>
          <w:p>
            <w:pPr>
              <w:pStyle w:val="Compact"/>
              <w:jc w:val="left"/>
            </w:pPr>
            <w:r>
              <w:t xml:space="preserve">0.06, 0.10 (2)</w:t>
            </w:r>
          </w:p>
        </w:tc>
        <w:tc>
          <w:tcPr/>
          <w:p>
            <w:pPr>
              <w:pStyle w:val="Compact"/>
              <w:jc w:val="left"/>
            </w:pPr>
            <w:r>
              <w:t xml:space="preserve">2</w:t>
            </w:r>
          </w:p>
        </w:tc>
      </w:tr>
      <w:tr>
        <w:tc>
          <w:tcPr/>
          <w:p>
            <w:pPr>
              <w:pStyle w:val="Compact"/>
              <w:jc w:val="left"/>
            </w:pPr>
            <w:r>
              <w:t xml:space="preserve">Number of negative controls (K)</w:t>
            </w:r>
          </w:p>
        </w:tc>
        <w:tc>
          <w:tcPr/>
          <w:p>
            <w:pPr>
              <w:pStyle w:val="Compact"/>
              <w:jc w:val="left"/>
            </w:pPr>
            <w:r>
              <w:t xml:space="preserve">12, 25 (2)</w:t>
            </w:r>
          </w:p>
        </w:tc>
        <w:tc>
          <w:tcPr/>
          <w:p>
            <w:pPr>
              <w:pStyle w:val="Compact"/>
              <w:jc w:val="left"/>
            </w:pPr>
            <w:r>
              <w:t xml:space="preserve">2</w:t>
            </w:r>
          </w:p>
        </w:tc>
      </w:tr>
      <w:tr>
        <w:tc>
          <w:tcPr/>
          <w:p>
            <w:pPr>
              <w:pStyle w:val="Compact"/>
              <w:jc w:val="left"/>
            </w:pPr>
            <w:r>
              <w:t xml:space="preserve">Exchangeability violation</w:t>
            </w:r>
          </w:p>
        </w:tc>
        <w:tc>
          <w:tcPr/>
          <w:p>
            <w:pPr>
              <w:pStyle w:val="Compact"/>
              <w:jc w:val="left"/>
            </w:pPr>
            <w:r>
              <w:t xml:space="preserve">0%, 30% (2)</w:t>
            </w:r>
          </w:p>
        </w:tc>
        <w:tc>
          <w:tcPr/>
          <w:p>
            <w:pPr>
              <w:pStyle w:val="Compact"/>
              <w:jc w:val="left"/>
            </w:pPr>
            <w:r>
              <w:t xml:space="preserve">2</w:t>
            </w:r>
          </w:p>
        </w:tc>
      </w:tr>
    </w:tbl>
    <w:bookmarkEnd w:id="21"/>
    <w:bookmarkStart w:id="22" w:name="X0db8cd73aafe0a8f13d16fd09ddb2c3d77ffcbd"/>
    <w:p>
      <w:pPr>
        <w:pStyle w:val="Heading1"/>
      </w:pPr>
      <w:r>
        <w:t xml:space="preserve">eTable 3. CI-Based Classification Heuristic Results</w:t>
      </w:r>
    </w:p>
    <w:p>
      <w:pPr>
        <w:pStyle w:val="TableCaption"/>
      </w:pPr>
      <w:r>
        <w:t xml:space="preserve">CI-based classification heuristic vs point-estimate rule across all 640 conditions (67,200 repetitions, the companion CI simulation). The CI-based rule issued a decisive (non-mixed) classification in 47.6% of repetitions; those decisive calls were 86.8% accurate.</w:t>
      </w:r>
    </w:p>
    <w:tbl>
      <w:tblPr>
        <w:tblStyle w:val="Table"/>
        <w:tblW w:type="pct" w:w="5000"/>
        <w:tblLayout w:type="fixed"/>
        <w:tblLook w:firstRow="1" w:lastRow="0" w:firstColumn="0" w:lastColumn="0" w:noHBand="0" w:noVBand="0" w:val="0020"/>
        <w:tblCaption w:val="CI-based classification heuristic vs point-estimate rule across all 640 conditions (67,200 repetitions, the companion CI simulation). The CI-based rule issued a decisive (non-mixed) classification in 47.6% of repetitions; those decisive calls were 86.8% accurate."/>
      </w:tblPr>
      <w:tblGrid>
        <w:gridCol w:w="2432"/>
        <w:gridCol w:w="873"/>
        <w:gridCol w:w="1683"/>
        <w:gridCol w:w="1309"/>
        <w:gridCol w:w="1621"/>
      </w:tblGrid>
      <w:tr>
        <w:trPr>
          <w:tblHeader w:val="on"/>
        </w:trPr>
        <w:tc>
          <w:tcPr/>
          <w:p>
            <w:pPr>
              <w:pStyle w:val="Compact"/>
              <w:jc w:val="left"/>
            </w:pPr>
            <w:r>
              <w:t xml:space="preserve">Zone</w:t>
            </w:r>
          </w:p>
        </w:tc>
        <w:tc>
          <w:tcPr/>
          <w:p>
            <w:pPr>
              <w:pStyle w:val="Compact"/>
              <w:jc w:val="right"/>
            </w:pPr>
            <w:r>
              <w:t xml:space="preserve">N repetitions</w:t>
            </w:r>
          </w:p>
        </w:tc>
        <w:tc>
          <w:tcPr/>
          <w:p>
            <w:pPr>
              <w:pStyle w:val="Compact"/>
              <w:jc w:val="right"/>
            </w:pPr>
            <w:r>
              <w:t xml:space="preserve">Point-estimate accuracy, %</w:t>
            </w:r>
          </w:p>
        </w:tc>
        <w:tc>
          <w:tcPr/>
          <w:p>
            <w:pPr>
              <w:pStyle w:val="Compact"/>
              <w:jc w:val="right"/>
            </w:pPr>
            <w:r>
              <w:t xml:space="preserve">CI-based accuracy, %</w:t>
            </w:r>
          </w:p>
        </w:tc>
        <w:tc>
          <w:tcPr/>
          <w:p>
            <w:pPr>
              <w:pStyle w:val="Compact"/>
              <w:jc w:val="right"/>
            </w:pPr>
            <w:r>
              <w:t xml:space="preserve">CI classified as mixed, %</w:t>
            </w:r>
          </w:p>
        </w:tc>
      </w:tr>
      <w:tr>
        <w:tc>
          <w:tcPr/>
          <w:p>
            <w:pPr>
              <w:pStyle w:val="Compact"/>
              <w:jc w:val="left"/>
            </w:pPr>
            <w:r>
              <w:t xml:space="preserve">Bias-dominated (BF_true &gt; 0.5 or null)</w:t>
            </w:r>
          </w:p>
        </w:tc>
        <w:tc>
          <w:tcPr/>
          <w:p>
            <w:pPr>
              <w:pStyle w:val="Compact"/>
              <w:jc w:val="right"/>
            </w:pPr>
            <w:r>
              <w:t xml:space="preserve">33600</w:t>
            </w:r>
          </w:p>
        </w:tc>
        <w:tc>
          <w:tcPr/>
          <w:p>
            <w:pPr>
              <w:pStyle w:val="Compact"/>
              <w:jc w:val="right"/>
            </w:pPr>
            <w:r>
              <w:t xml:space="preserve">80.3</w:t>
            </w:r>
          </w:p>
        </w:tc>
        <w:tc>
          <w:tcPr/>
          <w:p>
            <w:pPr>
              <w:pStyle w:val="Compact"/>
              <w:jc w:val="right"/>
            </w:pPr>
            <w:r>
              <w:t xml:space="preserve">57.5</w:t>
            </w:r>
          </w:p>
        </w:tc>
        <w:tc>
          <w:tcPr/>
          <w:p>
            <w:pPr>
              <w:pStyle w:val="Compact"/>
              <w:jc w:val="right"/>
            </w:pPr>
            <w:r>
              <w:t xml:space="preserve">42.0</w:t>
            </w:r>
          </w:p>
        </w:tc>
      </w:tr>
      <w:tr>
        <w:tc>
          <w:tcPr/>
          <w:p>
            <w:pPr>
              <w:pStyle w:val="Compact"/>
              <w:jc w:val="left"/>
            </w:pPr>
            <w:r>
              <w:t xml:space="preserve">Mixed (1/3 &lt;= BF_true &lt;= 0.5)</w:t>
            </w:r>
          </w:p>
        </w:tc>
        <w:tc>
          <w:tcPr/>
          <w:p>
            <w:pPr>
              <w:pStyle w:val="Compact"/>
              <w:jc w:val="right"/>
            </w:pPr>
            <w:r>
              <w:t xml:space="preserve">22400</w:t>
            </w:r>
          </w:p>
        </w:tc>
        <w:tc>
          <w:tcPr/>
          <w:p>
            <w:pPr>
              <w:pStyle w:val="Compact"/>
              <w:jc w:val="right"/>
            </w:pPr>
            <w:r>
              <w:t xml:space="preserve">41.8</w:t>
            </w:r>
          </w:p>
        </w:tc>
        <w:tc>
          <w:tcPr/>
          <w:p>
            <w:pPr>
              <w:pStyle w:val="Compact"/>
              <w:jc w:val="right"/>
            </w:pPr>
            <w:r>
              <w:t xml:space="preserve">81.9</w:t>
            </w:r>
          </w:p>
        </w:tc>
        <w:tc>
          <w:tcPr/>
          <w:p>
            <w:pPr>
              <w:pStyle w:val="Compact"/>
              <w:jc w:val="right"/>
            </w:pPr>
            <w:r>
              <w:t xml:space="preserve">81.9</w:t>
            </w:r>
          </w:p>
        </w:tc>
      </w:tr>
      <w:tr>
        <w:tc>
          <w:tcPr/>
          <w:p>
            <w:pPr>
              <w:pStyle w:val="Compact"/>
              <w:jc w:val="left"/>
            </w:pPr>
            <w:r>
              <w:t xml:space="preserve">Effect-dominated (BF_true &lt; 1/3)</w:t>
            </w:r>
          </w:p>
        </w:tc>
        <w:tc>
          <w:tcPr/>
          <w:p>
            <w:pPr>
              <w:pStyle w:val="Compact"/>
              <w:jc w:val="right"/>
            </w:pPr>
            <w:r>
              <w:t xml:space="preserve">11200</w:t>
            </w:r>
          </w:p>
        </w:tc>
        <w:tc>
          <w:tcPr/>
          <w:p>
            <w:pPr>
              <w:pStyle w:val="Compact"/>
              <w:jc w:val="right"/>
            </w:pPr>
            <w:r>
              <w:t xml:space="preserve">95.5</w:t>
            </w:r>
          </w:p>
        </w:tc>
        <w:tc>
          <w:tcPr/>
          <w:p>
            <w:pPr>
              <w:pStyle w:val="Compact"/>
              <w:jc w:val="right"/>
            </w:pPr>
            <w:r>
              <w:t xml:space="preserve">75.5</w:t>
            </w:r>
          </w:p>
        </w:tc>
        <w:tc>
          <w:tcPr/>
          <w:p>
            <w:pPr>
              <w:pStyle w:val="Compact"/>
              <w:jc w:val="right"/>
            </w:pPr>
            <w:r>
              <w:t xml:space="preserve">24.5</w:t>
            </w:r>
          </w:p>
        </w:tc>
      </w:tr>
      <w:tr>
        <w:tc>
          <w:tcPr/>
          <w:p>
            <w:pPr>
              <w:pStyle w:val="Compact"/>
              <w:jc w:val="left"/>
            </w:pPr>
            <w:r>
              <w:t xml:space="preserve">Overall</w:t>
            </w:r>
          </w:p>
        </w:tc>
        <w:tc>
          <w:tcPr/>
          <w:p>
            <w:pPr>
              <w:pStyle w:val="Compact"/>
              <w:jc w:val="right"/>
            </w:pPr>
            <w:r>
              <w:t xml:space="preserve">67200</w:t>
            </w:r>
          </w:p>
        </w:tc>
        <w:tc>
          <w:tcPr/>
          <w:p>
            <w:pPr>
              <w:pStyle w:val="Compact"/>
              <w:jc w:val="right"/>
            </w:pPr>
            <w:r>
              <w:t xml:space="preserve">70.0</w:t>
            </w:r>
          </w:p>
        </w:tc>
        <w:tc>
          <w:tcPr/>
          <w:p>
            <w:pPr>
              <w:pStyle w:val="Compact"/>
              <w:jc w:val="right"/>
            </w:pPr>
            <w:r>
              <w:t xml:space="preserve">68.6</w:t>
            </w:r>
          </w:p>
        </w:tc>
        <w:tc>
          <w:tcPr/>
          <w:p>
            <w:pPr>
              <w:pStyle w:val="Compact"/>
              <w:jc w:val="right"/>
            </w:pPr>
            <w:r>
              <w:t xml:space="preserve">52.4</w:t>
            </w:r>
          </w:p>
        </w:tc>
      </w:tr>
    </w:tbl>
    <w:bookmarkEnd w:id="22"/>
    <w:bookmarkStart w:id="23" w:name="X58d0f65626bfa892a74fa5633f958a0caa9e198"/>
    <w:p>
      <w:pPr>
        <w:pStyle w:val="Heading1"/>
      </w:pPr>
      <w:r>
        <w:t xml:space="preserve">eTable 4. Leave-One-Out Sensitivity Analysis</w:t>
      </w:r>
    </w:p>
    <w:p>
      <w:pPr>
        <w:pStyle w:val="TableCaption"/>
      </w:pPr>
      <w:r>
        <w:t xml:space="preserve">Leave-one-out sensitivity analysis. Full-data BF = 0.91. All 12 exclusions remained in the bias-dominated zone (BF &gt; 0.5).</w:t>
      </w:r>
    </w:p>
    <w:tbl>
      <w:tblPr>
        <w:tblStyle w:val="Table"/>
        <w:tblW w:type="auto" w:w="0"/>
        <w:tblLook w:firstRow="1" w:lastRow="0" w:firstColumn="0" w:lastColumn="0" w:noHBand="0" w:noVBand="0" w:val="0020"/>
        <w:tblCaption w:val="Leave-one-out sensitivity analysis. Full-data BF = 0.91. All 12 exclusions remained in the bias-dominated zone (BF &gt; 0.5)."/>
      </w:tblPr>
      <w:tblGrid>
        <w:gridCol w:w="2640"/>
        <w:gridCol w:w="2640"/>
        <w:gridCol w:w="2640"/>
      </w:tblGrid>
      <w:tr>
        <w:trPr>
          <w:tblHeader w:val="on"/>
        </w:trPr>
        <w:tc>
          <w:tcPr/>
          <w:p>
            <w:pPr>
              <w:pStyle w:val="Compact"/>
              <w:jc w:val="left"/>
            </w:pPr>
            <w:r>
              <w:t xml:space="preserve">Excluded negative control</w:t>
            </w:r>
          </w:p>
        </w:tc>
        <w:tc>
          <w:tcPr/>
          <w:p>
            <w:pPr>
              <w:pStyle w:val="Compact"/>
              <w:jc w:val="right"/>
            </w:pPr>
            <w:r>
              <w:t xml:space="preserve">BF</w:t>
            </w:r>
          </w:p>
        </w:tc>
        <w:tc>
          <w:tcPr/>
          <w:p>
            <w:pPr>
              <w:pStyle w:val="Compact"/>
              <w:jc w:val="left"/>
            </w:pPr>
            <w:r>
              <w:t xml:space="preserve">Zone</w:t>
            </w:r>
          </w:p>
        </w:tc>
      </w:tr>
      <w:tr>
        <w:tc>
          <w:tcPr/>
          <w:p>
            <w:pPr>
              <w:pStyle w:val="Compact"/>
              <w:jc w:val="left"/>
            </w:pPr>
            <w:r>
              <w:t xml:space="preserve">infection</w:t>
            </w:r>
          </w:p>
        </w:tc>
        <w:tc>
          <w:tcPr/>
          <w:p>
            <w:pPr>
              <w:pStyle w:val="Compact"/>
              <w:jc w:val="right"/>
            </w:pPr>
            <w:r>
              <w:t xml:space="preserve">0.982</w:t>
            </w:r>
          </w:p>
        </w:tc>
        <w:tc>
          <w:tcPr/>
          <w:p>
            <w:pPr>
              <w:pStyle w:val="Compact"/>
              <w:jc w:val="left"/>
            </w:pPr>
            <w:r>
              <w:t xml:space="preserve">Bias-dominated</w:t>
            </w:r>
          </w:p>
        </w:tc>
      </w:tr>
      <w:tr>
        <w:tc>
          <w:tcPr/>
          <w:p>
            <w:pPr>
              <w:pStyle w:val="Compact"/>
              <w:jc w:val="left"/>
            </w:pPr>
            <w:r>
              <w:t xml:space="preserve">gi_bleed</w:t>
            </w:r>
          </w:p>
        </w:tc>
        <w:tc>
          <w:tcPr/>
          <w:p>
            <w:pPr>
              <w:pStyle w:val="Compact"/>
              <w:jc w:val="right"/>
            </w:pPr>
            <w:r>
              <w:t xml:space="preserve">0.966</w:t>
            </w:r>
          </w:p>
        </w:tc>
        <w:tc>
          <w:tcPr/>
          <w:p>
            <w:pPr>
              <w:pStyle w:val="Compact"/>
              <w:jc w:val="left"/>
            </w:pPr>
            <w:r>
              <w:t xml:space="preserve">Bias-dominated</w:t>
            </w:r>
          </w:p>
        </w:tc>
      </w:tr>
      <w:tr>
        <w:tc>
          <w:tcPr/>
          <w:p>
            <w:pPr>
              <w:pStyle w:val="Compact"/>
              <w:jc w:val="left"/>
            </w:pPr>
            <w:r>
              <w:t xml:space="preserve">fall</w:t>
            </w:r>
          </w:p>
        </w:tc>
        <w:tc>
          <w:tcPr/>
          <w:p>
            <w:pPr>
              <w:pStyle w:val="Compact"/>
              <w:jc w:val="right"/>
            </w:pPr>
            <w:r>
              <w:t xml:space="preserve">0.982</w:t>
            </w:r>
          </w:p>
        </w:tc>
        <w:tc>
          <w:tcPr/>
          <w:p>
            <w:pPr>
              <w:pStyle w:val="Compact"/>
              <w:jc w:val="left"/>
            </w:pPr>
            <w:r>
              <w:t xml:space="preserve">Bias-dominated</w:t>
            </w:r>
          </w:p>
        </w:tc>
      </w:tr>
      <w:tr>
        <w:tc>
          <w:tcPr/>
          <w:p>
            <w:pPr>
              <w:pStyle w:val="Compact"/>
              <w:jc w:val="left"/>
            </w:pPr>
            <w:r>
              <w:t xml:space="preserve">uti_only</w:t>
            </w:r>
          </w:p>
        </w:tc>
        <w:tc>
          <w:tcPr/>
          <w:p>
            <w:pPr>
              <w:pStyle w:val="Compact"/>
              <w:jc w:val="right"/>
            </w:pPr>
            <w:r>
              <w:t xml:space="preserve">0.966</w:t>
            </w:r>
          </w:p>
        </w:tc>
        <w:tc>
          <w:tcPr/>
          <w:p>
            <w:pPr>
              <w:pStyle w:val="Compact"/>
              <w:jc w:val="left"/>
            </w:pPr>
            <w:r>
              <w:t xml:space="preserve">Bias-dominated</w:t>
            </w:r>
          </w:p>
        </w:tc>
      </w:tr>
      <w:tr>
        <w:tc>
          <w:tcPr/>
          <w:p>
            <w:pPr>
              <w:pStyle w:val="Compact"/>
              <w:jc w:val="left"/>
            </w:pPr>
            <w:r>
              <w:t xml:space="preserve">cellulitis</w:t>
            </w:r>
          </w:p>
        </w:tc>
        <w:tc>
          <w:tcPr/>
          <w:p>
            <w:pPr>
              <w:pStyle w:val="Compact"/>
              <w:jc w:val="right"/>
            </w:pPr>
            <w:r>
              <w:t xml:space="preserve">0.989</w:t>
            </w:r>
          </w:p>
        </w:tc>
        <w:tc>
          <w:tcPr/>
          <w:p>
            <w:pPr>
              <w:pStyle w:val="Compact"/>
              <w:jc w:val="left"/>
            </w:pPr>
            <w:r>
              <w:t xml:space="preserve">Bias-dominated</w:t>
            </w:r>
          </w:p>
        </w:tc>
      </w:tr>
      <w:tr>
        <w:tc>
          <w:tcPr/>
          <w:p>
            <w:pPr>
              <w:pStyle w:val="Compact"/>
              <w:jc w:val="left"/>
            </w:pPr>
            <w:r>
              <w:t xml:space="preserve">cataract</w:t>
            </w:r>
          </w:p>
        </w:tc>
        <w:tc>
          <w:tcPr/>
          <w:p>
            <w:pPr>
              <w:pStyle w:val="Compact"/>
              <w:jc w:val="right"/>
            </w:pPr>
            <w:r>
              <w:t xml:space="preserve">0.987</w:t>
            </w:r>
          </w:p>
        </w:tc>
        <w:tc>
          <w:tcPr/>
          <w:p>
            <w:pPr>
              <w:pStyle w:val="Compact"/>
              <w:jc w:val="left"/>
            </w:pPr>
            <w:r>
              <w:t xml:space="preserve">Bias-dominated</w:t>
            </w:r>
          </w:p>
        </w:tc>
      </w:tr>
      <w:tr>
        <w:tc>
          <w:tcPr/>
          <w:p>
            <w:pPr>
              <w:pStyle w:val="Compact"/>
              <w:jc w:val="left"/>
            </w:pPr>
            <w:r>
              <w:t xml:space="preserve">osteoarthritis</w:t>
            </w:r>
          </w:p>
        </w:tc>
        <w:tc>
          <w:tcPr/>
          <w:p>
            <w:pPr>
              <w:pStyle w:val="Compact"/>
              <w:jc w:val="right"/>
            </w:pPr>
            <w:r>
              <w:t xml:space="preserve">0.960</w:t>
            </w:r>
          </w:p>
        </w:tc>
        <w:tc>
          <w:tcPr/>
          <w:p>
            <w:pPr>
              <w:pStyle w:val="Compact"/>
              <w:jc w:val="left"/>
            </w:pPr>
            <w:r>
              <w:t xml:space="preserve">Bias-dominated</w:t>
            </w:r>
          </w:p>
        </w:tc>
      </w:tr>
      <w:tr>
        <w:tc>
          <w:tcPr/>
          <w:p>
            <w:pPr>
              <w:pStyle w:val="Compact"/>
              <w:jc w:val="left"/>
            </w:pPr>
            <w:r>
              <w:t xml:space="preserve">traffic_accident</w:t>
            </w:r>
          </w:p>
        </w:tc>
        <w:tc>
          <w:tcPr/>
          <w:p>
            <w:pPr>
              <w:pStyle w:val="Compact"/>
              <w:jc w:val="right"/>
            </w:pPr>
            <w:r>
              <w:t xml:space="preserve">0.965</w:t>
            </w:r>
          </w:p>
        </w:tc>
        <w:tc>
          <w:tcPr/>
          <w:p>
            <w:pPr>
              <w:pStyle w:val="Compact"/>
              <w:jc w:val="left"/>
            </w:pPr>
            <w:r>
              <w:t xml:space="preserve">Bias-dominated</w:t>
            </w:r>
          </w:p>
        </w:tc>
      </w:tr>
      <w:tr>
        <w:tc>
          <w:tcPr/>
          <w:p>
            <w:pPr>
              <w:pStyle w:val="Compact"/>
              <w:jc w:val="left"/>
            </w:pPr>
            <w:r>
              <w:t xml:space="preserve">hemorrhoids</w:t>
            </w:r>
          </w:p>
        </w:tc>
        <w:tc>
          <w:tcPr/>
          <w:p>
            <w:pPr>
              <w:pStyle w:val="Compact"/>
              <w:jc w:val="right"/>
            </w:pPr>
            <w:r>
              <w:t xml:space="preserve">0.961</w:t>
            </w:r>
          </w:p>
        </w:tc>
        <w:tc>
          <w:tcPr/>
          <w:p>
            <w:pPr>
              <w:pStyle w:val="Compact"/>
              <w:jc w:val="left"/>
            </w:pPr>
            <w:r>
              <w:t xml:space="preserve">Bias-dominated</w:t>
            </w:r>
          </w:p>
        </w:tc>
      </w:tr>
      <w:tr>
        <w:tc>
          <w:tcPr/>
          <w:p>
            <w:pPr>
              <w:pStyle w:val="Compact"/>
              <w:jc w:val="left"/>
            </w:pPr>
            <w:r>
              <w:t xml:space="preserve">bph</w:t>
            </w:r>
          </w:p>
        </w:tc>
        <w:tc>
          <w:tcPr/>
          <w:p>
            <w:pPr>
              <w:pStyle w:val="Compact"/>
              <w:jc w:val="right"/>
            </w:pPr>
            <w:r>
              <w:t xml:space="preserve">0.927</w:t>
            </w:r>
          </w:p>
        </w:tc>
        <w:tc>
          <w:tcPr/>
          <w:p>
            <w:pPr>
              <w:pStyle w:val="Compact"/>
              <w:jc w:val="left"/>
            </w:pPr>
            <w:r>
              <w:t xml:space="preserve">Bias-dominated</w:t>
            </w:r>
          </w:p>
        </w:tc>
      </w:tr>
      <w:tr>
        <w:tc>
          <w:tcPr/>
          <w:p>
            <w:pPr>
              <w:pStyle w:val="Compact"/>
              <w:jc w:val="left"/>
            </w:pPr>
            <w:r>
              <w:t xml:space="preserve">gout</w:t>
            </w:r>
          </w:p>
        </w:tc>
        <w:tc>
          <w:tcPr/>
          <w:p>
            <w:pPr>
              <w:pStyle w:val="Compact"/>
              <w:jc w:val="right"/>
            </w:pPr>
            <w:r>
              <w:t xml:space="preserve">0.890</w:t>
            </w:r>
          </w:p>
        </w:tc>
        <w:tc>
          <w:tcPr/>
          <w:p>
            <w:pPr>
              <w:pStyle w:val="Compact"/>
              <w:jc w:val="left"/>
            </w:pPr>
            <w:r>
              <w:t xml:space="preserve">Bias-dominated</w:t>
            </w:r>
          </w:p>
        </w:tc>
      </w:tr>
      <w:tr>
        <w:tc>
          <w:tcPr/>
          <w:p>
            <w:pPr>
              <w:pStyle w:val="Compact"/>
              <w:jc w:val="left"/>
            </w:pPr>
            <w:r>
              <w:t xml:space="preserve">tendinitis</w:t>
            </w:r>
          </w:p>
        </w:tc>
        <w:tc>
          <w:tcPr/>
          <w:p>
            <w:pPr>
              <w:pStyle w:val="Compact"/>
              <w:jc w:val="right"/>
            </w:pPr>
            <w:r>
              <w:t xml:space="preserve">0.983</w:t>
            </w:r>
          </w:p>
        </w:tc>
        <w:tc>
          <w:tcPr/>
          <w:p>
            <w:pPr>
              <w:pStyle w:val="Compact"/>
              <w:jc w:val="left"/>
            </w:pPr>
            <w:r>
              <w:t xml:space="preserve">Bias-dominated</w:t>
            </w:r>
          </w:p>
        </w:tc>
      </w:tr>
    </w:tbl>
    <w:bookmarkEnd w:id="23"/>
    <w:bookmarkStart w:id="24" w:name="Xb0a33d352b3e212559259d48c8a6a280f333d60"/>
    <w:p>
      <w:pPr>
        <w:pStyle w:val="Heading1"/>
      </w:pPr>
      <w:r>
        <w:t xml:space="preserve">eTable 5. SuperLearner Sensitivity Analysis</w:t>
      </w:r>
    </w:p>
    <w:p>
      <w:pPr>
        <w:pStyle w:val="TableCaption"/>
      </w:pPr>
      <w:r>
        <w:t xml:space="preserve">SuperLearner sensitivity analysis. All three configurations remained in the bias-dominated zone with bootstrap CIs entirely above 0.5.</w:t>
      </w:r>
    </w:p>
    <w:tbl>
      <w:tblPr>
        <w:tblStyle w:val="Table"/>
        <w:tblW w:type="auto" w:w="0"/>
        <w:tblLook w:firstRow="1" w:lastRow="0" w:firstColumn="0" w:lastColumn="0" w:noHBand="0" w:noVBand="0" w:val="0020"/>
        <w:tblCaption w:val="SuperLearner sensitivity analysis. All three configurations remained in the bias-dominated zone with bootstrap CIs entirely above 0.5."/>
      </w:tblPr>
      <w:tblGrid>
        <w:gridCol w:w="1980"/>
        <w:gridCol w:w="1980"/>
        <w:gridCol w:w="1980"/>
        <w:gridCol w:w="1980"/>
      </w:tblGrid>
      <w:tr>
        <w:trPr>
          <w:tblHeader w:val="on"/>
        </w:trPr>
        <w:tc>
          <w:tcPr/>
          <w:p>
            <w:pPr>
              <w:pStyle w:val="Compact"/>
              <w:jc w:val="left"/>
            </w:pPr>
            <w:r>
              <w:t xml:space="preserve">SuperLearner configuration</w:t>
            </w:r>
          </w:p>
        </w:tc>
        <w:tc>
          <w:tcPr/>
          <w:p>
            <w:pPr>
              <w:pStyle w:val="Compact"/>
              <w:jc w:val="right"/>
            </w:pPr>
            <w:r>
              <w:t xml:space="preserve">BF</w:t>
            </w:r>
          </w:p>
        </w:tc>
        <w:tc>
          <w:tcPr/>
          <w:p>
            <w:pPr>
              <w:pStyle w:val="Compact"/>
              <w:jc w:val="left"/>
            </w:pPr>
            <w:r>
              <w:t xml:space="preserve">95% CI</w:t>
            </w:r>
          </w:p>
        </w:tc>
        <w:tc>
          <w:tcPr/>
          <w:p>
            <w:pPr>
              <w:pStyle w:val="Compact"/>
              <w:jc w:val="left"/>
            </w:pPr>
            <w:r>
              <w:t xml:space="preserve">Zone</w:t>
            </w:r>
          </w:p>
        </w:tc>
      </w:tr>
      <w:tr>
        <w:tc>
          <w:tcPr/>
          <w:p>
            <w:pPr>
              <w:pStyle w:val="Compact"/>
              <w:jc w:val="left"/>
            </w:pPr>
            <w:r>
              <w:t xml:space="preserve">SL.glm</w:t>
            </w:r>
          </w:p>
        </w:tc>
        <w:tc>
          <w:tcPr/>
          <w:p>
            <w:pPr>
              <w:pStyle w:val="Compact"/>
              <w:jc w:val="right"/>
            </w:pPr>
            <w:r>
              <w:t xml:space="preserve">0.901</w:t>
            </w:r>
          </w:p>
        </w:tc>
        <w:tc>
          <w:tcPr/>
          <w:p>
            <w:pPr>
              <w:pStyle w:val="Compact"/>
              <w:jc w:val="left"/>
            </w:pPr>
            <w:r>
              <w:t xml:space="preserve">[0.748, 0.995]</w:t>
            </w:r>
          </w:p>
        </w:tc>
        <w:tc>
          <w:tcPr/>
          <w:p>
            <w:pPr>
              <w:pStyle w:val="Compact"/>
              <w:jc w:val="left"/>
            </w:pPr>
            <w:r>
              <w:t xml:space="preserve">Bias-dominated</w:t>
            </w:r>
          </w:p>
        </w:tc>
      </w:tr>
      <w:tr>
        <w:tc>
          <w:tcPr/>
          <w:p>
            <w:pPr>
              <w:pStyle w:val="Compact"/>
              <w:jc w:val="left"/>
            </w:pPr>
            <w:r>
              <w:t xml:space="preserve">SL.glm + SL.gam</w:t>
            </w:r>
          </w:p>
        </w:tc>
        <w:tc>
          <w:tcPr/>
          <w:p>
            <w:pPr>
              <w:pStyle w:val="Compact"/>
              <w:jc w:val="right"/>
            </w:pPr>
            <w:r>
              <w:t xml:space="preserve">0.896</w:t>
            </w:r>
          </w:p>
        </w:tc>
        <w:tc>
          <w:tcPr/>
          <w:p>
            <w:pPr>
              <w:pStyle w:val="Compact"/>
              <w:jc w:val="left"/>
            </w:pPr>
            <w:r>
              <w:t xml:space="preserve">[0.753, 0.995]</w:t>
            </w:r>
          </w:p>
        </w:tc>
        <w:tc>
          <w:tcPr/>
          <w:p>
            <w:pPr>
              <w:pStyle w:val="Compact"/>
              <w:jc w:val="left"/>
            </w:pPr>
            <w:r>
              <w:t xml:space="preserve">Bias-dominated</w:t>
            </w:r>
          </w:p>
        </w:tc>
      </w:tr>
      <w:tr>
        <w:tc>
          <w:tcPr/>
          <w:p>
            <w:pPr>
              <w:pStyle w:val="Compact"/>
              <w:jc w:val="left"/>
            </w:pPr>
            <w:r>
              <w:t xml:space="preserve">SL.glm + SL.gam + SL.xgboost</w:t>
            </w:r>
          </w:p>
        </w:tc>
        <w:tc>
          <w:tcPr/>
          <w:p>
            <w:pPr>
              <w:pStyle w:val="Compact"/>
              <w:jc w:val="right"/>
            </w:pPr>
            <w:r>
              <w:t xml:space="preserve">0.918</w:t>
            </w:r>
          </w:p>
        </w:tc>
        <w:tc>
          <w:tcPr/>
          <w:p>
            <w:pPr>
              <w:pStyle w:val="Compact"/>
              <w:jc w:val="left"/>
            </w:pPr>
            <w:r>
              <w:t xml:space="preserve">[0.718, 0.995]</w:t>
            </w:r>
          </w:p>
        </w:tc>
        <w:tc>
          <w:tcPr/>
          <w:p>
            <w:pPr>
              <w:pStyle w:val="Compact"/>
              <w:jc w:val="left"/>
            </w:pPr>
            <w:r>
              <w:t xml:space="preserve">Bias-dominated</w:t>
            </w:r>
          </w:p>
        </w:tc>
      </w:tr>
    </w:tbl>
    <w:bookmarkEnd w:id="24"/>
    <w:bookmarkStart w:id="25" w:name="X4d3cab1fedc037ec72e772e185cba837cc0d358"/>
    <w:p>
      <w:pPr>
        <w:pStyle w:val="Heading1"/>
      </w:pPr>
      <w:r>
        <w:t xml:space="preserve">eTable 6. Grace Period Sensitivity Analysis</w:t>
      </w:r>
    </w:p>
    <w:p>
      <w:pPr>
        <w:pStyle w:val="TableCaption"/>
      </w:pPr>
      <w:r>
        <w:t xml:space="preserve">Grace period sensitivity analysis. Calibrated risk ratio estimates ranged from 0.995 to 1.049, and all BF estimates remained in the bias-dominated zone (BF &gt; 0.5).</w:t>
      </w:r>
    </w:p>
    <w:tbl>
      <w:tblPr>
        <w:tblStyle w:val="Table"/>
        <w:tblW w:type="pct" w:w="5000"/>
        <w:tblLayout w:type="fixed"/>
        <w:tblLook w:firstRow="1" w:lastRow="0" w:firstColumn="0" w:lastColumn="0" w:noHBand="0" w:noVBand="0" w:val="0020"/>
        <w:tblCaption w:val="Grace period sensitivity analysis. Calibrated risk ratio estimates ranged from 0.995 to 1.049, and all BF estimates remained in the bias-dominated zone (BF &gt; 0.5)."/>
      </w:tblPr>
      <w:tblGrid>
        <w:gridCol w:w="533"/>
        <w:gridCol w:w="1779"/>
        <w:gridCol w:w="978"/>
        <w:gridCol w:w="1423"/>
        <w:gridCol w:w="1245"/>
        <w:gridCol w:w="622"/>
        <w:gridCol w:w="1334"/>
      </w:tblGrid>
      <w:tr>
        <w:trPr>
          <w:tblHeader w:val="on"/>
        </w:trPr>
        <w:tc>
          <w:tcPr/>
          <w:p>
            <w:pPr>
              <w:pStyle w:val="Compact"/>
            </w:pPr>
          </w:p>
        </w:tc>
        <w:tc>
          <w:tcPr/>
          <w:p>
            <w:pPr>
              <w:pStyle w:val="Compact"/>
              <w:jc w:val="right"/>
            </w:pPr>
            <w:r>
              <w:t xml:space="preserve">Grace period (days)</w:t>
            </w:r>
          </w:p>
        </w:tc>
        <w:tc>
          <w:tcPr/>
          <w:p>
            <w:pPr>
              <w:pStyle w:val="Compact"/>
              <w:jc w:val="right"/>
            </w:pPr>
            <w:r>
              <w:t xml:space="preserve">N (cohort)</w:t>
            </w:r>
          </w:p>
        </w:tc>
        <w:tc>
          <w:tcPr/>
          <w:p>
            <w:pPr>
              <w:pStyle w:val="Compact"/>
              <w:jc w:val="right"/>
            </w:pPr>
            <w:r>
              <w:t xml:space="preserve">Uncalibrated RR</w:t>
            </w:r>
          </w:p>
        </w:tc>
        <w:tc>
          <w:tcPr/>
          <w:p>
            <w:pPr>
              <w:pStyle w:val="Compact"/>
              <w:jc w:val="right"/>
            </w:pPr>
            <w:r>
              <w:t xml:space="preserve">Calibrated RR</w:t>
            </w:r>
          </w:p>
        </w:tc>
        <w:tc>
          <w:tcPr/>
          <w:p>
            <w:pPr>
              <w:pStyle w:val="Compact"/>
              <w:jc w:val="right"/>
            </w:pPr>
            <w:r>
              <w:t xml:space="preserve">BF</w:t>
            </w:r>
          </w:p>
        </w:tc>
        <w:tc>
          <w:tcPr/>
          <w:p>
            <w:pPr>
              <w:pStyle w:val="Compact"/>
              <w:jc w:val="left"/>
            </w:pPr>
            <w:r>
              <w:t xml:space="preserve">Classification</w:t>
            </w:r>
          </w:p>
        </w:tc>
      </w:tr>
      <w:tr>
        <w:tc>
          <w:tcPr/>
          <w:p>
            <w:pPr>
              <w:pStyle w:val="Compact"/>
              <w:jc w:val="left"/>
            </w:pPr>
            <w:r>
              <w:t xml:space="preserve">mean</w:t>
            </w:r>
          </w:p>
        </w:tc>
        <w:tc>
          <w:tcPr/>
          <w:p>
            <w:pPr>
              <w:pStyle w:val="Compact"/>
              <w:jc w:val="right"/>
            </w:pPr>
            <w:r>
              <w:t xml:space="preserve">3</w:t>
            </w:r>
          </w:p>
        </w:tc>
        <w:tc>
          <w:tcPr/>
          <w:p>
            <w:pPr>
              <w:pStyle w:val="Compact"/>
              <w:jc w:val="right"/>
            </w:pPr>
            <w:r>
              <w:t xml:space="preserve">14677</w:t>
            </w:r>
          </w:p>
        </w:tc>
        <w:tc>
          <w:tcPr/>
          <w:p>
            <w:pPr>
              <w:pStyle w:val="Compact"/>
              <w:jc w:val="right"/>
            </w:pPr>
            <w:r>
              <w:t xml:space="preserve">0.8357</w:t>
            </w:r>
          </w:p>
        </w:tc>
        <w:tc>
          <w:tcPr/>
          <w:p>
            <w:pPr>
              <w:pStyle w:val="Compact"/>
              <w:jc w:val="right"/>
            </w:pPr>
            <w:r>
              <w:t xml:space="preserve">1.0110</w:t>
            </w:r>
          </w:p>
        </w:tc>
        <w:tc>
          <w:tcPr/>
          <w:p>
            <w:pPr>
              <w:pStyle w:val="Compact"/>
              <w:jc w:val="right"/>
            </w:pPr>
            <w:r>
              <w:t xml:space="preserve">0.9456</w:t>
            </w:r>
          </w:p>
        </w:tc>
        <w:tc>
          <w:tcPr/>
          <w:p>
            <w:pPr>
              <w:pStyle w:val="Compact"/>
              <w:jc w:val="left"/>
            </w:pPr>
            <w:r>
              <w:t xml:space="preserve">bias-dominated</w:t>
            </w:r>
          </w:p>
        </w:tc>
      </w:tr>
      <w:tr>
        <w:tc>
          <w:tcPr/>
          <w:p>
            <w:pPr>
              <w:pStyle w:val="Compact"/>
              <w:jc w:val="left"/>
            </w:pPr>
            <w:r>
              <w:t xml:space="preserve">mean1</w:t>
            </w:r>
          </w:p>
        </w:tc>
        <w:tc>
          <w:tcPr/>
          <w:p>
            <w:pPr>
              <w:pStyle w:val="Compact"/>
              <w:jc w:val="right"/>
            </w:pPr>
            <w:r>
              <w:t xml:space="preserve">5</w:t>
            </w:r>
          </w:p>
        </w:tc>
        <w:tc>
          <w:tcPr/>
          <w:p>
            <w:pPr>
              <w:pStyle w:val="Compact"/>
              <w:jc w:val="right"/>
            </w:pPr>
            <w:r>
              <w:t xml:space="preserve">14677</w:t>
            </w:r>
          </w:p>
        </w:tc>
        <w:tc>
          <w:tcPr/>
          <w:p>
            <w:pPr>
              <w:pStyle w:val="Compact"/>
              <w:jc w:val="right"/>
            </w:pPr>
            <w:r>
              <w:t xml:space="preserve">0.8222</w:t>
            </w:r>
          </w:p>
        </w:tc>
        <w:tc>
          <w:tcPr/>
          <w:p>
            <w:pPr>
              <w:pStyle w:val="Compact"/>
              <w:jc w:val="right"/>
            </w:pPr>
            <w:r>
              <w:t xml:space="preserve">0.9948</w:t>
            </w:r>
          </w:p>
        </w:tc>
        <w:tc>
          <w:tcPr/>
          <w:p>
            <w:pPr>
              <w:pStyle w:val="Compact"/>
              <w:jc w:val="right"/>
            </w:pPr>
            <w:r>
              <w:t xml:space="preserve">0.9731</w:t>
            </w:r>
          </w:p>
        </w:tc>
        <w:tc>
          <w:tcPr/>
          <w:p>
            <w:pPr>
              <w:pStyle w:val="Compact"/>
              <w:jc w:val="left"/>
            </w:pPr>
            <w:r>
              <w:t xml:space="preserve">bias-dominated</w:t>
            </w:r>
          </w:p>
        </w:tc>
      </w:tr>
      <w:tr>
        <w:tc>
          <w:tcPr/>
          <w:p>
            <w:pPr>
              <w:pStyle w:val="Compact"/>
              <w:jc w:val="left"/>
            </w:pPr>
            <w:r>
              <w:t xml:space="preserve">mean2</w:t>
            </w:r>
          </w:p>
        </w:tc>
        <w:tc>
          <w:tcPr/>
          <w:p>
            <w:pPr>
              <w:pStyle w:val="Compact"/>
              <w:jc w:val="right"/>
            </w:pPr>
            <w:r>
              <w:t xml:space="preserve">7</w:t>
            </w:r>
          </w:p>
        </w:tc>
        <w:tc>
          <w:tcPr/>
          <w:p>
            <w:pPr>
              <w:pStyle w:val="Compact"/>
              <w:jc w:val="right"/>
            </w:pPr>
            <w:r>
              <w:t xml:space="preserve">14677</w:t>
            </w:r>
          </w:p>
        </w:tc>
        <w:tc>
          <w:tcPr/>
          <w:p>
            <w:pPr>
              <w:pStyle w:val="Compact"/>
              <w:jc w:val="right"/>
            </w:pPr>
            <w:r>
              <w:t xml:space="preserve">0.8305</w:t>
            </w:r>
          </w:p>
        </w:tc>
        <w:tc>
          <w:tcPr/>
          <w:p>
            <w:pPr>
              <w:pStyle w:val="Compact"/>
              <w:jc w:val="right"/>
            </w:pPr>
            <w:r>
              <w:t xml:space="preserve">1.0048</w:t>
            </w:r>
          </w:p>
        </w:tc>
        <w:tc>
          <w:tcPr/>
          <w:p>
            <w:pPr>
              <w:pStyle w:val="Compact"/>
              <w:jc w:val="right"/>
            </w:pPr>
            <w:r>
              <w:t xml:space="preserve">0.9755</w:t>
            </w:r>
          </w:p>
        </w:tc>
        <w:tc>
          <w:tcPr/>
          <w:p>
            <w:pPr>
              <w:pStyle w:val="Compact"/>
              <w:jc w:val="left"/>
            </w:pPr>
            <w:r>
              <w:t xml:space="preserve">bias-dominated</w:t>
            </w:r>
          </w:p>
        </w:tc>
      </w:tr>
      <w:tr>
        <w:tc>
          <w:tcPr/>
          <w:p>
            <w:pPr>
              <w:pStyle w:val="Compact"/>
              <w:jc w:val="left"/>
            </w:pPr>
            <w:r>
              <w:t xml:space="preserve">mean3</w:t>
            </w:r>
          </w:p>
        </w:tc>
        <w:tc>
          <w:tcPr/>
          <w:p>
            <w:pPr>
              <w:pStyle w:val="Compact"/>
              <w:jc w:val="right"/>
            </w:pPr>
            <w:r>
              <w:t xml:space="preserve">10</w:t>
            </w:r>
          </w:p>
        </w:tc>
        <w:tc>
          <w:tcPr/>
          <w:p>
            <w:pPr>
              <w:pStyle w:val="Compact"/>
              <w:jc w:val="right"/>
            </w:pPr>
            <w:r>
              <w:t xml:space="preserve">14555</w:t>
            </w:r>
          </w:p>
        </w:tc>
        <w:tc>
          <w:tcPr/>
          <w:p>
            <w:pPr>
              <w:pStyle w:val="Compact"/>
              <w:jc w:val="right"/>
            </w:pPr>
            <w:r>
              <w:t xml:space="preserve">0.8382</w:t>
            </w:r>
          </w:p>
        </w:tc>
        <w:tc>
          <w:tcPr/>
          <w:p>
            <w:pPr>
              <w:pStyle w:val="Compact"/>
              <w:jc w:val="right"/>
            </w:pPr>
            <w:r>
              <w:t xml:space="preserve">1.0141</w:t>
            </w:r>
          </w:p>
        </w:tc>
        <w:tc>
          <w:tcPr/>
          <w:p>
            <w:pPr>
              <w:pStyle w:val="Compact"/>
              <w:jc w:val="right"/>
            </w:pPr>
            <w:r>
              <w:t xml:space="preserve">0.9315</w:t>
            </w:r>
          </w:p>
        </w:tc>
        <w:tc>
          <w:tcPr/>
          <w:p>
            <w:pPr>
              <w:pStyle w:val="Compact"/>
              <w:jc w:val="left"/>
            </w:pPr>
            <w:r>
              <w:t xml:space="preserve">bias-dominated</w:t>
            </w:r>
          </w:p>
        </w:tc>
      </w:tr>
      <w:tr>
        <w:tc>
          <w:tcPr/>
          <w:p>
            <w:pPr>
              <w:pStyle w:val="Compact"/>
              <w:jc w:val="left"/>
            </w:pPr>
            <w:r>
              <w:t xml:space="preserve">mean4</w:t>
            </w:r>
          </w:p>
        </w:tc>
        <w:tc>
          <w:tcPr/>
          <w:p>
            <w:pPr>
              <w:pStyle w:val="Compact"/>
              <w:jc w:val="right"/>
            </w:pPr>
            <w:r>
              <w:t xml:space="preserve">14</w:t>
            </w:r>
          </w:p>
        </w:tc>
        <w:tc>
          <w:tcPr/>
          <w:p>
            <w:pPr>
              <w:pStyle w:val="Compact"/>
              <w:jc w:val="right"/>
            </w:pPr>
            <w:r>
              <w:t xml:space="preserve">14410</w:t>
            </w:r>
          </w:p>
        </w:tc>
        <w:tc>
          <w:tcPr/>
          <w:p>
            <w:pPr>
              <w:pStyle w:val="Compact"/>
              <w:jc w:val="right"/>
            </w:pPr>
            <w:r>
              <w:t xml:space="preserve">0.8666</w:t>
            </w:r>
          </w:p>
        </w:tc>
        <w:tc>
          <w:tcPr/>
          <w:p>
            <w:pPr>
              <w:pStyle w:val="Compact"/>
              <w:jc w:val="right"/>
            </w:pPr>
            <w:r>
              <w:t xml:space="preserve">1.0485</w:t>
            </w:r>
          </w:p>
        </w:tc>
        <w:tc>
          <w:tcPr/>
          <w:p>
            <w:pPr>
              <w:pStyle w:val="Compact"/>
              <w:jc w:val="right"/>
            </w:pPr>
            <w:r>
              <w:t xml:space="preserve">0.8009</w:t>
            </w:r>
          </w:p>
        </w:tc>
        <w:tc>
          <w:tcPr/>
          <w:p>
            <w:pPr>
              <w:pStyle w:val="Compact"/>
              <w:jc w:val="left"/>
            </w:pPr>
            <w:r>
              <w:t xml:space="preserve">bias-dominated</w:t>
            </w:r>
          </w:p>
        </w:tc>
      </w:tr>
    </w:tbl>
    <w:bookmarkEnd w:id="25"/>
    <w:bookmarkStart w:id="26" w:name="X9fb75fcce10b7f6a43983fd3c7fe573a0c7d5c1"/>
    <w:p>
      <w:pPr>
        <w:pStyle w:val="Heading1"/>
      </w:pPr>
      <w:r>
        <w:t xml:space="preserve">eTable 7. Relative Bias of the Unbounded Ratio (BER) vs BF, Per Simulation Configuration</w:t>
      </w:r>
    </w:p>
    <w:p>
      <w:pPr>
        <w:pStyle w:val="TableCaption"/>
      </w:pPr>
      <w:r>
        <w:t xml:space="preserve">Per-configuration mean relative bias of the unbounded ratio (BER) and the bounded bias fraction (BF) under bias exchangeability (0% violation) and under 30% exchangeability violation. Under exchangeability BER overstates the true ratio by roughly +270% to +1920% while BF is nearly unbiased (about -1%, per-configuration range -47% to +22%); under violation BF is attenuated toward 0.5 (mean relative bias about -32%). The bounded BF therefore avoids the unbounded ratio’s extreme relative-bias inflation in the bias-dominated zone (eAppendix 11, Property 1).</w:t>
      </w:r>
    </w:p>
    <w:tbl>
      <w:tblPr>
        <w:tblStyle w:val="Table"/>
        <w:tblW w:type="pct" w:w="5000"/>
        <w:tblLayout w:type="fixed"/>
        <w:tblLook w:firstRow="1" w:lastRow="0" w:firstColumn="0" w:lastColumn="0" w:noHBand="0" w:noVBand="0" w:val="0020"/>
        <w:tblCaption w:val="Per-configuration mean relative bias of the unbounded ratio (BER) and the bounded bias fraction (BF) under bias exchangeability (0% violation) and under 30% exchangeability violation. Under exchangeability BER overstates the true ratio by roughly +270% to +1920% while BF is nearly unbiased (about -1%, per-configuration range -47% to +22%); under violation BF is attenuated toward 0.5 (mean relative bias about -32%). The bounded BF therefore avoids the unbounded ratio’s extreme relative-bias inflation in the bias-dominated zone (eAppendix 11, Property 1)."/>
      </w:tblPr>
      <w:tblGrid>
        <w:gridCol w:w="4739"/>
        <w:gridCol w:w="1363"/>
        <w:gridCol w:w="1298"/>
        <w:gridCol w:w="519"/>
      </w:tblGrid>
      <w:tr>
        <w:trPr>
          <w:tblHeader w:val="on"/>
        </w:trPr>
        <w:tc>
          <w:tcPr/>
          <w:p>
            <w:pPr>
              <w:pStyle w:val="Compact"/>
              <w:jc w:val="left"/>
            </w:pPr>
            <w:r>
              <w:t xml:space="preserve">Simulation setting (per K and exchangeability level, 84 conditions each)</w:t>
            </w:r>
          </w:p>
        </w:tc>
        <w:tc>
          <w:tcPr/>
          <w:p>
            <w:pPr>
              <w:pStyle w:val="Compact"/>
              <w:jc w:val="left"/>
            </w:pPr>
            <w:r>
              <w:t xml:space="preserve">BER relative bias, %</w:t>
            </w:r>
          </w:p>
        </w:tc>
        <w:tc>
          <w:tcPr/>
          <w:p>
            <w:pPr>
              <w:pStyle w:val="Compact"/>
              <w:jc w:val="left"/>
            </w:pPr>
            <w:r>
              <w:t xml:space="preserve">BF relative bias, %</w:t>
            </w:r>
          </w:p>
        </w:tc>
        <w:tc>
          <w:tcPr/>
          <w:p>
            <w:pPr>
              <w:pStyle w:val="Compact"/>
              <w:jc w:val="left"/>
            </w:pPr>
            <w:r>
              <w:t xml:space="preserve">BF RMSE</w:t>
            </w:r>
          </w:p>
        </w:tc>
      </w:tr>
      <w:tr>
        <w:tc>
          <w:tcPr/>
          <w:p>
            <w:pPr>
              <w:pStyle w:val="Compact"/>
              <w:jc w:val="left"/>
            </w:pPr>
            <w:r>
              <w:t xml:space="preserve">0% violation, K = 12</w:t>
            </w:r>
          </w:p>
        </w:tc>
        <w:tc>
          <w:tcPr/>
          <w:p>
            <w:pPr>
              <w:pStyle w:val="Compact"/>
              <w:jc w:val="left"/>
            </w:pPr>
            <w:r>
              <w:t xml:space="preserve">+149.7</w:t>
            </w:r>
          </w:p>
        </w:tc>
        <w:tc>
          <w:tcPr/>
          <w:p>
            <w:pPr>
              <w:pStyle w:val="Compact"/>
              <w:jc w:val="left"/>
            </w:pPr>
            <w:r>
              <w:t xml:space="preserve">+0.2</w:t>
            </w:r>
          </w:p>
        </w:tc>
        <w:tc>
          <w:tcPr/>
          <w:p>
            <w:pPr>
              <w:pStyle w:val="Compact"/>
              <w:jc w:val="left"/>
            </w:pPr>
            <w:r>
              <w:t xml:space="preserve">0.120</w:t>
            </w:r>
          </w:p>
        </w:tc>
      </w:tr>
      <w:tr>
        <w:tc>
          <w:tcPr/>
          <w:p>
            <w:pPr>
              <w:pStyle w:val="Compact"/>
              <w:jc w:val="left"/>
            </w:pPr>
            <w:r>
              <w:t xml:space="preserve">0% violation, K = 25</w:t>
            </w:r>
          </w:p>
        </w:tc>
        <w:tc>
          <w:tcPr/>
          <w:p>
            <w:pPr>
              <w:pStyle w:val="Compact"/>
              <w:jc w:val="left"/>
            </w:pPr>
            <w:r>
              <w:t xml:space="preserve">+112.2</w:t>
            </w:r>
          </w:p>
        </w:tc>
        <w:tc>
          <w:tcPr/>
          <w:p>
            <w:pPr>
              <w:pStyle w:val="Compact"/>
              <w:jc w:val="left"/>
            </w:pPr>
            <w:r>
              <w:t xml:space="preserve">+0.5</w:t>
            </w:r>
          </w:p>
        </w:tc>
        <w:tc>
          <w:tcPr/>
          <w:p>
            <w:pPr>
              <w:pStyle w:val="Compact"/>
              <w:jc w:val="left"/>
            </w:pPr>
            <w:r>
              <w:t xml:space="preserve">0.115</w:t>
            </w:r>
          </w:p>
        </w:tc>
      </w:tr>
      <w:tr>
        <w:tc>
          <w:tcPr/>
          <w:p>
            <w:pPr>
              <w:pStyle w:val="Compact"/>
              <w:jc w:val="left"/>
            </w:pPr>
            <w:r>
              <w:t xml:space="preserve">30% violation, K = 12</w:t>
            </w:r>
          </w:p>
        </w:tc>
        <w:tc>
          <w:tcPr/>
          <w:p>
            <w:pPr>
              <w:pStyle w:val="Compact"/>
              <w:jc w:val="left"/>
            </w:pPr>
            <w:r>
              <w:t xml:space="preserve">+20.8</w:t>
            </w:r>
          </w:p>
        </w:tc>
        <w:tc>
          <w:tcPr/>
          <w:p>
            <w:pPr>
              <w:pStyle w:val="Compact"/>
              <w:jc w:val="left"/>
            </w:pPr>
            <w:r>
              <w:t xml:space="preserve">-28.0</w:t>
            </w:r>
          </w:p>
        </w:tc>
        <w:tc>
          <w:tcPr/>
          <w:p>
            <w:pPr>
              <w:pStyle w:val="Compact"/>
              <w:jc w:val="left"/>
            </w:pPr>
            <w:r>
              <w:t xml:space="preserve">0.167</w:t>
            </w:r>
          </w:p>
        </w:tc>
      </w:tr>
      <w:tr>
        <w:tc>
          <w:tcPr/>
          <w:p>
            <w:pPr>
              <w:pStyle w:val="Compact"/>
              <w:jc w:val="left"/>
            </w:pPr>
            <w:r>
              <w:t xml:space="preserve">30% violation, K = 25</w:t>
            </w:r>
          </w:p>
        </w:tc>
        <w:tc>
          <w:tcPr/>
          <w:p>
            <w:pPr>
              <w:pStyle w:val="Compact"/>
              <w:jc w:val="left"/>
            </w:pPr>
            <w:r>
              <w:t xml:space="preserve">+3.2</w:t>
            </w:r>
          </w:p>
        </w:tc>
        <w:tc>
          <w:tcPr/>
          <w:p>
            <w:pPr>
              <w:pStyle w:val="Compact"/>
              <w:jc w:val="left"/>
            </w:pPr>
            <w:r>
              <w:t xml:space="preserve">-28.3</w:t>
            </w:r>
          </w:p>
        </w:tc>
        <w:tc>
          <w:tcPr/>
          <w:p>
            <w:pPr>
              <w:pStyle w:val="Compact"/>
              <w:jc w:val="left"/>
            </w:pPr>
            <w:r>
              <w:t xml:space="preserve">0.163</w:t>
            </w:r>
          </w:p>
        </w:tc>
      </w:tr>
    </w:tbl>
    <w:bookmarkEnd w:id="26"/>
    <w:bookmarkStart w:id="30" w:name="Xa0e435e101c72c47909197dfbbbaa1bff404bea"/>
    <w:p>
      <w:pPr>
        <w:pStyle w:val="Heading1"/>
      </w:pPr>
      <w:r>
        <w:t xml:space="preserve">eFigure 1. Directed Acyclic Graph of Shared Bias Structure</w:t>
      </w:r>
    </w:p>
    <w:p>
      <w:pPr>
        <w:pStyle w:val="CaptionedFigure"/>
      </w:pPr>
      <w:r>
        <w:drawing>
          <wp:inline>
            <wp:extent cx="5334000" cy="4000500"/>
            <wp:effectExtent b="0" l="0" r="0" t="0"/>
            <wp:docPr descr="eFigure 1. Directed acyclic graph of shared bias structure and BF calibration. Panel A: U = unmeasured confounder; A = exposure (beta-blocker); Y = primary outcome (mortality); N_k = negative control outcomes. Solid arrows denote causal paths; dashed arrows denote bias paths shared between Y and N_k through U. Panel B: bias decomposition and the BF formula." title="" id="28" name="Picture"/>
            <a:graphic>
              <a:graphicData uri="http://schemas.openxmlformats.org/drawingml/2006/picture">
                <pic:pic>
                  <pic:nvPicPr>
                    <pic:cNvPr descr="../../../output/shared_bias_dag.png" id="29" name="Picture"/>
                    <pic:cNvPicPr>
                      <a:picLocks noChangeArrowheads="1" noChangeAspect="1"/>
                    </pic:cNvPicPr>
                  </pic:nvPicPr>
                  <pic:blipFill>
                    <a:blip r:embed="rId27"/>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eFigure 1. Directed acyclic graph of shared bias structure and BF calibration. Panel A: U = unmeasured confounder; A = exposure (beta-blocker); Y = primary outcome (mortality); N_k = negative control outcomes. Solid arrows denote causal paths; dashed arrows denote bias paths shared between Y and N_k through U. Panel B: bias decomposition and the BF formula.</w:t>
      </w:r>
    </w:p>
    <w:bookmarkEnd w:id="30"/>
    <w:bookmarkStart w:id="34" w:name="X5ac7e34e131800f6e8f1ed3917d0d9ae7048b98"/>
    <w:p>
      <w:pPr>
        <w:pStyle w:val="Heading1"/>
      </w:pPr>
      <w:r>
        <w:t xml:space="preserve">eFigure 2. Simulation Classification Accuracy Heatmap</w:t>
      </w:r>
    </w:p>
    <w:p>
      <w:pPr>
        <w:pStyle w:val="CaptionedFigure"/>
      </w:pPr>
      <w:r>
        <w:drawing>
          <wp:inline>
            <wp:extent cx="5334000" cy="3556000"/>
            <wp:effectExtent b="0" l="0" r="0" t="0"/>
            <wp:docPr descr="eFigure 2. Classification accuracy across 640 simulation conditions. Each cell shows the accuracy for one combination of true effect size (psi), systematic bias mean (mu_B), observation standard error of the target-effect estimate (sigma_ps), negative control count (K), and exchangeability violation level. Darker colors indicate higher accuracy." title="" id="32" name="Picture"/>
            <a:graphic>
              <a:graphicData uri="http://schemas.openxmlformats.org/drawingml/2006/picture">
                <pic:pic>
                  <pic:nvPicPr>
                    <pic:cNvPr descr="../../../output/figures/fig03_simulation_heatmap.png" id="33" name="Picture"/>
                    <pic:cNvPicPr>
                      <a:picLocks noChangeArrowheads="1" noChangeAspect="1"/>
                    </pic:cNvPicPr>
                  </pic:nvPicPr>
                  <pic:blipFill>
                    <a:blip r:embed="rId31"/>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eFigure 2. Classification accuracy across 640 simulation conditions. Each cell shows the accuracy for one combination of true effect size (psi), systematic bias mean (mu_B), observation standard error of the target-effect estimate (sigma_ps), negative control count (K), and exchangeability violation level. Darker colors indicate higher accuracy.</w:t>
      </w:r>
    </w:p>
    <w:bookmarkEnd w:id="34"/>
    <w:bookmarkStart w:id="38" w:name="X2e247149f5fd6faaad8920c01c810a8da1e37a1"/>
    <w:p>
      <w:pPr>
        <w:pStyle w:val="Heading1"/>
      </w:pPr>
      <w:r>
        <w:t xml:space="preserve">eFigure 3. Classification Performance by Zone</w:t>
      </w:r>
    </w:p>
    <w:p>
      <w:pPr>
        <w:pStyle w:val="CaptionedFigure"/>
      </w:pPr>
      <w:r>
        <w:drawing>
          <wp:inline>
            <wp:extent cx="5334000" cy="2400300"/>
            <wp:effectExtent b="0" l="0" r="0" t="0"/>
            <wp:docPr descr="eFigure 3. Classification performance by zone. Panel A: BF classification accuracy by zone with the 33% chance-level reference line. Panel B: OHDSI calibrated p-value rejection rate and uncalibrated rejection rate by zone, with the 5% nominal alpha reference line." title="" id="36" name="Picture"/>
            <a:graphic>
              <a:graphicData uri="http://schemas.openxmlformats.org/drawingml/2006/picture">
                <pic:pic>
                  <pic:nvPicPr>
                    <pic:cNvPr descr="../../../output/figures/fig04_classification_domain.png" id="37" name="Picture"/>
                    <pic:cNvPicPr>
                      <a:picLocks noChangeArrowheads="1" noChangeAspect="1"/>
                    </pic:cNvPicPr>
                  </pic:nvPicPr>
                  <pic:blipFill>
                    <a:blip r:embed="rId35"/>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eFigure 3. Classification performance by zone. Panel A: BF classification accuracy by zone with the 33% chance-level reference line. Panel B: OHDSI calibrated p-value rejection rate and uncalibrated rejection rate by zone, with the 5% nominal alpha reference line.</w:t>
      </w:r>
    </w:p>
    <w:bookmarkEnd w:id="38"/>
    <w:bookmarkStart w:id="42" w:name="Xd16c19242f648ad6d96e190523658cddd1af6e0"/>
    <w:p>
      <w:pPr>
        <w:pStyle w:val="Heading1"/>
      </w:pPr>
      <w:r>
        <w:t xml:space="preserve">eFigure 4. Leave-One-Out Sensitivity Analysis</w:t>
      </w:r>
    </w:p>
    <w:p>
      <w:pPr>
        <w:pStyle w:val="CaptionedFigure"/>
      </w:pPr>
      <w:r>
        <w:drawing>
          <wp:inline>
            <wp:extent cx="4800600" cy="3000375"/>
            <wp:effectExtent b="0" l="0" r="0" t="0"/>
            <wp:docPr descr="eFigure 4. Leave-one-out sensitivity analysis. Each point shows BF after excluding one negative control. The blue line indicates the full-data BF. All exclusions remained in the bias-dominated zone (BF &gt; 0.5)." title="" id="40" name="Picture"/>
            <a:graphic>
              <a:graphicData uri="http://schemas.openxmlformats.org/drawingml/2006/picture">
                <pic:pic>
                  <pic:nvPicPr>
                    <pic:cNvPr descr="../../../output/figures/fig05_loo_sensitivity.png" id="41" name="Picture"/>
                    <pic:cNvPicPr>
                      <a:picLocks noChangeArrowheads="1" noChangeAspect="1"/>
                    </pic:cNvPicPr>
                  </pic:nvPicPr>
                  <pic:blipFill>
                    <a:blip r:embed="rId3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eFigure 4. Leave-one-out sensitivity analysis. Each point shows BF after excluding one negative control. The blue line indicates the full-data BF. All exclusions remained in the bias-dominated zone (BF &gt; 0.5).</w:t>
      </w:r>
    </w:p>
    <w:bookmarkEnd w:id="42"/>
    <w:bookmarkStart w:id="46" w:name="efigure-5.-negative-control-diagnostics"/>
    <w:p>
      <w:pPr>
        <w:pStyle w:val="Heading1"/>
      </w:pPr>
      <w:r>
        <w:t xml:space="preserve">eFigure 5. Negative Control Diagnostics</w:t>
      </w:r>
    </w:p>
    <w:p>
      <w:pPr>
        <w:pStyle w:val="CaptionedFigure"/>
      </w:pPr>
      <w:r>
        <w:drawing>
          <wp:inline>
            <wp:extent cx="5334000" cy="2400300"/>
            <wp:effectExtent b="0" l="0" r="0" t="0"/>
            <wp:docPr descr="eFigure 5. Negative control diagnostics. Panel A: QQ plot of standardized residuals with simulated 95% confidence envelope. Panel B: lollipop chart of absolute standardized residuals by negative control outcome." title="" id="44" name="Picture"/>
            <a:graphic>
              <a:graphicData uri="http://schemas.openxmlformats.org/drawingml/2006/picture">
                <pic:pic>
                  <pic:nvPicPr>
                    <pic:cNvPr descr="../../../output/figures/fig06_qq_diagnostics.png" id="45" name="Picture"/>
                    <pic:cNvPicPr>
                      <a:picLocks noChangeArrowheads="1" noChangeAspect="1"/>
                    </pic:cNvPicPr>
                  </pic:nvPicPr>
                  <pic:blipFill>
                    <a:blip r:embed="rId43"/>
                    <a:stretch>
                      <a:fillRect/>
                    </a:stretch>
                  </pic:blipFill>
                  <pic:spPr bwMode="auto">
                    <a:xfrm>
                      <a:off x="0" y="0"/>
                      <a:ext cx="5334000" cy="2400300"/>
                    </a:xfrm>
                    <a:prstGeom prst="rect">
                      <a:avLst/>
                    </a:prstGeom>
                    <a:noFill/>
                    <a:ln w="9525">
                      <a:noFill/>
                      <a:headEnd/>
                      <a:tailEnd/>
                    </a:ln>
                  </pic:spPr>
                </pic:pic>
              </a:graphicData>
            </a:graphic>
          </wp:inline>
        </w:drawing>
      </w:r>
    </w:p>
    <w:p>
      <w:pPr>
        <w:pStyle w:val="ImageCaption"/>
      </w:pPr>
      <w:r>
        <w:t xml:space="preserve">eFigure 5. Negative control diagnostics. Panel A: QQ plot of standardized residuals with simulated 95% confidence envelope. Panel B: lollipop chart of absolute standardized residuals by negative control outcome.</w:t>
      </w:r>
    </w:p>
    <w:bookmarkEnd w:id="46"/>
    <w:bookmarkStart w:id="50" w:name="Xb316ab64651c3e99c4be96a03bff7c47b5f7cd9"/>
    <w:p>
      <w:pPr>
        <w:pStyle w:val="Heading1"/>
      </w:pPr>
      <w:r>
        <w:t xml:space="preserve">eFigure 6. Bootstrap Distributions (BF scale)</w:t>
      </w:r>
    </w:p>
    <w:p>
      <w:pPr>
        <w:pStyle w:val="CaptionedFigure"/>
      </w:pPr>
      <w:r>
        <w:drawing>
          <wp:inline>
            <wp:extent cx="5334000" cy="2370666"/>
            <wp:effectExtent b="0" l="0" r="0" t="0"/>
            <wp:docPr descr="eFigure 6. Bootstrap distributions of BF for beta-blocker (left) and GDMT (right). Solid lines indicate point estimates (bootstrap medians); dashed lines indicate 95% bootstrap CI bounds. Dotted lines mark the zone boundaries at 1/3 and 0.5." title="" id="48" name="Picture"/>
            <a:graphic>
              <a:graphicData uri="http://schemas.openxmlformats.org/drawingml/2006/picture">
                <pic:pic>
                  <pic:nvPicPr>
                    <pic:cNvPr descr="../../../output/figures/fig07_bootstrap_BF.png" id="49" name="Picture"/>
                    <pic:cNvPicPr>
                      <a:picLocks noChangeArrowheads="1" noChangeAspect="1"/>
                    </pic:cNvPicPr>
                  </pic:nvPicPr>
                  <pic:blipFill>
                    <a:blip r:embed="rId47"/>
                    <a:stretch>
                      <a:fillRect/>
                    </a:stretch>
                  </pic:blipFill>
                  <pic:spPr bwMode="auto">
                    <a:xfrm>
                      <a:off x="0" y="0"/>
                      <a:ext cx="5334000" cy="2370666"/>
                    </a:xfrm>
                    <a:prstGeom prst="rect">
                      <a:avLst/>
                    </a:prstGeom>
                    <a:noFill/>
                    <a:ln w="9525">
                      <a:noFill/>
                      <a:headEnd/>
                      <a:tailEnd/>
                    </a:ln>
                  </pic:spPr>
                </pic:pic>
              </a:graphicData>
            </a:graphic>
          </wp:inline>
        </w:drawing>
      </w:r>
    </w:p>
    <w:p>
      <w:pPr>
        <w:pStyle w:val="ImageCaption"/>
      </w:pPr>
      <w:r>
        <w:t xml:space="preserve">eFigure 6. Bootstrap distributions of BF for beta-blocker (left) and GDMT (right). Solid lines indicate point estimates (bootstrap medians); dashed lines indicate 95% bootstrap CI bounds. Dotted lines mark the zone boundaries at 1/3 and 0.5.</w:t>
      </w:r>
    </w:p>
    <w:bookmarkEnd w:id="50"/>
    <w:bookmarkStart w:id="51" w:name="X861e5ae1a641aa2fead05b88c1992522f439680"/>
    <w:p>
      <w:pPr>
        <w:pStyle w:val="Heading1"/>
      </w:pPr>
      <w:r>
        <w:t xml:space="preserve">eAppendix 6. Small-sample sensitivity of the empirical null</w:t>
      </w:r>
    </w:p>
    <w:p>
      <w:pPr>
        <w:pStyle w:val="FirstParagraph"/>
      </w:pPr>
      <w:r>
        <w:t xml:space="preserve">The empirical null was estimated from</w:t>
      </w:r>
      <w:r>
        <w:t xml:space="preserve"> </w:t>
      </w:r>
      <m:oMath>
        <m:r>
          <m:t>K</m:t>
        </m:r>
        <m:r>
          <m:rPr>
            <m:sty m:val="p"/>
          </m:rPr>
          <m:t>=</m:t>
        </m:r>
        <m:r>
          <m:t>12</m:t>
        </m:r>
      </m:oMath>
      <w:r>
        <w:t xml:space="preserve"> </w:t>
      </w:r>
      <w:r>
        <w:t xml:space="preserve">negative controls. We evaluated how the small sample affects Type I error of the plug-in calibrated p value and how the case-study conclusions hold up under a small-sample t-predictive reference distribution. We used a parametric simulation matching the empirical null model of</w:t>
      </w:r>
      <w:r>
        <w:t xml:space="preserve"> </w:t>
      </w:r>
      <w:r>
        <w:rPr>
          <w:rStyle w:val="VerbatimChar"/>
        </w:rPr>
        <w:t xml:space="preserve">fitNull</w:t>
      </w:r>
      <w:r>
        <w:t xml:space="preserve"> </w:t>
      </w:r>
      <w:r>
        <w:t xml:space="preserve">(EmpiricalCalibration 3.1.4), in which each control estimate satisfies</w:t>
      </w:r>
      <w:r>
        <w:t xml:space="preserve"> </w:t>
      </w:r>
      <m:oMath>
        <m:sSub>
          <m:e>
            <m:acc>
              <m:accPr>
                <m:chr m:val="̂"/>
              </m:accPr>
              <m:e>
                <m:r>
                  <m:t>γ</m:t>
                </m:r>
              </m:e>
            </m:acc>
          </m:e>
          <m:sub>
            <m:r>
              <m:t>k</m:t>
            </m:r>
          </m:sub>
        </m:sSub>
        <m:r>
          <m:rPr>
            <m:sty m:val="p"/>
          </m:rPr>
          <m:t>∼</m:t>
        </m:r>
        <m:r>
          <m:t>N</m:t>
        </m:r>
        <m:r>
          <m:rPr>
            <m:sty m:val="p"/>
          </m:rPr>
          <m:t>(</m:t>
        </m:r>
        <m:sSub>
          <m:e>
            <m:r>
              <m:t>μ</m:t>
            </m:r>
          </m:e>
          <m:sub>
            <m:r>
              <m:t>B</m:t>
            </m:r>
          </m:sub>
        </m:sSub>
        <m:r>
          <m:rPr>
            <m:sty m:val="p"/>
          </m:rPr>
          <m:t>,</m:t>
        </m:r>
        <m:sSubSup>
          <m:e>
            <m:acc>
              <m:accPr>
                <m:chr m:val="̂"/>
              </m:accPr>
              <m:e>
                <m:r>
                  <m:t>τ</m:t>
                </m:r>
              </m:e>
            </m:acc>
          </m:e>
          <m:sub>
            <m:r>
              <m:t>k</m:t>
            </m:r>
          </m:sub>
          <m:sup>
            <m:r>
              <m:t>2</m:t>
            </m:r>
          </m:sup>
        </m:sSubSup>
        <m:r>
          <m:rPr>
            <m:sty m:val="p"/>
          </m:rPr>
          <m:t>+</m:t>
        </m:r>
        <m:sSubSup>
          <m:e>
            <m:r>
              <m:t>σ</m:t>
            </m:r>
          </m:e>
          <m:sub>
            <m:r>
              <m:t>B</m:t>
            </m:r>
          </m:sub>
          <m:sup>
            <m:r>
              <m:t>2</m:t>
            </m:r>
          </m:sup>
        </m:sSubSup>
        <m:r>
          <m:rPr>
            <m:sty m:val="p"/>
          </m:rPr>
          <m:t>)</m:t>
        </m:r>
      </m:oMath>
      <w:r>
        <w:t xml:space="preserve"> </w:t>
      </w:r>
      <w:r>
        <w:t xml:space="preserve">with parameters estimated by maximum likelihood; true parameters were fixed at the empirical estimates from the beta-blocker analysis (</w:t>
      </w:r>
      <m:oMath>
        <m:sSub>
          <m:e>
            <m:r>
              <m:t>μ</m:t>
            </m:r>
          </m:e>
          <m:sub>
            <m:r>
              <m:t>B</m:t>
            </m:r>
          </m:sub>
        </m:sSub>
        <m:r>
          <m:rPr>
            <m:sty m:val="p"/>
          </m:rPr>
          <m:t>=</m:t>
        </m:r>
        <m:r>
          <m:rPr>
            <m:sty m:val="p"/>
          </m:rPr>
          <m:t>−</m:t>
        </m:r>
        <m:r>
          <m:t>0.190</m:t>
        </m:r>
      </m:oMath>
      <w:r>
        <w:t xml:space="preserve">,</w:t>
      </w:r>
      <w:r>
        <w:t xml:space="preserve"> </w:t>
      </w:r>
      <m:oMath>
        <m:sSub>
          <m:e>
            <m:r>
              <m:t>σ</m:t>
            </m:r>
          </m:e>
          <m:sub>
            <m:r>
              <m:t>B</m:t>
            </m:r>
          </m:sub>
        </m:sSub>
        <m:r>
          <m:rPr>
            <m:sty m:val="p"/>
          </m:rPr>
          <m:t>=</m:t>
        </m:r>
        <m:r>
          <m:t>0.068</m:t>
        </m:r>
      </m:oMath>
      <w:r>
        <w:t xml:space="preserve">), and the within-control SEs were drawn from the empirical distribution of the 12 actual control SEs (range, 0.025 to 0.302). For each</w:t>
      </w:r>
      <w:r>
        <w:t xml:space="preserve"> </w:t>
      </w:r>
      <m:oMath>
        <m:r>
          <m:t>K</m:t>
        </m:r>
      </m:oMath>
      <w:r>
        <w:t xml:space="preserve"> </w:t>
      </w:r>
      <w:r>
        <w:t xml:space="preserve">we generated 2000 replicate panels and target estimates under the calibration null, then computed the plug-in p value, a variance-inflated p value, and a t(</w:t>
      </w:r>
      <m:oMath>
        <m:r>
          <m:t>K</m:t>
        </m:r>
        <m:r>
          <m:rPr>
            <m:sty m:val="p"/>
          </m:rPr>
          <m:t>−</m:t>
        </m:r>
        <m:r>
          <m:t>2</m:t>
        </m:r>
      </m:oMath>
      <w:r>
        <w:t xml:space="preserve">) predictive p value</w:t>
      </w:r>
      <w:r>
        <w:rPr>
          <w:vertAlign w:val="superscript"/>
        </w:rPr>
        <w:t xml:space="preserve">5</w:t>
      </w:r>
      <w:r>
        <w:t xml:space="preserve">. The Type I error rates at</w:t>
      </w:r>
      <w:r>
        <w:t xml:space="preserve"> </w:t>
      </w:r>
      <m:oMath>
        <m:r>
          <m:t>α</m:t>
        </m:r>
        <m:r>
          <m:rPr>
            <m:sty m:val="p"/>
          </m:rPr>
          <m:t>=</m:t>
        </m:r>
        <m:r>
          <m:t>0.05</m:t>
        </m:r>
      </m:oMath>
      <w:r>
        <w:t xml:space="preserve"> </w:t>
      </w:r>
      <w:r>
        <w:t xml:space="preserve">were: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w:t>
            </w:r>
          </w:p>
        </w:tc>
        <w:tc>
          <w:tcPr/>
          <w:p>
            <w:pPr>
              <w:pStyle w:val="Compact"/>
            </w:pPr>
            <w:r>
              <w:t xml:space="preserve">Plug-in</w:t>
            </w:r>
          </w:p>
        </w:tc>
        <w:tc>
          <w:tcPr/>
          <w:p>
            <w:pPr>
              <w:pStyle w:val="Compact"/>
            </w:pPr>
            <w:r>
              <w:t xml:space="preserve">Variance-inflated</w:t>
            </w:r>
          </w:p>
        </w:tc>
        <w:tc>
          <w:tcPr/>
          <w:p>
            <w:pPr>
              <w:pStyle w:val="Compact"/>
            </w:pPr>
            <w:r>
              <w:t xml:space="preserve">t(K−2)</w:t>
            </w:r>
          </w:p>
        </w:tc>
        <w:tc>
          <w:tcPr/>
          <w:p>
            <w:pPr>
              <w:pStyle w:val="Compact"/>
            </w:pPr>
            <w:r>
              <w:t xml:space="preserve">Oracle</w:t>
            </w:r>
          </w:p>
        </w:tc>
      </w:tr>
      <w:tr>
        <w:tc>
          <w:tcPr/>
          <w:p>
            <w:pPr>
              <w:pStyle w:val="Compact"/>
            </w:pPr>
            <w:r>
              <w:t xml:space="preserve">5</w:t>
            </w:r>
          </w:p>
        </w:tc>
        <w:tc>
          <w:tcPr/>
          <w:p>
            <w:pPr>
              <w:pStyle w:val="Compact"/>
            </w:pPr>
            <w:r>
              <w:t xml:space="preserve">17.4%</w:t>
            </w:r>
          </w:p>
        </w:tc>
        <w:tc>
          <w:tcPr/>
          <w:p>
            <w:pPr>
              <w:pStyle w:val="Compact"/>
            </w:pPr>
            <w:r>
              <w:t xml:space="preserve">14.0%</w:t>
            </w:r>
          </w:p>
        </w:tc>
        <w:tc>
          <w:tcPr/>
          <w:p>
            <w:pPr>
              <w:pStyle w:val="Compact"/>
            </w:pPr>
            <w:r>
              <w:t xml:space="preserve">2.3%</w:t>
            </w:r>
          </w:p>
        </w:tc>
        <w:tc>
          <w:tcPr/>
          <w:p>
            <w:pPr>
              <w:pStyle w:val="Compact"/>
            </w:pPr>
            <w:r>
              <w:t xml:space="preserve">4.3%</w:t>
            </w:r>
          </w:p>
        </w:tc>
      </w:tr>
      <w:tr>
        <w:tc>
          <w:tcPr/>
          <w:p>
            <w:pPr>
              <w:pStyle w:val="Compact"/>
            </w:pPr>
            <w:r>
              <w:t xml:space="preserve">8</w:t>
            </w:r>
          </w:p>
        </w:tc>
        <w:tc>
          <w:tcPr/>
          <w:p>
            <w:pPr>
              <w:pStyle w:val="Compact"/>
            </w:pPr>
            <w:r>
              <w:t xml:space="preserve">14.6%</w:t>
            </w:r>
          </w:p>
        </w:tc>
        <w:tc>
          <w:tcPr/>
          <w:p>
            <w:pPr>
              <w:pStyle w:val="Compact"/>
            </w:pPr>
            <w:r>
              <w:t xml:space="preserve">12.2%</w:t>
            </w:r>
          </w:p>
        </w:tc>
        <w:tc>
          <w:tcPr/>
          <w:p>
            <w:pPr>
              <w:pStyle w:val="Compact"/>
            </w:pPr>
            <w:r>
              <w:t xml:space="preserve">6.3%</w:t>
            </w:r>
          </w:p>
        </w:tc>
        <w:tc>
          <w:tcPr/>
          <w:p>
            <w:pPr>
              <w:pStyle w:val="Compact"/>
            </w:pPr>
            <w:r>
              <w:t xml:space="preserve">5.1%</w:t>
            </w:r>
          </w:p>
        </w:tc>
      </w:tr>
      <w:tr>
        <w:tc>
          <w:tcPr/>
          <w:p>
            <w:pPr>
              <w:pStyle w:val="Compact"/>
            </w:pPr>
            <w:r>
              <w:t xml:space="preserve">12</w:t>
            </w:r>
          </w:p>
        </w:tc>
        <w:tc>
          <w:tcPr/>
          <w:p>
            <w:pPr>
              <w:pStyle w:val="Compact"/>
            </w:pPr>
            <w:r>
              <w:t xml:space="preserve">11.4%</w:t>
            </w:r>
          </w:p>
        </w:tc>
        <w:tc>
          <w:tcPr/>
          <w:p>
            <w:pPr>
              <w:pStyle w:val="Compact"/>
            </w:pPr>
            <w:r>
              <w:t xml:space="preserve">9.9%</w:t>
            </w:r>
          </w:p>
        </w:tc>
        <w:tc>
          <w:tcPr/>
          <w:p>
            <w:pPr>
              <w:pStyle w:val="Compact"/>
            </w:pPr>
            <w:r>
              <w:t xml:space="preserve">6.6%</w:t>
            </w:r>
          </w:p>
        </w:tc>
        <w:tc>
          <w:tcPr/>
          <w:p>
            <w:pPr>
              <w:pStyle w:val="Compact"/>
            </w:pPr>
            <w:r>
              <w:t xml:space="preserve">4.9%</w:t>
            </w:r>
          </w:p>
        </w:tc>
      </w:tr>
      <w:tr>
        <w:tc>
          <w:tcPr/>
          <w:p>
            <w:pPr>
              <w:pStyle w:val="Compact"/>
            </w:pPr>
            <w:r>
              <w:t xml:space="preserve">20</w:t>
            </w:r>
          </w:p>
        </w:tc>
        <w:tc>
          <w:tcPr/>
          <w:p>
            <w:pPr>
              <w:pStyle w:val="Compact"/>
            </w:pPr>
            <w:r>
              <w:t xml:space="preserve">10.0%</w:t>
            </w:r>
          </w:p>
        </w:tc>
        <w:tc>
          <w:tcPr/>
          <w:p>
            <w:pPr>
              <w:pStyle w:val="Compact"/>
            </w:pPr>
            <w:r>
              <w:t xml:space="preserve">9.0%</w:t>
            </w:r>
          </w:p>
        </w:tc>
        <w:tc>
          <w:tcPr/>
          <w:p>
            <w:pPr>
              <w:pStyle w:val="Compact"/>
            </w:pPr>
            <w:r>
              <w:t xml:space="preserve">6.8%</w:t>
            </w:r>
          </w:p>
        </w:tc>
        <w:tc>
          <w:tcPr/>
          <w:p>
            <w:pPr>
              <w:pStyle w:val="Compact"/>
            </w:pPr>
            <w:r>
              <w:t xml:space="preserve">5.9%</w:t>
            </w:r>
          </w:p>
        </w:tc>
      </w:tr>
      <w:tr>
        <w:tc>
          <w:tcPr/>
          <w:p>
            <w:pPr>
              <w:pStyle w:val="Compact"/>
            </w:pPr>
            <w:r>
              <w:t xml:space="preserve">45</w:t>
            </w:r>
          </w:p>
        </w:tc>
        <w:tc>
          <w:tcPr/>
          <w:p>
            <w:pPr>
              <w:pStyle w:val="Compact"/>
            </w:pPr>
            <w:r>
              <w:t xml:space="preserve">6.8%</w:t>
            </w:r>
          </w:p>
        </w:tc>
        <w:tc>
          <w:tcPr/>
          <w:p>
            <w:pPr>
              <w:pStyle w:val="Compact"/>
            </w:pPr>
            <w:r>
              <w:t xml:space="preserve">6.4%</w:t>
            </w:r>
          </w:p>
        </w:tc>
        <w:tc>
          <w:tcPr/>
          <w:p>
            <w:pPr>
              <w:pStyle w:val="Compact"/>
            </w:pPr>
            <w:r>
              <w:t xml:space="preserve">5.6%</w:t>
            </w:r>
          </w:p>
        </w:tc>
        <w:tc>
          <w:tcPr/>
          <w:p>
            <w:pPr>
              <w:pStyle w:val="Compact"/>
            </w:pPr>
            <w:r>
              <w:t xml:space="preserve">4.8%</w:t>
            </w:r>
          </w:p>
        </w:tc>
      </w:tr>
      <w:tr>
        <w:tc>
          <w:tcPr/>
          <w:p>
            <w:pPr>
              <w:pStyle w:val="Compact"/>
            </w:pPr>
            <w:r>
              <w:t xml:space="preserve">100</w:t>
            </w:r>
          </w:p>
        </w:tc>
        <w:tc>
          <w:tcPr/>
          <w:p>
            <w:pPr>
              <w:pStyle w:val="Compact"/>
            </w:pPr>
            <w:r>
              <w:t xml:space="preserve">5.4%</w:t>
            </w:r>
          </w:p>
        </w:tc>
        <w:tc>
          <w:tcPr/>
          <w:p>
            <w:pPr>
              <w:pStyle w:val="Compact"/>
            </w:pPr>
            <w:r>
              <w:t xml:space="preserve">5.4%</w:t>
            </w:r>
          </w:p>
        </w:tc>
        <w:tc>
          <w:tcPr/>
          <w:p>
            <w:pPr>
              <w:pStyle w:val="Compact"/>
            </w:pPr>
            <w:r>
              <w:t xml:space="preserve">5.2%</w:t>
            </w:r>
          </w:p>
        </w:tc>
        <w:tc>
          <w:tcPr/>
          <w:p>
            <w:pPr>
              <w:pStyle w:val="Compact"/>
            </w:pPr>
            <w:r>
              <w:t xml:space="preserve">5.1%</w:t>
            </w:r>
          </w:p>
        </w:tc>
      </w:tr>
    </w:tbl>
    <w:p>
      <w:pPr>
        <w:pStyle w:val="BodyText"/>
      </w:pPr>
      <w:r>
        <w:t xml:space="preserve">The plug-in p value is materially anti-conservative at</w:t>
      </w:r>
      <w:r>
        <w:t xml:space="preserve"> </w:t>
      </w:r>
      <m:oMath>
        <m:r>
          <m:t>K</m:t>
        </m:r>
        <m:r>
          <m:rPr>
            <m:sty m:val="p"/>
          </m:rPr>
          <m:t>=</m:t>
        </m:r>
        <m:r>
          <m:t>12</m:t>
        </m:r>
      </m:oMath>
      <w:r>
        <w:t xml:space="preserve"> </w:t>
      </w:r>
      <w:r>
        <w:t xml:space="preserve">(11.4% Type I error, more than twice the nominal 5%) and only reaches the nominal rate near</w:t>
      </w:r>
      <w:r>
        <w:t xml:space="preserve"> </w:t>
      </w:r>
      <m:oMath>
        <m:r>
          <m:t>K</m:t>
        </m:r>
        <m:r>
          <m:rPr>
            <m:sty m:val="p"/>
          </m:rPr>
          <m:t>=</m:t>
        </m:r>
        <m:r>
          <m:t>100</m:t>
        </m:r>
      </m:oMath>
      <w:r>
        <w:t xml:space="preserve">. The t(</w:t>
      </w:r>
      <m:oMath>
        <m:r>
          <m:t>K</m:t>
        </m:r>
        <m:r>
          <m:rPr>
            <m:sty m:val="p"/>
          </m:rPr>
          <m:t>−</m:t>
        </m:r>
        <m:r>
          <m:t>2</m:t>
        </m:r>
      </m:oMath>
      <w:r>
        <w:t xml:space="preserve">) predictive reference, which inflates the plug-in variance by</w:t>
      </w:r>
      <w:r>
        <w:t xml:space="preserve"> </w:t>
      </w:r>
      <m:oMath>
        <m:acc>
          <m:accPr>
            <m:chr m:val="̂"/>
          </m:accPr>
          <m:e>
            <m:r>
              <m:rPr>
                <m:sty m:val="p"/>
              </m:rPr>
              <m:t>V</m:t>
            </m:r>
            <m:r>
              <m:rPr>
                <m:sty m:val="p"/>
              </m:rPr>
              <m:t>a</m:t>
            </m:r>
            <m:r>
              <m:rPr>
                <m:sty m:val="p"/>
              </m:rPr>
              <m:t>r</m:t>
            </m:r>
          </m:e>
        </m:acc>
        <m:r>
          <m:rPr>
            <m:sty m:val="p"/>
          </m:rPr>
          <m:t>(</m:t>
        </m:r>
        <m:sSub>
          <m:e>
            <m:acc>
              <m:accPr>
                <m:chr m:val="̂"/>
              </m:accPr>
              <m:e>
                <m:r>
                  <m:t>μ</m:t>
                </m:r>
              </m:e>
            </m:acc>
          </m:e>
          <m:sub>
            <m:r>
              <m:t>B</m:t>
            </m:r>
          </m:sub>
        </m:sSub>
        <m:r>
          <m:rPr>
            <m:sty m:val="p"/>
          </m:rPr>
          <m:t>)</m:t>
        </m:r>
        <m:r>
          <m:rPr>
            <m:sty m:val="p"/>
          </m:rPr>
          <m:t>=</m:t>
        </m:r>
        <m:r>
          <m:rPr>
            <m:sty m:val="p"/>
          </m:rPr>
          <m:t>[</m:t>
        </m:r>
        <m:nary>
          <m:naryPr>
            <m:chr m:val="∑"/>
            <m:limLoc m:val="undOvr"/>
            <m:subHide m:val="off"/>
            <m:supHide m:val="on"/>
          </m:naryPr>
          <m:sub>
            <m:r>
              <m:t>k</m:t>
            </m:r>
          </m:sub>
          <m:sup>
            <m:r>
              <m:t>​</m:t>
            </m:r>
          </m:sup>
          <m:e>
            <m:r>
              <m:rPr>
                <m:sty m:val="p"/>
              </m:rPr>
              <m:t>(</m:t>
            </m:r>
          </m:e>
        </m:nary>
        <m:sSubSup>
          <m:e>
            <m:acc>
              <m:accPr>
                <m:chr m:val="̂"/>
              </m:accPr>
              <m:e>
                <m:r>
                  <m:t>τ</m:t>
                </m:r>
              </m:e>
            </m:acc>
          </m:e>
          <m:sub>
            <m:r>
              <m:t>k</m:t>
            </m:r>
          </m:sub>
          <m:sup>
            <m:r>
              <m:t>2</m:t>
            </m:r>
          </m:sup>
        </m:sSubSup>
        <m:r>
          <m:rPr>
            <m:sty m:val="p"/>
          </m:rPr>
          <m:t>+</m:t>
        </m:r>
        <m:sSubSup>
          <m:e>
            <m:acc>
              <m:accPr>
                <m:chr m:val="̂"/>
              </m:accPr>
              <m:e>
                <m:r>
                  <m:t>σ</m:t>
                </m:r>
              </m:e>
            </m:acc>
          </m:e>
          <m:sub>
            <m:r>
              <m:t>B</m:t>
            </m:r>
          </m:sub>
          <m:sup>
            <m:r>
              <m:t>2</m:t>
            </m:r>
          </m:sup>
        </m:sSubSup>
        <m:sSup>
          <m:e>
            <m:r>
              <m:rPr>
                <m:sty m:val="p"/>
              </m:rPr>
              <m:t>)</m:t>
            </m:r>
          </m:e>
          <m:sup>
            <m:r>
              <m:rPr>
                <m:sty m:val="p"/>
              </m:rPr>
              <m:t>−</m:t>
            </m:r>
            <m:r>
              <m:t>1</m:t>
            </m:r>
          </m:sup>
        </m:sSup>
        <m:sSup>
          <m:e>
            <m:r>
              <m:rPr>
                <m:sty m:val="p"/>
              </m:rPr>
              <m:t>]</m:t>
            </m:r>
          </m:e>
          <m:sup>
            <m:r>
              <m:rPr>
                <m:sty m:val="p"/>
              </m:rPr>
              <m:t>−</m:t>
            </m:r>
            <m:r>
              <m:t>1</m:t>
            </m:r>
          </m:sup>
        </m:sSup>
      </m:oMath>
      <w:r>
        <w:t xml:space="preserve"> </w:t>
      </w:r>
      <w:r>
        <w:t xml:space="preserve">and uses t tails with</w:t>
      </w:r>
      <w:r>
        <w:t xml:space="preserve"> </w:t>
      </w:r>
      <m:oMath>
        <m:r>
          <m:t>K</m:t>
        </m:r>
        <m:r>
          <m:rPr>
            <m:sty m:val="p"/>
          </m:rPr>
          <m:t>−</m:t>
        </m:r>
        <m:r>
          <m:t>2</m:t>
        </m:r>
      </m:oMath>
      <w:r>
        <w:t xml:space="preserve"> </w:t>
      </w:r>
      <w:r>
        <w:t xml:space="preserve">degrees of freedom, brings the rate to 6.6% at</w:t>
      </w:r>
      <w:r>
        <w:t xml:space="preserve"> </w:t>
      </w:r>
      <m:oMath>
        <m:r>
          <m:t>K</m:t>
        </m:r>
        <m:r>
          <m:rPr>
            <m:sty m:val="p"/>
          </m:rPr>
          <m:t>=</m:t>
        </m:r>
        <m:r>
          <m:t>12</m:t>
        </m:r>
      </m:oMath>
      <w:r>
        <w:t xml:space="preserve"> </w:t>
      </w:r>
      <w:r>
        <w:t xml:space="preserve">without substantial over correction at</w:t>
      </w:r>
      <w:r>
        <w:t xml:space="preserve"> </w:t>
      </w:r>
      <m:oMath>
        <m:r>
          <m:t>K</m:t>
        </m:r>
        <m:r>
          <m:rPr>
            <m:sty m:val="p"/>
          </m:rPr>
          <m:t>≥</m:t>
        </m:r>
        <m:r>
          <m:t>8</m:t>
        </m:r>
      </m:oMath>
      <w:r>
        <w:t xml:space="preserve">. The dominant source of anti-conservatism is the downward bias and boundary behaviour of</w:t>
      </w:r>
      <w:r>
        <w:t xml:space="preserve"> </w:t>
      </w:r>
      <m:oMath>
        <m:sSub>
          <m:e>
            <m:acc>
              <m:accPr>
                <m:chr m:val="̂"/>
              </m:accPr>
              <m:e>
                <m:r>
                  <m:t>σ</m:t>
                </m:r>
              </m:e>
            </m:acc>
          </m:e>
          <m:sub>
            <m:r>
              <m:t>B</m:t>
            </m:r>
          </m:sub>
        </m:sSub>
      </m:oMath>
      <w:r>
        <w:t xml:space="preserve">: at</w:t>
      </w:r>
      <w:r>
        <w:t xml:space="preserve"> </w:t>
      </w:r>
      <m:oMath>
        <m:r>
          <m:t>K</m:t>
        </m:r>
        <m:r>
          <m:rPr>
            <m:sty m:val="p"/>
          </m:rPr>
          <m:t>=</m:t>
        </m:r>
        <m:r>
          <m:t>12</m:t>
        </m:r>
      </m:oMath>
      <w:r>
        <w:t xml:space="preserve"> </w:t>
      </w:r>
      <w:r>
        <w:t xml:space="preserve">the median estimate was 0.055 versus true 0.068, 24% of replicates underestimated</w:t>
      </w:r>
      <w:r>
        <w:t xml:space="preserve"> </w:t>
      </w:r>
      <m:oMath>
        <m:sSub>
          <m:e>
            <m:r>
              <m:t>σ</m:t>
            </m:r>
          </m:e>
          <m:sub>
            <m:r>
              <m:t>B</m:t>
            </m:r>
          </m:sub>
        </m:sSub>
      </m:oMath>
      <w:r>
        <w:t xml:space="preserve"> </w:t>
      </w:r>
      <w:r>
        <w:t xml:space="preserve">by more than half, and 8.6% collapsed to the</w:t>
      </w:r>
      <w:r>
        <w:t xml:space="preserve"> </w:t>
      </w:r>
      <m:oMath>
        <m:sSub>
          <m:e>
            <m:acc>
              <m:accPr>
                <m:chr m:val="̂"/>
              </m:accPr>
              <m:e>
                <m:r>
                  <m:t>σ</m:t>
                </m:r>
              </m:e>
            </m:acc>
          </m:e>
          <m:sub>
            <m:r>
              <m:t>B</m:t>
            </m:r>
          </m:sub>
        </m:sSub>
        <m:r>
          <m:rPr>
            <m:sty m:val="p"/>
          </m:rPr>
          <m:t>=</m:t>
        </m:r>
        <m:r>
          <m:t>0</m:t>
        </m:r>
      </m:oMath>
      <w:r>
        <w:t xml:space="preserve"> </w:t>
      </w:r>
      <w:r>
        <w:t xml:space="preserve">boundary.</w:t>
      </w:r>
    </w:p>
    <w:p>
      <w:pPr>
        <w:pStyle w:val="BodyText"/>
      </w:pPr>
      <w:r>
        <w:t xml:space="preserve">We also recomputed the case-study calibrated p values under the t(</w:t>
      </w:r>
      <m:oMath>
        <m:r>
          <m:t>K</m:t>
        </m:r>
        <m:r>
          <m:rPr>
            <m:sty m:val="p"/>
          </m:rPr>
          <m:t>−</m:t>
        </m:r>
        <m:r>
          <m:t>2</m:t>
        </m:r>
      </m:oMath>
      <w:r>
        <w:t xml:space="preserve">) reference and ran a 2000-replicate resampling bootstrap of the 12 controls: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Analysis</w:t>
            </w:r>
          </w:p>
        </w:tc>
        <w:tc>
          <w:tcPr/>
          <w:p>
            <w:pPr>
              <w:pStyle w:val="Compact"/>
            </w:pPr>
            <w:r>
              <w:t xml:space="preserve">Plug-in p</w:t>
            </w:r>
          </w:p>
        </w:tc>
        <w:tc>
          <w:tcPr/>
          <w:p>
            <w:pPr>
              <w:pStyle w:val="Compact"/>
            </w:pPr>
            <w:r>
              <w:t xml:space="preserve">t(K−2) p</w:t>
            </w:r>
          </w:p>
        </w:tc>
        <w:tc>
          <w:tcPr/>
          <w:p>
            <w:pPr>
              <w:pStyle w:val="Compact"/>
            </w:pPr>
            <w:r>
              <w:t xml:space="preserve">Bootstrap p (median, 95% PI)</w:t>
            </w:r>
          </w:p>
        </w:tc>
        <w:tc>
          <w:tcPr/>
          <w:p>
            <w:pPr>
              <w:pStyle w:val="Compact"/>
            </w:pPr>
            <w:r>
              <w:t xml:space="preserve">P(p &lt; 0.05) across resamples</w:t>
            </w:r>
          </w:p>
        </w:tc>
      </w:tr>
      <w:tr>
        <w:tc>
          <w:tcPr/>
          <w:p>
            <w:pPr>
              <w:pStyle w:val="Compact"/>
            </w:pPr>
            <w:r>
              <w:t xml:space="preserve">Beta-blocker</w:t>
            </w:r>
          </w:p>
        </w:tc>
        <w:tc>
          <w:tcPr/>
          <w:p>
            <w:pPr>
              <w:pStyle w:val="Compact"/>
            </w:pPr>
            <w:r>
              <w:t xml:space="preserve">0.943</w:t>
            </w:r>
          </w:p>
        </w:tc>
        <w:tc>
          <w:tcPr/>
          <w:p>
            <w:pPr>
              <w:pStyle w:val="Compact"/>
            </w:pPr>
            <w:r>
              <w:t xml:space="preserve">0.947</w:t>
            </w:r>
          </w:p>
        </w:tc>
        <w:tc>
          <w:tcPr/>
          <w:p>
            <w:pPr>
              <w:pStyle w:val="Compact"/>
            </w:pPr>
            <w:r>
              <w:t xml:space="preserve">0.80 (0.444 to 0.989)</w:t>
            </w:r>
          </w:p>
        </w:tc>
        <w:tc>
          <w:tcPr/>
          <w:p>
            <w:pPr>
              <w:pStyle w:val="Compact"/>
            </w:pPr>
            <w:r>
              <w:t xml:space="preserve">0%</w:t>
            </w:r>
          </w:p>
        </w:tc>
      </w:tr>
      <w:tr>
        <w:tc>
          <w:tcPr/>
          <w:p>
            <w:pPr>
              <w:pStyle w:val="Compact"/>
            </w:pPr>
            <w:r>
              <w:t xml:space="preserve">GDMT</w:t>
            </w:r>
          </w:p>
        </w:tc>
        <w:tc>
          <w:tcPr/>
          <w:p>
            <w:pPr>
              <w:pStyle w:val="Compact"/>
            </w:pPr>
            <w:r>
              <w:t xml:space="preserve">0.0067</w:t>
            </w:r>
          </w:p>
        </w:tc>
        <w:tc>
          <w:tcPr/>
          <w:p>
            <w:pPr>
              <w:pStyle w:val="Compact"/>
            </w:pPr>
            <w:r>
              <w:t xml:space="preserve">0.027</w:t>
            </w:r>
          </w:p>
        </w:tc>
        <w:tc>
          <w:tcPr/>
          <w:p>
            <w:pPr>
              <w:pStyle w:val="Compact"/>
            </w:pPr>
            <w:r>
              <w:t xml:space="preserve">0.003 (0.000 to 0.065)</w:t>
            </w:r>
          </w:p>
        </w:tc>
        <w:tc>
          <w:tcPr/>
          <w:p>
            <w:pPr>
              <w:pStyle w:val="Compact"/>
            </w:pPr>
            <w:r>
              <w:t xml:space="preserve">95.9%</w:t>
            </w:r>
          </w:p>
        </w:tc>
      </w:tr>
    </w:tbl>
    <w:p>
      <w:pPr>
        <w:pStyle w:val="BodyText"/>
      </w:pPr>
      <w:r>
        <w:t xml:space="preserve">The beta-blocker conclusion is invariant to the choice of inference because the observation sits at the centre of the empirical null, where heavier tails add little. The GDMT conclusion survives the t correction in direction but is materially weaker (0.0067 to 0.027, approaching the 0.05 threshold); the bootstrap analysis confirms that the GDMT plug-in p value is below 0.05 in 95.9% of resamples with the upper end of the 95% PI just crossing the threshold, while the beta-blocker p value is below 0.05 in 0% of resamples. We therefore retain the plug-in p value as the primary statistic for consistency with the OHDSI convention and report the t-predictive value as a sensitivity, and recommend the same practice for studies using fewer than 20 negative controls.</w:t>
      </w:r>
    </w:p>
    <w:bookmarkEnd w:id="51"/>
    <w:bookmarkStart w:id="52" w:name="X02d86ec9255d6c382787e988a7aa3cc20d06d2c"/>
    <w:p>
      <w:pPr>
        <w:pStyle w:val="Heading1"/>
      </w:pPr>
      <w:r>
        <w:t xml:space="preserve">eAppendix 4. RECORD-PE Reporting Checklist</w:t>
      </w:r>
    </w:p>
    <w:p>
      <w:pPr>
        <w:pStyle w:val="FirstParagraph"/>
      </w:pPr>
      <w:r>
        <w:t xml:space="preserve">The study is reported following the RECORD-PE (REporting of studies Conducted using Observational Routinely-collected health Data for Pharmacoepidemiology) guidelines</w:t>
      </w:r>
      <w:r>
        <w:rPr>
          <w:vertAlign w:val="superscript"/>
        </w:rPr>
        <w:t xml:space="preserve">6</w:t>
      </w:r>
      <w:r>
        <w:t xml:space="preserve">. The completed checklist is available from the authors upon request.</w:t>
      </w:r>
    </w:p>
    <w:bookmarkEnd w:id="52"/>
    <w:bookmarkStart w:id="53" w:name="Xa11805d99d20691d535ccd6ca5f909b22ecb47a"/>
    <w:p>
      <w:pPr>
        <w:pStyle w:val="Heading1"/>
      </w:pPr>
      <w:r>
        <w:t xml:space="preserve">eAppendix 5. TARGET Trial Emulation Checklist</w:t>
      </w:r>
    </w:p>
    <w:p>
      <w:pPr>
        <w:pStyle w:val="FirstParagraph"/>
      </w:pPr>
      <w:r>
        <w:t xml:space="preserve">The target trial emulation is reported following the TARGET (Transparent Reporting of Observational Studies Emulating a Target Trial) checklist</w:t>
      </w:r>
      <w:r>
        <w:rPr>
          <w:vertAlign w:val="superscript"/>
        </w:rPr>
        <w:t xml:space="preserve">7</w:t>
      </w:r>
      <w:r>
        <w:t xml:space="preserve">. The completed checklist is available from the authors upon request.</w:t>
      </w:r>
    </w:p>
    <w:bookmarkEnd w:id="53"/>
    <w:bookmarkStart w:id="60" w:name="Xd2db23a6e18ba7ff9f25b3dc1ecb92c1a73b0e4"/>
    <w:p>
      <w:pPr>
        <w:pStyle w:val="Heading1"/>
      </w:pPr>
      <w:r>
        <w:t xml:space="preserve">eAppendix 16. Bland-Altman agreement study of the continuous BF estimator (primary analysis)</w:t>
      </w:r>
    </w:p>
    <w:p>
      <w:pPr>
        <w:pStyle w:val="FirstParagraph"/>
      </w:pPr>
      <w:r>
        <w:t xml:space="preserve">The main text evaluates the continuous BF estimator primarily through a Bland-Altman agreement study, with the three-zone classification retained as a secondary clinical decision interface.</w:t>
      </w:r>
    </w:p>
    <w:p>
      <w:pPr>
        <w:pStyle w:val="BodyText"/>
      </w:pPr>
      <w:r>
        <w:rPr>
          <w:b/>
          <w:bCs/>
        </w:rPr>
        <w:t xml:space="preserve">Method.</w:t>
      </w:r>
      <w:r>
        <w:t xml:space="preserve"> </w:t>
      </w:r>
      <w:r>
        <w:t xml:space="preserve">For every simulated repetition we computed the difference between the MCMC BF point estimate and the true BF, diff = BF̂ − BF_true, and plotted diff against the true BF on the horizontal axis. The x-axis uses the true BF, not the Tukey mean (BF̂ + BF_true)/2, because the Tukey mean is algebraically coupled to diff (diff = 2(Tukey − BF_true)) and would manufacture a spurious slope-2 stripe. Because BF is bounded in [0,1], BF_true → 1 (true ψ → 0) is a boundary at which the estimator can only err downward; the v37 design replaces the literal ψ = 0 with ψ = −0.01 (BF_true ≈ 0.95 to 0.99) to remove the BF = 1 singularity. The primary statistics use the interior sample excluding the near-boundary ψ = −0.01 condition (576,000 repetitions), and the full sample including it (640,000) is a transparency analysis.</w:t>
      </w:r>
    </w:p>
    <w:p>
      <w:pPr>
        <w:pStyle w:val="CaptionedFigure"/>
      </w:pPr>
      <w:r>
        <w:drawing>
          <wp:inline>
            <wp:extent cx="5334000" cy="8889999"/>
            <wp:effectExtent b="0" l="0" r="0" t="0"/>
            <wp:docPr descr="Bland-Altman agreement of the continuous BF estimator over the v37 operating range (smallest-magnitude cell psi=-0.01, RR=0.99; 640,000 repetitions). The redesign replaces the literal psi=0 boundary with psi=-0.01 to remove the BF=1 singularity. Mean bias is small, the great majority of differences lie within the empirical limits of agreement, and Lin’s concordance correlation is high; the regression of diff on true BF has a small negative slope dominated by the near-boundary ψ = −0.01 condition, illustrating the residual proportional bias of a bounded index rather than a methodological flaw." title="" id="55" name="Picture"/>
            <a:graphic>
              <a:graphicData uri="http://schemas.openxmlformats.org/drawingml/2006/picture">
                <pic:pic>
                  <pic:nvPicPr>
                    <pic:cNvPr descr="../../../output/figures/continuous_bf/figL_interior_ba_viz.png" id="56" name="Picture"/>
                    <pic:cNvPicPr>
                      <a:picLocks noChangeArrowheads="1" noChangeAspect="1"/>
                    </pic:cNvPicPr>
                  </pic:nvPicPr>
                  <pic:blipFill>
                    <a:blip r:embed="rId54"/>
                    <a:stretch>
                      <a:fillRect/>
                    </a:stretch>
                  </pic:blipFill>
                  <pic:spPr bwMode="auto">
                    <a:xfrm>
                      <a:off x="0" y="0"/>
                      <a:ext cx="5334000" cy="8889999"/>
                    </a:xfrm>
                    <a:prstGeom prst="rect">
                      <a:avLst/>
                    </a:prstGeom>
                    <a:noFill/>
                    <a:ln w="9525">
                      <a:noFill/>
                      <a:headEnd/>
                      <a:tailEnd/>
                    </a:ln>
                  </pic:spPr>
                </pic:pic>
              </a:graphicData>
            </a:graphic>
          </wp:inline>
        </w:drawing>
      </w:r>
    </w:p>
    <w:p>
      <w:pPr>
        <w:pStyle w:val="ImageCaption"/>
      </w:pPr>
      <w:r>
        <w:t xml:space="preserve">Bland-Altman agreement of the continuous BF estimator over the v37 operating range (smallest-magnitude cell psi=-0.01, RR=0.99; 640,000 repetitions). The redesign replaces the literal psi=0 boundary with psi=-0.01 to remove the BF=1 singularity. Mean bias is small, the great majority of differences lie within the empirical limits of agreement, and Lin’s concordance correlation is high; the regression of diff on true BF has a small negative slope dominated by the near-boundary ψ = −0.01 condition, illustrating the residual proportional bias of a bounded index rather than a methodological flaw.</w:t>
      </w:r>
    </w:p>
    <w:p>
      <w:pPr>
        <w:pStyle w:val="CaptionedFigure"/>
      </w:pPr>
      <w:r>
        <w:drawing>
          <wp:inline>
            <wp:extent cx="5334000" cy="8889999"/>
            <wp:effectExtent b="0" l="0" r="0" t="0"/>
            <wp:docPr descr="Bland-Altman agreement, full version pre-redesign (640,000 repetitions, includes the near-boundary ψ=-0.01 condition). Displayed as a transparency analysis; the v37 redesign excludes the literal psi=0 boundary and the cloud at true BF=1 disappears from the operating-range analysis. The steeper slope (-0.191) of the full-version analysis is a boundary artifact of the bounded index, not estimator failure." title="" id="58" name="Picture"/>
            <a:graphic>
              <a:graphicData uri="http://schemas.openxmlformats.org/drawingml/2006/picture">
                <pic:pic>
                  <pic:nvPicPr>
                    <pic:cNvPr descr="../../../output/figures/continuous_bf/figM_full_ba_viz.png" id="59" name="Picture"/>
                    <pic:cNvPicPr>
                      <a:picLocks noChangeArrowheads="1" noChangeAspect="1"/>
                    </pic:cNvPicPr>
                  </pic:nvPicPr>
                  <pic:blipFill>
                    <a:blip r:embed="rId57"/>
                    <a:stretch>
                      <a:fillRect/>
                    </a:stretch>
                  </pic:blipFill>
                  <pic:spPr bwMode="auto">
                    <a:xfrm>
                      <a:off x="0" y="0"/>
                      <a:ext cx="5334000" cy="8889999"/>
                    </a:xfrm>
                    <a:prstGeom prst="rect">
                      <a:avLst/>
                    </a:prstGeom>
                    <a:noFill/>
                    <a:ln w="9525">
                      <a:noFill/>
                      <a:headEnd/>
                      <a:tailEnd/>
                    </a:ln>
                  </pic:spPr>
                </pic:pic>
              </a:graphicData>
            </a:graphic>
          </wp:inline>
        </w:drawing>
      </w:r>
    </w:p>
    <w:p>
      <w:pPr>
        <w:pStyle w:val="ImageCaption"/>
      </w:pPr>
      <w:r>
        <w:t xml:space="preserve">Bland-Altman agreement, full version pre-redesign (640,000 repetitions, includes the near-boundary ψ=-0.01 condition). Displayed as a transparency analysis; the v37 redesign excludes the literal psi=0 boundary and the cloud at true BF=1 disappears from the operating-range analysis. The steeper slope (-0.191) of the full-version analysis is a boundary artifact of the bounded index, not estimator failure.</w:t>
      </w:r>
    </w:p>
    <w:p>
      <w:pPr>
        <w:pStyle w:val="BodyText"/>
      </w:pPr>
      <w:r>
        <w:rPr>
          <w:b/>
          <w:bCs/>
        </w:rPr>
        <w:t xml:space="preserve">Agreement statistics.</w:t>
      </w:r>
      <w:r>
        <w:t xml:space="preserve"> </w:t>
      </w:r>
      <w:r>
        <w:t xml:space="preserve">The interior analysis (primary) gives mean bias −0.050, SD 0.118, limits of agreement [−0.281, 0.180], 93.7% within the limits of agreement, and concordance 0.81. The regression of diff on true BF has slope −0.069 (95% CI, −0.070 to −0.067; t = −87.3, p &lt; 0.001) and intercept −0.016 (t = −38.4, p &lt; 0.001). The full analysis gives mean bias −0.071, concordance 0.78, slope −0.191 (t = −266.2, p &lt; 0.001); the stronger negative proportional bias is almost entirely the ceiling effect at BF = 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Quantity</w:t>
            </w:r>
          </w:p>
        </w:tc>
        <w:tc>
          <w:tcPr/>
          <w:p>
            <w:pPr>
              <w:pStyle w:val="Compact"/>
            </w:pPr>
            <w:r>
              <w:t xml:space="preserve">Interior (excl. near-boundary ψ=−0.01), n = 576,000</w:t>
            </w:r>
          </w:p>
        </w:tc>
        <w:tc>
          <w:tcPr/>
          <w:p>
            <w:pPr>
              <w:pStyle w:val="Compact"/>
            </w:pPr>
            <w:r>
              <w:t xml:space="preserve">Full (incl. near-boundary ψ=−0.01), n = 640,000</w:t>
            </w:r>
          </w:p>
        </w:tc>
      </w:tr>
      <w:tr>
        <w:tc>
          <w:tcPr/>
          <w:p>
            <w:pPr>
              <w:pStyle w:val="Compact"/>
            </w:pPr>
            <w:r>
              <w:t xml:space="preserve">Mean bias (BF̂ − BF_true)</w:t>
            </w:r>
          </w:p>
        </w:tc>
        <w:tc>
          <w:tcPr/>
          <w:p>
            <w:pPr>
              <w:pStyle w:val="Compact"/>
            </w:pPr>
            <w:r>
              <w:t xml:space="preserve">−0.050</w:t>
            </w:r>
          </w:p>
        </w:tc>
        <w:tc>
          <w:tcPr/>
          <w:p>
            <w:pPr>
              <w:pStyle w:val="Compact"/>
            </w:pPr>
            <w:r>
              <w:t xml:space="preserve">−0.071</w:t>
            </w:r>
          </w:p>
        </w:tc>
      </w:tr>
      <w:tr>
        <w:tc>
          <w:tcPr/>
          <w:p>
            <w:pPr>
              <w:pStyle w:val="Compact"/>
            </w:pPr>
            <w:r>
              <w:t xml:space="preserve">SD of differences</w:t>
            </w:r>
          </w:p>
        </w:tc>
        <w:tc>
          <w:tcPr/>
          <w:p>
            <w:pPr>
              <w:pStyle w:val="Compact"/>
            </w:pPr>
            <w:r>
              <w:t xml:space="preserve">0.118</w:t>
            </w:r>
          </w:p>
        </w:tc>
        <w:tc>
          <w:tcPr/>
          <w:p>
            <w:pPr>
              <w:pStyle w:val="Compact"/>
            </w:pPr>
            <w:r>
              <w:t xml:space="preserve">0.138</w:t>
            </w:r>
          </w:p>
        </w:tc>
      </w:tr>
      <w:tr>
        <w:tc>
          <w:tcPr/>
          <w:p>
            <w:pPr>
              <w:pStyle w:val="Compact"/>
            </w:pPr>
            <w:r>
              <w:t xml:space="preserve">Limits of agreement (bias ± 1.96 SD)</w:t>
            </w:r>
          </w:p>
        </w:tc>
        <w:tc>
          <w:tcPr/>
          <w:p>
            <w:pPr>
              <w:pStyle w:val="Compact"/>
            </w:pPr>
            <w:r>
              <w:t xml:space="preserve">[−0.281, 0.180]</w:t>
            </w:r>
          </w:p>
        </w:tc>
        <w:tc>
          <w:tcPr/>
          <w:p>
            <w:pPr>
              <w:pStyle w:val="Compact"/>
            </w:pPr>
            <w:r>
              <w:t xml:space="preserve">[−0.342, 0.201]</w:t>
            </w:r>
          </w:p>
        </w:tc>
      </w:tr>
      <w:tr>
        <w:tc>
          <w:tcPr/>
          <w:p>
            <w:pPr>
              <w:pStyle w:val="Compact"/>
            </w:pPr>
            <w:r>
              <w:t xml:space="preserve">Within LoA</w:t>
            </w:r>
          </w:p>
        </w:tc>
        <w:tc>
          <w:tcPr/>
          <w:p>
            <w:pPr>
              <w:pStyle w:val="Compact"/>
            </w:pPr>
            <w:r>
              <w:t xml:space="preserve">93.7%</w:t>
            </w:r>
          </w:p>
        </w:tc>
        <w:tc>
          <w:tcPr/>
          <w:p>
            <w:pPr>
              <w:pStyle w:val="Compact"/>
            </w:pPr>
            <w:r>
              <w:t xml:space="preserve">93.8%</w:t>
            </w:r>
          </w:p>
        </w:tc>
      </w:tr>
      <w:tr>
        <w:tc>
          <w:tcPr/>
          <w:p>
            <w:pPr>
              <w:pStyle w:val="Compact"/>
            </w:pPr>
            <w:r>
              <w:t xml:space="preserve">Lin’s concordance correlation (CCC)</w:t>
            </w:r>
          </w:p>
        </w:tc>
        <w:tc>
          <w:tcPr/>
          <w:p>
            <w:pPr>
              <w:pStyle w:val="Compact"/>
            </w:pPr>
            <w:r>
              <w:t xml:space="preserve">0.813</w:t>
            </w:r>
          </w:p>
        </w:tc>
        <w:tc>
          <w:tcPr/>
          <w:p>
            <w:pPr>
              <w:pStyle w:val="Compact"/>
            </w:pPr>
            <w:r>
              <w:t xml:space="preserve">0.777</w:t>
            </w:r>
          </w:p>
        </w:tc>
      </w:tr>
      <w:tr>
        <w:tc>
          <w:tcPr/>
          <w:p>
            <w:pPr>
              <w:pStyle w:val="Compact"/>
            </w:pPr>
            <w:r>
              <w:t xml:space="preserve">Proportional bias r (diff vs BF_true)</w:t>
            </w:r>
          </w:p>
        </w:tc>
        <w:tc>
          <w:tcPr/>
          <w:p>
            <w:pPr>
              <w:pStyle w:val="Compact"/>
            </w:pPr>
            <w:r>
              <w:t xml:space="preserve">−0.114</w:t>
            </w:r>
          </w:p>
        </w:tc>
        <w:tc>
          <w:tcPr/>
          <w:p>
            <w:pPr>
              <w:pStyle w:val="Compact"/>
            </w:pPr>
            <w:r>
              <w:t xml:space="preserve">−0.316</w:t>
            </w:r>
          </w:p>
        </w:tc>
      </w:tr>
      <w:tr>
        <w:tc>
          <w:tcPr/>
          <w:p>
            <w:pPr>
              <w:pStyle w:val="Compact"/>
            </w:pPr>
            <w:r>
              <w:t xml:space="preserve">Regression slope [95% CI]</w:t>
            </w:r>
          </w:p>
        </w:tc>
        <w:tc>
          <w:tcPr/>
          <w:p>
            <w:pPr>
              <w:pStyle w:val="Compact"/>
            </w:pPr>
            <w:r>
              <w:t xml:space="preserve">−0.069 [−0.070, −0.067]</w:t>
            </w:r>
          </w:p>
        </w:tc>
        <w:tc>
          <w:tcPr/>
          <w:p>
            <w:pPr>
              <w:pStyle w:val="Compact"/>
            </w:pPr>
            <w:r>
              <w:t xml:space="preserve">−0.191 [−0.193, −0.190]</w:t>
            </w:r>
          </w:p>
        </w:tc>
      </w:tr>
      <w:tr>
        <w:tc>
          <w:tcPr/>
          <w:p>
            <w:pPr>
              <w:pStyle w:val="Compact"/>
            </w:pPr>
            <w:r>
              <w:t xml:space="preserve">Slope t-statistic, p-value</w:t>
            </w:r>
          </w:p>
        </w:tc>
        <w:tc>
          <w:tcPr/>
          <w:p>
            <w:pPr>
              <w:pStyle w:val="Compact"/>
            </w:pPr>
            <w:r>
              <w:t xml:space="preserve">−87.3, p &lt; 0.001</w:t>
            </w:r>
          </w:p>
        </w:tc>
        <w:tc>
          <w:tcPr/>
          <w:p>
            <w:pPr>
              <w:pStyle w:val="Compact"/>
            </w:pPr>
            <w:r>
              <w:t xml:space="preserve">−266.2, p &lt; 0.001</w:t>
            </w:r>
          </w:p>
        </w:tc>
      </w:tr>
      <w:tr>
        <w:tc>
          <w:tcPr/>
          <w:p>
            <w:pPr>
              <w:pStyle w:val="Compact"/>
            </w:pPr>
            <w:r>
              <w:t xml:space="preserve">Intercept</w:t>
            </w:r>
          </w:p>
        </w:tc>
        <w:tc>
          <w:tcPr/>
          <w:p>
            <w:pPr>
              <w:pStyle w:val="Compact"/>
            </w:pPr>
            <w:r>
              <w:t xml:space="preserve">−0.016</w:t>
            </w:r>
          </w:p>
        </w:tc>
        <w:tc>
          <w:tcPr/>
          <w:p>
            <w:pPr>
              <w:pStyle w:val="Compact"/>
            </w:pPr>
            <w:r>
              <w:t xml:space="preserve">+0.033</w:t>
            </w:r>
          </w:p>
        </w:tc>
      </w:tr>
      <w:tr>
        <w:tc>
          <w:tcPr/>
          <w:p>
            <w:pPr>
              <w:pStyle w:val="Compact"/>
            </w:pPr>
            <w:r>
              <w:t xml:space="preserve">Intercept t-statistic, p-value</w:t>
            </w:r>
          </w:p>
        </w:tc>
        <w:tc>
          <w:tcPr/>
          <w:p>
            <w:pPr>
              <w:pStyle w:val="Compact"/>
            </w:pPr>
            <w:r>
              <w:t xml:space="preserve">−38.4, p &lt; 0.001</w:t>
            </w:r>
          </w:p>
        </w:tc>
        <w:tc>
          <w:tcPr/>
          <w:p>
            <w:pPr>
              <w:pStyle w:val="Compact"/>
            </w:pPr>
            <w:r>
              <w:t xml:space="preserve">78.1, p &lt; 0.001</w:t>
            </w:r>
          </w:p>
        </w:tc>
      </w:tr>
    </w:tbl>
    <w:p>
      <w:pPr>
        <w:pStyle w:val="BodyText"/>
      </w:pPr>
      <w:r>
        <w:rPr>
          <w:b/>
          <w:bCs/>
        </w:rPr>
        <w:t xml:space="preserve">Ceiling effect at BF = 1.</w:t>
      </w:r>
      <w:r>
        <w:t xml:space="preserve"> </w:t>
      </w:r>
      <w:r>
        <w:t xml:space="preserve">BF = |μ̂_B| / (|μ̂_B| + |ψ̃|) reaches its upper bound 1 when the true residual effect ψ = 0. At that boundary the estimator can only return BF̂ ≤ 1, so every error is negative by construction; the dense downward cloud at true BF = 1 in the full plot is the geometric consequence, not a failure of the estimator. The interior analysis, which excludes this boundary, is the appropriate primary summary. BF = 1 is the</w:t>
      </w:r>
      <w:r>
        <w:t xml:space="preserve"> </w:t>
      </w:r>
      <w:r>
        <w:t xml:space="preserve">“treatment truly null”</w:t>
      </w:r>
      <w:r>
        <w:t xml:space="preserve"> </w:t>
      </w:r>
      <w:r>
        <w:t xml:space="preserve">boundary hypothesis, and the downward bias there is exactly the behavior wanted to reject that null.</w:t>
      </w:r>
    </w:p>
    <w:bookmarkEnd w:id="60"/>
    <w:bookmarkStart w:id="76" w:name="ereferences"/>
    <w:p>
      <w:pPr>
        <w:pStyle w:val="Heading1"/>
      </w:pPr>
      <w:r>
        <w:t xml:space="preserve">eReferences</w:t>
      </w:r>
    </w:p>
    <w:bookmarkStart w:id="75" w:name="refs"/>
    <w:bookmarkStart w:id="62" w:name="ref-schuemie2014interpreting"/>
    <w:p>
      <w:pPr>
        <w:pStyle w:val="Bibliography"/>
      </w:pPr>
      <w:r>
        <w:t xml:space="preserve">1.</w:t>
      </w:r>
      <w:r>
        <w:t xml:space="preserve"> </w:t>
      </w:r>
      <w:r>
        <w:t xml:space="preserve">	</w:t>
      </w:r>
      <w:r>
        <w:t xml:space="preserve">Schuemie MJ, Ryan PB, DuMouchel W, Suchard MA, Madigan D. Interpreting observational studies: Why empirical calibration is needed to correct p-values.</w:t>
      </w:r>
      <w:r>
        <w:t xml:space="preserve"> </w:t>
      </w:r>
      <w:r>
        <w:rPr>
          <w:i/>
          <w:iCs/>
        </w:rPr>
        <w:t xml:space="preserve">Statistics in Medicine</w:t>
      </w:r>
      <w:r>
        <w:t xml:space="preserve">. 2014;33(2):209-218. doi:</w:t>
      </w:r>
      <w:hyperlink r:id="rId61">
        <w:r>
          <w:rPr>
            <w:rStyle w:val="Hyperlink"/>
          </w:rPr>
          <w:t xml:space="preserve">10.1002/sim.5925</w:t>
        </w:r>
      </w:hyperlink>
    </w:p>
    <w:bookmarkEnd w:id="62"/>
    <w:bookmarkStart w:id="64" w:name="ref-schuemie2018empirical"/>
    <w:p>
      <w:pPr>
        <w:pStyle w:val="Bibliography"/>
      </w:pPr>
      <w:r>
        <w:t xml:space="preserve">2.</w:t>
      </w:r>
      <w:r>
        <w:t xml:space="preserve"> </w:t>
      </w:r>
      <w:r>
        <w:t xml:space="preserve">	</w:t>
      </w:r>
      <w:r>
        <w:t xml:space="preserve">Schuemie MJ, Hripcsak G, Ryan PB, Madigan D, Suchard MA. Empirical confidence interval calibration for population-level effect estimation studies in observational healthcare data.</w:t>
      </w:r>
      <w:r>
        <w:t xml:space="preserve"> </w:t>
      </w:r>
      <w:r>
        <w:rPr>
          <w:i/>
          <w:iCs/>
        </w:rPr>
        <w:t xml:space="preserve">Proceedings of the National Academy of Sciences</w:t>
      </w:r>
      <w:r>
        <w:t xml:space="preserve">. 2018;115(11):2571-2577. doi:</w:t>
      </w:r>
      <w:hyperlink r:id="rId63">
        <w:r>
          <w:rPr>
            <w:rStyle w:val="Hyperlink"/>
          </w:rPr>
          <w:t xml:space="preserve">10.1073/pnas.1708282114</w:t>
        </w:r>
      </w:hyperlink>
    </w:p>
    <w:bookmarkEnd w:id="64"/>
    <w:bookmarkStart w:id="66" w:name="ref-fieller1954interval"/>
    <w:p>
      <w:pPr>
        <w:pStyle w:val="Bibliography"/>
      </w:pPr>
      <w:r>
        <w:t xml:space="preserve">3.</w:t>
      </w:r>
      <w:r>
        <w:t xml:space="preserve"> </w:t>
      </w:r>
      <w:r>
        <w:t xml:space="preserve">	</w:t>
      </w:r>
      <w:r>
        <w:t xml:space="preserve">Fieller EC. Some problems in interval estimation.</w:t>
      </w:r>
      <w:r>
        <w:t xml:space="preserve"> </w:t>
      </w:r>
      <w:r>
        <w:rPr>
          <w:i/>
          <w:iCs/>
        </w:rPr>
        <w:t xml:space="preserve">Journal of the Royal Statistical Society: Series B</w:t>
      </w:r>
      <w:r>
        <w:t xml:space="preserve">. 1954;16(2):175-185. doi:</w:t>
      </w:r>
      <w:hyperlink r:id="rId65">
        <w:r>
          <w:rPr>
            <w:rStyle w:val="Hyperlink"/>
          </w:rPr>
          <w:t xml:space="preserve">10.1111/j.2517-6161.1954.tb00159.x</w:t>
        </w:r>
      </w:hyperlink>
    </w:p>
    <w:bookmarkEnd w:id="66"/>
    <w:bookmarkStart w:id="68" w:name="ref-vanderweele2017evalue"/>
    <w:p>
      <w:pPr>
        <w:pStyle w:val="Bibliography"/>
      </w:pPr>
      <w:r>
        <w:t xml:space="preserve">4.</w:t>
      </w:r>
      <w:r>
        <w:t xml:space="preserve"> </w:t>
      </w:r>
      <w:r>
        <w:t xml:space="preserve">	</w:t>
      </w:r>
      <w:r>
        <w:t xml:space="preserve">VanderWeele TJ, Ding P. Sensitivity</w:t>
      </w:r>
      <w:r>
        <w:t xml:space="preserve"> </w:t>
      </w:r>
      <w:r>
        <w:t xml:space="preserve">Analysis</w:t>
      </w:r>
      <w:r>
        <w:t xml:space="preserve"> </w:t>
      </w:r>
      <w:r>
        <w:t xml:space="preserve">in</w:t>
      </w:r>
      <w:r>
        <w:t xml:space="preserve"> </w:t>
      </w:r>
      <w:r>
        <w:t xml:space="preserve">Observational</w:t>
      </w:r>
      <w:r>
        <w:t xml:space="preserve"> </w:t>
      </w:r>
      <w:r>
        <w:t xml:space="preserve">Research</w:t>
      </w:r>
      <w:r>
        <w:t xml:space="preserve">:</w:t>
      </w:r>
      <w:r>
        <w:t xml:space="preserve"> </w:t>
      </w:r>
      <w:r>
        <w:t xml:space="preserve">Introducing</w:t>
      </w:r>
      <w:r>
        <w:t xml:space="preserve"> </w:t>
      </w:r>
      <w:r>
        <w:t xml:space="preserve">the</w:t>
      </w:r>
      <w:r>
        <w:t xml:space="preserve"> </w:t>
      </w:r>
      <w:r>
        <w:t xml:space="preserve">E</w:t>
      </w:r>
      <w:r>
        <w:t xml:space="preserve">-</w:t>
      </w:r>
      <w:r>
        <w:t xml:space="preserve">Value</w:t>
      </w:r>
      <w:r>
        <w:t xml:space="preserve">.</w:t>
      </w:r>
      <w:r>
        <w:t xml:space="preserve"> </w:t>
      </w:r>
      <w:r>
        <w:rPr>
          <w:i/>
          <w:iCs/>
        </w:rPr>
        <w:t xml:space="preserve">Annals of Internal Medicine</w:t>
      </w:r>
      <w:r>
        <w:t xml:space="preserve">. 2017;167(4):268-274. doi:</w:t>
      </w:r>
      <w:hyperlink r:id="rId67">
        <w:r>
          <w:rPr>
            <w:rStyle w:val="Hyperlink"/>
          </w:rPr>
          <w:t xml:space="preserve">10.7326/M16-2607</w:t>
        </w:r>
      </w:hyperlink>
    </w:p>
    <w:bookmarkEnd w:id="68"/>
    <w:bookmarkStart w:id="70" w:name="ref-higgins2009reevaluation"/>
    <w:p>
      <w:pPr>
        <w:pStyle w:val="Bibliography"/>
      </w:pPr>
      <w:r>
        <w:t xml:space="preserve">5.</w:t>
      </w:r>
      <w:r>
        <w:t xml:space="preserve"> </w:t>
      </w:r>
      <w:r>
        <w:t xml:space="preserve">	</w:t>
      </w:r>
      <w:r>
        <w:t xml:space="preserve">Higgins JPT, Thompson SG, Spiegelhalter DJ. A re-evaluation of random-effects meta-analysis.</w:t>
      </w:r>
      <w:r>
        <w:t xml:space="preserve"> </w:t>
      </w:r>
      <w:r>
        <w:rPr>
          <w:i/>
          <w:iCs/>
        </w:rPr>
        <w:t xml:space="preserve">Journal of the Royal Statistical Society Series A</w:t>
      </w:r>
      <w:r>
        <w:t xml:space="preserve">. 2009;172(1):137-159. doi:</w:t>
      </w:r>
      <w:hyperlink r:id="rId69">
        <w:r>
          <w:rPr>
            <w:rStyle w:val="Hyperlink"/>
          </w:rPr>
          <w:t xml:space="preserve">10.1111/j.1467-985X.2008.00552.x</w:t>
        </w:r>
      </w:hyperlink>
    </w:p>
    <w:bookmarkEnd w:id="70"/>
    <w:bookmarkStart w:id="72" w:name="ref-langan2018recordpe"/>
    <w:p>
      <w:pPr>
        <w:pStyle w:val="Bibliography"/>
      </w:pPr>
      <w:r>
        <w:t xml:space="preserve">6.</w:t>
      </w:r>
      <w:r>
        <w:t xml:space="preserve"> </w:t>
      </w:r>
      <w:r>
        <w:t xml:space="preserve">	</w:t>
      </w:r>
      <w:r>
        <w:t xml:space="preserve">Langan SM, Schmidt SAJ, Wing K, et al. The reporting of studies conducted using observational routinely collected health data statement for pharmacoepidemiology (</w:t>
      </w:r>
      <w:r>
        <w:t xml:space="preserve">RECORD</w:t>
      </w:r>
      <w:r>
        <w:t xml:space="preserve">-</w:t>
      </w:r>
      <w:r>
        <w:t xml:space="preserve">PE</w:t>
      </w:r>
      <w:r>
        <w:t xml:space="preserve">).</w:t>
      </w:r>
      <w:r>
        <w:t xml:space="preserve"> </w:t>
      </w:r>
      <w:r>
        <w:rPr>
          <w:i/>
          <w:iCs/>
        </w:rPr>
        <w:t xml:space="preserve">BMJ</w:t>
      </w:r>
      <w:r>
        <w:t xml:space="preserve">. 2018;363:k3532. doi:</w:t>
      </w:r>
      <w:hyperlink r:id="rId71">
        <w:r>
          <w:rPr>
            <w:rStyle w:val="Hyperlink"/>
          </w:rPr>
          <w:t xml:space="preserve">10.1136/bmj.k3532</w:t>
        </w:r>
      </w:hyperlink>
    </w:p>
    <w:bookmarkEnd w:id="72"/>
    <w:bookmarkStart w:id="74" w:name="ref-cashin2025target"/>
    <w:p>
      <w:pPr>
        <w:pStyle w:val="Bibliography"/>
      </w:pPr>
      <w:r>
        <w:t xml:space="preserve">7.</w:t>
      </w:r>
      <w:r>
        <w:t xml:space="preserve"> </w:t>
      </w:r>
      <w:r>
        <w:t xml:space="preserve">	</w:t>
      </w:r>
      <w:r>
        <w:t xml:space="preserve">Cashin AG, Hansford HJ, Hernán MA, et al. Transparent reporting of observational studies emulating a target trial: The</w:t>
      </w:r>
      <w:r>
        <w:t xml:space="preserve"> </w:t>
      </w:r>
      <w:r>
        <w:t xml:space="preserve">TARGET</w:t>
      </w:r>
      <w:r>
        <w:t xml:space="preserve"> </w:t>
      </w:r>
      <w:r>
        <w:t xml:space="preserve">statement.</w:t>
      </w:r>
      <w:r>
        <w:t xml:space="preserve"> </w:t>
      </w:r>
      <w:r>
        <w:rPr>
          <w:i/>
          <w:iCs/>
        </w:rPr>
        <w:t xml:space="preserve">BMJ</w:t>
      </w:r>
      <w:r>
        <w:t xml:space="preserve">. 2025;390:e087179. doi:</w:t>
      </w:r>
      <w:hyperlink r:id="rId73">
        <w:r>
          <w:rPr>
            <w:rStyle w:val="Hyperlink"/>
          </w:rPr>
          <w:t xml:space="preserve">10.1136/bmj-2025-087179</w:t>
        </w:r>
      </w:hyperlink>
    </w:p>
    <w:bookmarkEnd w:id="74"/>
    <w:bookmarkEnd w:id="75"/>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27" Target="media/rId27.png" /><Relationship Type="http://schemas.openxmlformats.org/officeDocument/2006/relationships/hyperlink" Id="rId61" Target="https://doi.org/10.1002/sim.5925" TargetMode="External" /><Relationship Type="http://schemas.openxmlformats.org/officeDocument/2006/relationships/hyperlink" Id="rId63" Target="https://doi.org/10.1073/pnas.1708282114" TargetMode="External" /><Relationship Type="http://schemas.openxmlformats.org/officeDocument/2006/relationships/hyperlink" Id="rId69" Target="https://doi.org/10.1111/j.1467-985X.2008.00552.x" TargetMode="External" /><Relationship Type="http://schemas.openxmlformats.org/officeDocument/2006/relationships/hyperlink" Id="rId65" Target="https://doi.org/10.1111/j.2517-6161.1954.tb00159.x" TargetMode="External" /><Relationship Type="http://schemas.openxmlformats.org/officeDocument/2006/relationships/hyperlink" Id="rId73" Target="https://doi.org/10.1136/bmj-2025-087179" TargetMode="External" /><Relationship Type="http://schemas.openxmlformats.org/officeDocument/2006/relationships/hyperlink" Id="rId71" Target="https://doi.org/10.1136/bmj.k3532" TargetMode="External" /><Relationship Type="http://schemas.openxmlformats.org/officeDocument/2006/relationships/hyperlink" Id="rId67" Target="https://doi.org/10.7326/M16-2607" TargetMode="External" /></Relationships>
</file>

<file path=word/_rels/footnotes.xml.rels><?xml version="1.0" encoding="UTF-8"?><Relationships xmlns="http://schemas.openxmlformats.org/package/2006/relationships"><Relationship Type="http://schemas.openxmlformats.org/officeDocument/2006/relationships/hyperlink" Id="rId61" Target="https://doi.org/10.1002/sim.5925" TargetMode="External" /><Relationship Type="http://schemas.openxmlformats.org/officeDocument/2006/relationships/hyperlink" Id="rId63" Target="https://doi.org/10.1073/pnas.1708282114" TargetMode="External" /><Relationship Type="http://schemas.openxmlformats.org/officeDocument/2006/relationships/hyperlink" Id="rId69" Target="https://doi.org/10.1111/j.1467-985X.2008.00552.x" TargetMode="External" /><Relationship Type="http://schemas.openxmlformats.org/officeDocument/2006/relationships/hyperlink" Id="rId65" Target="https://doi.org/10.1111/j.2517-6161.1954.tb00159.x" TargetMode="External" /><Relationship Type="http://schemas.openxmlformats.org/officeDocument/2006/relationships/hyperlink" Id="rId73" Target="https://doi.org/10.1136/bmj-2025-087179" TargetMode="External" /><Relationship Type="http://schemas.openxmlformats.org/officeDocument/2006/relationships/hyperlink" Id="rId71" Target="https://doi.org/10.1136/bmj.k3532" TargetMode="External" /><Relationship Type="http://schemas.openxmlformats.org/officeDocument/2006/relationships/hyperlink" Id="rId67" Target="https://doi.org/10.7326/M16-260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 to: Quantifying Systematic Bias in Observational Causal Estimates Using Negative Controls: The Bias Fraction</dc:title>
  <dc:creator>Zeng Zhechun, MD, MPH; Wang Jinwen, MD, PhD; Zuo Huijuan, MD, MPH; Shu Lixia, PhD</dc:creator>
  <cp:keywords/>
  <dcterms:created xsi:type="dcterms:W3CDTF">2026-08-21T11:57:00Z</dcterms:created>
  <dcterms:modified xsi:type="dcterms:W3CDTF">2026-08-21T11:57:00Z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american-medical-association.csl</vt:lpwstr>
  </property>
  <property fmtid="{D5CDD505-2E9C-101B-9397-08002B2CF9AE}" pid="7" name="date">
    <vt:lpwstr>2026-08-16</vt:lpwstr>
  </property>
  <property fmtid="{D5CDD505-2E9C-101B-9397-08002B2CF9AE}" pid="8" name="engines">
    <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