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for</w:t>
      </w:r>
      <w:r>
        <w:t xml:space="preserve"> </w:t>
      </w:r>
      <w:r>
        <w:t xml:space="preserve">‘Quantifying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t xml:space="preserve">This appendix provides the extended methods, the full lookup table, subgroup robustness, and case-study sensitivity analyses supporting the main manuscript. All numbers are reproduced from</w:t>
      </w:r>
      <w:r>
        <w:t xml:space="preserve"> </w:t>
      </w:r>
      <w:r>
        <w:rPr>
          <w:rStyle w:val="VerbatimChar"/>
        </w:rPr>
        <w:t xml:space="preserve">output/tables/v38_all_numbers.json</w:t>
      </w:r>
      <w:r>
        <w:t xml:space="preserve">.</w:t>
      </w:r>
    </w:p>
    <w:p>
      <w:r>
        <w:pict>
          <v:rect style="width:0;height:1.5pt" o:hralign="center" o:hrstd="t" o:hr="t"/>
        </w:pict>
      </w:r>
    </w:p>
    <w:bookmarkStart w:id="11" w:name="emethods"/>
    <w:p>
      <w:pPr>
        <w:pStyle w:val="Heading2"/>
      </w:pPr>
      <w:r>
        <w:t xml:space="preserve">eMethods</w:t>
      </w:r>
    </w:p>
    <w:p>
      <w:pPr>
        <w:pStyle w:val="FirstParagraph"/>
      </w:pPr>
      <w:r>
        <w:t xml:space="preserve">The simulation crossed five factors in a full factorial design (960 conditions x 1000 repetitions = 960,000). Factors: true effect ψ (10 levels, -0.40 to -0.01); bias center μ_B (8 levels); standard error of the target estimate, σψ (0.06, 0.1); number of negative controls K (12, 25, 50); exchangeability violation (0, 0.3). Truth composition: 52.5% bias-dominated, 28.7% mixed, 18.8% effect-dominated. The BF credible interval used M = 300 retained joint posterior draws (400 Gibbs iterations, 100 discarded as warm-up), which is too few to locate the 2.5th and 97.5th percentiles precisely and is therefore itself a source of interval instability. Percentages describing truth composition refer to all 960,000 repetitions; all decision-rule percentages state their denominator explicitly (all repetitions, layer-1 passable repetitions, or repetitions declared usable). With this many repetitions, the Monte Carlo standard error of any reported proportion is below 0.07 percentage points. For the case study, 12 negative controls were selected (all protective or null; uncalibrated log RR -0.531 to -0.002; Shapiro-Wilk p = 0.168).</w:t>
      </w:r>
    </w:p>
    <w:bookmarkStart w:id="9" w:name="X8c08fb0d69263119b739218f315f2b3ddedb7ce"/>
    <w:p>
      <w:pPr>
        <w:pStyle w:val="Heading3"/>
      </w:pPr>
      <w:r>
        <w:t xml:space="preserve">Construction and calibration of the BF credible interval</w:t>
      </w:r>
    </w:p>
    <w:p>
      <w:pPr>
        <w:pStyle w:val="FirstParagraph"/>
      </w:pPr>
      <w:r>
        <w:t xml:space="preserve">BF is a ratio whose denominator is itself the difference between two estimated quantities, so its uncertainty cannot be inherited from a standard error in the usual way. As</w:t>
      </w:r>
      <w:r>
        <w:t xml:space="preserve"> </w:t>
      </w:r>
      <m:oMath>
        <m:acc>
          <m:accPr>
            <m:chr m:val="̃"/>
          </m:accPr>
          <m:e>
            <m:r>
              <m:t>ψ</m:t>
            </m:r>
          </m:e>
        </m:acc>
      </m:oMath>
      <w:r>
        <w:t xml:space="preserve"> </w:t>
      </w:r>
      <w:r>
        <w:t xml:space="preserve">approaches 0 the ratio becomes unstable, and the instability runs in one direction: the denominator shrinks, so BF is pushed toward 1, while the upper end of the BF scale is a hard boundary at exactly 1. An interval built on a normal approximation for</w:t>
      </w:r>
      <w:r>
        <w:t xml:space="preserve"> </w:t>
      </w:r>
      <m:oMath>
        <m:acc>
          <m:accPr>
            <m:chr m:val="̂"/>
          </m:accPr>
          <m:e>
            <m:r>
              <m:rPr>
                <m:sty m:val="p"/>
              </m:rPr>
              <m:t>B</m:t>
            </m:r>
            <m:r>
              <m:rPr>
                <m:sty m:val="p"/>
              </m:rPr>
              <m:t>F</m:t>
            </m:r>
          </m:e>
        </m:acc>
      </m:oMath>
      <w:r>
        <w:t xml:space="preserve"> </w:t>
      </w:r>
      <w:r>
        <w:t xml:space="preserve">would be symmetric on a scale that is bounded and asymmetric near its end, and would put mass outside [0, 1]. We therefore propagate uncertainty instead of approximating it.</w:t>
      </w:r>
    </w:p>
    <w:p>
      <w:pPr>
        <w:pStyle w:val="BodyText"/>
      </w:pPr>
      <w:r>
        <w:t xml:space="preserve">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BF, and the point estimate is the median of that same distribution, so an estimate always lies inside the interval reported for it.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is a deliberate choice: the interval answers how much of the calibrated signal is bias given the effect estimate that was obtained, not a joint statement about the effect estimate and the empirical null. In the simulation the number of retained joint posterior draws was deliberately modest, which is too few to locate the 2.5th and 97.5th percentiles precisely and is therefore itself a source of interval instability.</w:t>
      </w:r>
    </w:p>
    <w:p>
      <w:pPr>
        <w:pStyle w:val="BodyText"/>
      </w:pPr>
      <w:r>
        <w:t xml:space="preserve">The draws differ in what they represent. In the simulation they are posterior draws from the systematic error model</w:t>
      </w:r>
      <w:r>
        <w:t xml:space="preserve"> </w:t>
      </w:r>
      <m:oMath>
        <m:sSub>
          <m:e>
            <m:acc>
              <m:accPr>
                <m:chr m:val="̂"/>
              </m:accPr>
              <m:e>
                <m:r>
                  <m:t>γ</m:t>
                </m:r>
              </m:e>
            </m:acc>
          </m:e>
          <m:sub>
            <m:r>
              <m:t>k</m:t>
            </m:r>
          </m:sub>
        </m:sSub>
        <m:r>
          <m:rPr>
            <m:sty m:val="p"/>
          </m:rPr>
          <m:t>∼</m:t>
        </m:r>
        <m:r>
          <m:rPr>
            <m:sty m:val="p"/>
          </m:rPr>
          <m:t>N</m:t>
        </m:r>
        <m:r>
          <m:rPr>
            <m:sty m:val="p"/>
          </m:rPr>
          <m:t>(</m:t>
        </m:r>
        <m:sSub>
          <m:e>
            <m:r>
              <m:t>μ</m:t>
            </m:r>
          </m:e>
          <m:sub>
            <m:r>
              <m:t>B</m:t>
            </m:r>
          </m:sub>
        </m:sSub>
        <m:r>
          <m:rPr>
            <m:sty m:val="p"/>
          </m:rPr>
          <m:t>,</m:t>
        </m:r>
        <m:sSubSup>
          <m:e>
            <m:r>
              <m:t>σ</m:t>
            </m:r>
          </m:e>
          <m:sub>
            <m:r>
              <m:t>B</m:t>
            </m:r>
          </m:sub>
          <m:sup>
            <m:r>
              <m:t>2</m:t>
            </m:r>
          </m:sup>
        </m:sSubSup>
        <m:r>
          <m:rPr>
            <m:sty m:val="p"/>
          </m:rPr>
          <m:t>+</m:t>
        </m:r>
        <m:sSubSup>
          <m:e>
            <m:acc>
              <m:accPr>
                <m:chr m:val="̂"/>
              </m:accPr>
              <m:e>
                <m:r>
                  <m:t>τ</m:t>
                </m:r>
              </m:e>
            </m:acc>
          </m:e>
          <m:sub>
            <m:r>
              <m:t>k</m:t>
            </m:r>
          </m:sub>
          <m:sup>
            <m:r>
              <m:t>2</m:t>
            </m:r>
          </m:sup>
        </m:sSubSup>
        <m:r>
          <m:rPr>
            <m:sty m:val="p"/>
          </m:rPr>
          <m:t>)</m:t>
        </m:r>
      </m:oMath>
      <w:r>
        <w:t xml:space="preserve">, fitted by a Gibbs sampler with priors</w:t>
      </w:r>
      <w:r>
        <w:t xml:space="preserve"> </w:t>
      </w:r>
      <m:oMath>
        <m:sSub>
          <m:e>
            <m:r>
              <m:t>μ</m:t>
            </m:r>
          </m:e>
          <m:sub>
            <m:r>
              <m:t>B</m:t>
            </m:r>
          </m:sub>
        </m:sSub>
        <m:r>
          <m:rPr>
            <m:sty m:val="p"/>
          </m:rPr>
          <m:t>∼</m:t>
        </m:r>
        <m:r>
          <m:rPr>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entering the BF transform as a fixed constant rather than as a quantity being sampled. In the case study they are nonparametric bootstrap resamples of the negative control panel, with the empirical null refitted within each resample. Both constructions yield a distribution for BF itself rather than a procedure with a long-run coverage guarantee, and a bootstrap percentile distribution can be read as an approximation to a posterior distribution under an uninformative prior (Efron and Tibshirani 1993; Rubin 1981), so we use one term for both.</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and no normal approximation to the sampling distribution of</w:t>
      </w:r>
      <w:r>
        <w:t xml:space="preserve"> </w:t>
      </w:r>
      <m:oMath>
        <m:acc>
          <m:accPr>
            <m:chr m:val="̂"/>
          </m:accPr>
          <m:e>
            <m:r>
              <m:rPr>
                <m:sty m:val="p"/>
              </m:rPr>
              <m:t>B</m:t>
            </m:r>
            <m:r>
              <m:rPr>
                <m:sty m:val="p"/>
              </m:rPr>
              <m:t>F</m:t>
            </m:r>
          </m:e>
        </m:acc>
      </m:oMath>
      <w:r>
        <w:t xml:space="preserve"> </w:t>
      </w:r>
      <w:r>
        <w:t xml:space="preserve">is used, so the interval carries no guarantee of frequentist coverage, and the 95% level is a statement about where BF lies given these data and this systematic error model, not about how often the procedure captures the truth. The distinction is not terminological. In the simulation, where</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is known by construction, the interval contained it in 71.1% of repetitions, below the nominal 95%, and coverage was lower among narrower intervals (58.5%) than among wider ones (83.8%). One reason is visible in the construction itself: the interval propagates uncertainty from the empirical null 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omits the sampling variability of the effect estimate, a second source of error in</w:t>
      </w:r>
      <w:r>
        <w:t xml:space="preserve"> </w:t>
      </w:r>
      <m:oMath>
        <m:acc>
          <m:accPr>
            <m:chr m:val="̂"/>
          </m:accPr>
          <m:e>
            <m:r>
              <m:rPr>
                <m:sty m:val="p"/>
              </m:rPr>
              <m:t>B</m:t>
            </m:r>
            <m:r>
              <m:rPr>
                <m:sty m:val="p"/>
              </m:rPr>
              <m:t>F</m:t>
            </m:r>
          </m:e>
        </m:acc>
      </m:oMath>
      <w:r>
        <w:t xml:space="preserve">. Had the interval been advertised as a confidence interval, that shortfall would be a failure of the method; reported as a credible interval with its coverage stated, it is an honest statement that the propagated distribution is too narrow.</w:t>
      </w:r>
    </w:p>
    <w:p>
      <w:pPr>
        <w:pStyle w:val="BodyText"/>
      </w:pPr>
      <w:r>
        <w:t xml:space="preserve">We summarise each interval by its half-width,</w:t>
      </w:r>
      <w:r>
        <w:t xml:space="preserve"> </w:t>
      </w:r>
      <m:oMath>
        <m:r>
          <m:rPr>
            <m:sty m:val="p"/>
          </m:rPr>
          <m:t>(</m:t>
        </m:r>
        <m:sSub>
          <m:e>
            <m:acc>
              <m:accPr>
                <m:chr m:val="̂"/>
              </m:accPr>
              <m:e>
                <m:r>
                  <m:rPr>
                    <m:sty m:val="p"/>
                  </m:rPr>
                  <m:t>B</m:t>
                </m:r>
                <m:r>
                  <m:rPr>
                    <m:sty m:val="p"/>
                  </m:rPr>
                  <m:t>F</m:t>
                </m:r>
              </m:e>
            </m:acc>
          </m:e>
          <m:sub>
            <m:r>
              <m:rPr>
                <m:sty m:val="p"/>
              </m:rPr>
              <m:t>h</m:t>
            </m:r>
            <m:r>
              <m:rPr>
                <m:sty m:val="p"/>
              </m:rPr>
              <m:t>i</m:t>
            </m:r>
          </m:sub>
        </m:sSub>
        <m:r>
          <m:rPr>
            <m:sty m:val="p"/>
          </m:rPr>
          <m:t>−</m:t>
        </m:r>
        <m:sSub>
          <m:e>
            <m:acc>
              <m:accPr>
                <m:chr m:val="̂"/>
              </m:accPr>
              <m:e>
                <m:r>
                  <m:rPr>
                    <m:sty m:val="p"/>
                  </m:rPr>
                  <m:t>B</m:t>
                </m:r>
                <m:r>
                  <m:rPr>
                    <m:sty m:val="p"/>
                  </m:rPr>
                  <m:t>F</m:t>
                </m:r>
              </m:e>
            </m:acc>
          </m:e>
          <m:sub>
            <m:r>
              <m:rPr>
                <m:sty m:val="p"/>
              </m:rPr>
              <m:t>l</m:t>
            </m:r>
            <m:r>
              <m:rPr>
                <m:sty m:val="p"/>
              </m:rPr>
              <m:t>o</m:t>
            </m:r>
          </m:sub>
        </m:sSub>
        <m:r>
          <m:rPr>
            <m:sty m:val="p"/>
          </m:rPr>
          <m:t>)</m:t>
        </m:r>
        <m:r>
          <m:rPr>
            <m:sty m:val="p"/>
          </m:rPr>
          <m:t>/</m:t>
        </m:r>
        <m:r>
          <m:t>2</m:t>
        </m:r>
      </m:oMath>
      <w:r>
        <w:t xml:space="preserve">, and not by its two bounds, for two reasons. First, BF is bounded, so the bounds are truncated at 0 and 1 and carry information about location as well as precision: an estimate near 0.9 cannot have an upper bound far above 0.9, and reading the bounds alone conflates where the estimate sits with how firmly it sits there. The half-width extracts the precision component, and it does so in BF units, on the same bounded scale as the estimate itself. Second, that common scale is what lets the two be crossed: the lookup table of Step 2 classifies an estimate jointly by where it falls on the BF scale and by how wide its interval is, splitting the half-width at its median across the simulation (0.130; interquartile range 0.088 to 0.191) and returning the higher of the two stratum-specific probabilities, so that the verdict is the more conservative of the two readings (eTable 1). The half-width is not a standard error: because the bounds are truncated, it is half the share of the [0, 1] scale that the interval occupies, and near either end of the scale it is attenuated by that truncation.</w:t>
      </w:r>
    </w:p>
    <w:bookmarkEnd w:id="9"/>
    <w:bookmarkStart w:id="10" w:name="X5527de705b38018361576f3f039c5b5918c52ca"/>
    <w:p>
      <w:pPr>
        <w:pStyle w:val="Heading3"/>
      </w:pPr>
      <w:r>
        <w:t xml:space="preserve">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c>
          <w:tcPr/>
          <w:p>
            <w:pPr>
              <w:pStyle w:val="Compact"/>
            </w:pPr>
            <w:r>
              <w:t xml:space="preserve">Justification</w:t>
            </w:r>
          </w:p>
        </w:tc>
        <w:tc>
          <w:tcPr/>
          <w:p>
            <w:pPr>
              <w:pStyle w:val="Compact"/>
            </w:pPr>
            <w:r>
              <w:t xml:space="preserve">Source</w:t>
            </w:r>
          </w:p>
        </w:tc>
      </w:tr>
      <w:tr>
        <w:tc>
          <w:tcPr/>
          <w:p>
            <w:pPr>
              <w:pStyle w:val="Compact"/>
            </w:pPr>
            <w:r>
              <w:t xml:space="preserve">True effect, ψ</w:t>
            </w:r>
          </w:p>
        </w:tc>
        <w:tc>
          <w:tcPr/>
          <w:p>
            <w:pPr>
              <w:pStyle w:val="Compact"/>
            </w:pPr>
            <w:r>
              <w:t xml:space="preserve">10</w:t>
            </w:r>
          </w:p>
        </w:tc>
        <w:tc>
          <w:tcPr/>
          <w:p>
            <w:pPr>
              <w:pStyle w:val="Compact"/>
            </w:pPr>
            <w:r>
              <w:t xml:space="preserve">−0.01 to −0.40</w:t>
            </w:r>
          </w:p>
        </w:tc>
        <w:tc>
          <w:tcPr/>
          <w:p>
            <w:pPr>
              <w:pStyle w:val="Compact"/>
            </w:pPr>
            <w:r>
              <w:t xml:space="preserve">Spans marginal to large protective effects on the log relative-risk scale (RR, 0.99 to 0.67) and brackets the beta-blocker estimate observed in the case study (ln RR, −0.18)</w:t>
            </w:r>
          </w:p>
        </w:tc>
        <w:tc>
          <w:tcPr/>
          <w:p>
            <w:pPr>
              <w:pStyle w:val="Compact"/>
            </w:pPr>
            <w:r>
              <w:t xml:space="preserve">Present case study</w:t>
            </w:r>
          </w:p>
        </w:tc>
      </w:tr>
      <w:tr>
        <w:tc>
          <w:tcPr/>
          <w:p>
            <w:pPr>
              <w:pStyle w:val="Compact"/>
            </w:pPr>
            <w:r>
              <w:t xml:space="preserve">Bias center, μB</w:t>
            </w:r>
          </w:p>
        </w:tc>
        <w:tc>
          <w:tcPr/>
          <w:p>
            <w:pPr>
              <w:pStyle w:val="Compact"/>
            </w:pPr>
            <w:r>
              <w:t xml:space="preserve">8</w:t>
            </w:r>
          </w:p>
        </w:tc>
        <w:tc>
          <w:tcPr/>
          <w:p>
            <w:pPr>
              <w:pStyle w:val="Compact"/>
            </w:pPr>
            <w:r>
              <w:t xml:space="preserve">−0.05 to −0.40</w:t>
            </w:r>
          </w:p>
        </w:tc>
        <w:tc>
          <w:tcPr/>
          <w:p>
            <w:pPr>
              <w:pStyle w:val="Compact"/>
            </w:pPr>
            <w:r>
              <w:t xml:space="preserve">(RR, 0.95 to 0.67). Approaches, without reaching, the healthy-adherer effect reported for adherence-related exposures (odds ratio, 0.56; ln, −0.58) and brackets the empirical null fitted to the case-study panel (μ̂B, −0.19)</w:t>
            </w:r>
          </w:p>
        </w:tc>
        <w:tc>
          <w:tcPr/>
          <w:p>
            <w:pPr>
              <w:pStyle w:val="Compact"/>
            </w:pPr>
            <w:r>
              <w:t xml:space="preserve">Simpson 2006; present case study</w:t>
            </w:r>
          </w:p>
        </w:tc>
      </w:tr>
      <w:tr>
        <w:tc>
          <w:tcPr/>
          <w:p>
            <w:pPr>
              <w:pStyle w:val="Compact"/>
            </w:pPr>
            <w:r>
              <w:t xml:space="preserve">Standard error of the target estimate, σψ</w:t>
            </w:r>
          </w:p>
        </w:tc>
        <w:tc>
          <w:tcPr/>
          <w:p>
            <w:pPr>
              <w:pStyle w:val="Compact"/>
            </w:pPr>
            <w:r>
              <w:t xml:space="preserve">2</w:t>
            </w:r>
          </w:p>
        </w:tc>
        <w:tc>
          <w:tcPr/>
          <w:p>
            <w:pPr>
              <w:pStyle w:val="Compact"/>
            </w:pPr>
            <w:r>
              <w:t xml:space="preserve">0.06, 0.10</w:t>
            </w:r>
          </w:p>
        </w:tc>
        <w:tc>
          <w:tcPr/>
          <w:p>
            <w:pPr>
              <w:pStyle w:val="Compact"/>
            </w:pPr>
            <w:r>
              <w:t xml:space="preserve">Brackets the standard errors of the two case-study estimates (0.056 and 0.068)</w:t>
            </w:r>
          </w:p>
        </w:tc>
        <w:tc>
          <w:tcPr/>
          <w:p>
            <w:pPr>
              <w:pStyle w:val="Compact"/>
            </w:pPr>
            <w:r>
              <w:t xml:space="preserve">Present case study</w:t>
            </w:r>
          </w:p>
        </w:tc>
      </w:tr>
      <w:tr>
        <w:tc>
          <w:tcPr/>
          <w:p>
            <w:pPr>
              <w:pStyle w:val="Compact"/>
            </w:pPr>
            <w:r>
              <w:t xml:space="preserve">Number of negative controls, K</w:t>
            </w:r>
          </w:p>
        </w:tc>
        <w:tc>
          <w:tcPr/>
          <w:p>
            <w:pPr>
              <w:pStyle w:val="Compact"/>
            </w:pPr>
            <w:r>
              <w:t xml:space="preserve">3</w:t>
            </w:r>
          </w:p>
        </w:tc>
        <w:tc>
          <w:tcPr/>
          <w:p>
            <w:pPr>
              <w:pStyle w:val="Compact"/>
            </w:pPr>
            <w:r>
              <w:t xml:space="preserve">12, 25, 50</w:t>
            </w:r>
          </w:p>
        </w:tc>
        <w:tc>
          <w:tcPr/>
          <w:p>
            <w:pPr>
              <w:pStyle w:val="Compact"/>
            </w:pPr>
            <w: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p>
            <w:pPr>
              <w:pStyle w:val="Compact"/>
            </w:pPr>
            <w:r>
              <w:t xml:space="preserve">Present case study; Schuemie 2018</w:t>
            </w:r>
          </w:p>
        </w:tc>
      </w:tr>
      <w:tr>
        <w:tc>
          <w:tcPr/>
          <w:p>
            <w:pPr>
              <w:pStyle w:val="Compact"/>
            </w:pPr>
            <w:r>
              <w:t xml:space="preserve">Exchangeability violation</w:t>
            </w:r>
          </w:p>
        </w:tc>
        <w:tc>
          <w:tcPr/>
          <w:p>
            <w:pPr>
              <w:pStyle w:val="Compact"/>
            </w:pPr>
            <w:r>
              <w:t xml:space="preserve">2</w:t>
            </w:r>
          </w:p>
        </w:tc>
        <w:tc>
          <w:tcPr/>
          <w:p>
            <w:pPr>
              <w:pStyle w:val="Compact"/>
            </w:pPr>
            <w:r>
              <w:t xml:space="preserve">0, 0.3</w:t>
            </w:r>
          </w:p>
        </w:tc>
        <w:tc>
          <w:tcPr/>
          <w:p>
            <w:pPr>
              <w:pStyle w:val="Compact"/>
            </w:pPr>
            <w:r>
              <w:t xml:space="preserve">0 corresponds to an assumption that holds; 0.3 shifts 30% of controls by +0.15 (RR, 1.16), a deliberately arbitrary perturbation chosen to break the assumption rather than to reproduce any empirical estimate</w:t>
            </w:r>
          </w:p>
        </w:tc>
        <w:tc>
          <w:tcPr/>
          <w:p>
            <w:pPr>
              <w:pStyle w:val="Compact"/>
            </w:pPr>
            <w: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0.068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bookmarkEnd w:id="10"/>
    <w:bookmarkEnd w:id="11"/>
    <w:bookmarkStart w:id="12" w:name="etable-1.-full-12-bucket-lookup-table"/>
    <w:p>
      <w:pPr>
        <w:pStyle w:val="Heading2"/>
      </w:pPr>
      <w:r>
        <w:t xml:space="preserve">eTable 1. Full 12-bucket lookup table</w:t>
      </w:r>
    </w:p>
    <w:p>
      <w:pPr>
        <w:pStyle w:val="TableCaption"/>
      </w:pPr>
      <w:r>
        <w:t xml:space="preserve">eTable 1. Twelve-bucket lookup mapping BFhat x interval width to probability of being bias-dominated.</w:t>
      </w:r>
    </w:p>
    <w:tbl>
      <w:tblPr>
        <w:tblStyle w:val="Table"/>
        <w:tblW w:type="pct" w:w="5000"/>
        <w:tblLayout w:type="fixed"/>
        <w:tblLook w:firstRow="1" w:lastRow="0" w:firstColumn="0" w:lastColumn="0" w:noHBand="0" w:noVBand="0" w:val="0020"/>
        <w:tblCaption w:val="eTable 1. Twelve-bucket lookup mapping BFhat x interval width to probability of being bias-dominated."/>
      </w:tblPr>
      <w:tblGrid>
        <w:gridCol w:w="352"/>
        <w:gridCol w:w="880"/>
        <w:gridCol w:w="792"/>
        <w:gridCol w:w="616"/>
        <w:gridCol w:w="968"/>
        <w:gridCol w:w="792"/>
        <w:gridCol w:w="880"/>
        <w:gridCol w:w="2640"/>
      </w:tblGrid>
      <w:tr>
        <w:trPr>
          <w:tblHeader w:val="on"/>
        </w:trPr>
        <w:tc>
          <w:tcPr/>
          <w:p>
            <w:pPr>
              <w:pStyle w:val="Compact"/>
              <w:jc w:val="right"/>
            </w:pPr>
            <w:r>
              <w:t xml:space="preserve">Bin</w:t>
            </w:r>
          </w:p>
        </w:tc>
        <w:tc>
          <w:tcPr/>
          <w:p>
            <w:pPr>
              <w:pStyle w:val="Compact"/>
              <w:jc w:val="right"/>
            </w:pPr>
            <w:r>
              <w:t xml:space="preserve">BF.centre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2"/>
    <w:bookmarkStart w:id="13" w:name="X5ff879952a6b46ec962ba5a26f946412281dc22"/>
    <w:p>
      <w:pPr>
        <w:pStyle w:val="Heading2"/>
      </w:pPr>
      <w:r>
        <w:t xml:space="preserve">eTable 2. Pooled, width-specific, and conservative readings of the lookup</w:t>
      </w:r>
    </w:p>
    <w:p>
      <w:pPr>
        <w:pStyle w:val="TableCaption"/>
      </w:pPr>
      <w:r>
        <w:t xml:space="preserve">eTable 2. Pooled, width-specific, and conservative readings of the lookup.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eTable 2. Pooled, width-specific, and conservative readings of the lookup. Sens ED, share of truly effect-dominated repetitions declared usable; Sens BD, share of truly bias-dominated repetitions withheld."/>
      </w:tblPr>
      <w:tblGrid>
        <w:gridCol w:w="3271"/>
        <w:gridCol w:w="946"/>
        <w:gridCol w:w="1635"/>
        <w:gridCol w:w="1033"/>
        <w:gridCol w:w="1033"/>
      </w:tblGrid>
      <w:tr>
        <w:trPr>
          <w:tblHeader w:val="on"/>
        </w:trPr>
        <w:tc>
          <w:tcPr/>
          <w:p>
            <w:pPr>
              <w:pStyle w:val="Compact"/>
              <w:jc w:val="left"/>
            </w:pPr>
            <w:r>
              <w:t xml:space="preserve">Reading</w:t>
            </w:r>
          </w:p>
        </w:tc>
        <w:tc>
          <w:tcPr/>
          <w:p>
            <w:pPr>
              <w:pStyle w:val="Compact"/>
              <w:jc w:val="left"/>
            </w:pPr>
            <w:r>
              <w:t xml:space="preserve">Misuse….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the maximum within-bin probability gap was 0.128.</w:t>
      </w:r>
    </w:p>
    <w:bookmarkEnd w:id="13"/>
    <w:bookmarkStart w:id="14" w:name="etable-3.-subgroup-robustness"/>
    <w:p>
      <w:pPr>
        <w:pStyle w:val="Heading2"/>
      </w:pPr>
      <w:r>
        <w:t xml:space="preserve">eTable 3. Subgroup robustness</w:t>
      </w:r>
    </w:p>
    <w:p>
      <w:pPr>
        <w:pStyle w:val="TableCaption"/>
      </w:pPr>
      <w:r>
        <w:t xml:space="preserve">eTable 3. Misuse rate across 7 pre-specified subgroups.</w:t>
      </w:r>
    </w:p>
    <w:tbl>
      <w:tblPr>
        <w:tblStyle w:val="Table"/>
        <w:tblW w:type="pct" w:w="5000"/>
        <w:tblLayout w:type="fixed"/>
        <w:tblLook w:firstRow="1" w:lastRow="0" w:firstColumn="0" w:lastColumn="0" w:noHBand="0" w:noVBand="0" w:val="0020"/>
        <w:tblCaption w:val="eTable 3.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14"/>
    <w:bookmarkStart w:id="15" w:name="X7de0a102de60095584938ec17d004bbb0179b20"/>
    <w:p>
      <w:pPr>
        <w:pStyle w:val="Heading2"/>
      </w:pPr>
      <w:r>
        <w:t xml:space="preserve">eTable 4. Case-study sensitivity analyses (question 1)</w:t>
      </w:r>
    </w:p>
    <w:p>
      <w:pPr>
        <w:pStyle w:val="FirstParagraph"/>
      </w:pPr>
      <w:r>
        <w:t xml:space="preserve">Leave-one-out BF̂ ranged 0.891 to 0.990 (falls exclusion 0.984). Super Learner replacement gave BF̂ = 0.901 (0.748 to 0.995), 0.896 (0.753 to 0.995), 0.918 (0.718 to 0.995). Gaussian-process propensity perturbation gave calibrated RR 0.995 to 1.048 and BF̂ 0.801 to 0.976. All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bookmarkEnd w:id="15"/>
    <w:bookmarkStart w:id="16" w:name="Xb939c147084c054354984f78f3cbc3be2b48923"/>
    <w:p>
      <w:pPr>
        <w:pStyle w:val="Heading2"/>
      </w:pPr>
      <w:r>
        <w:t xml:space="preserve">eTable 5. Case-study estimation output for the two clinical questions</w:t>
      </w:r>
    </w:p>
    <w:p>
      <w:pPr>
        <w:pStyle w:val="TableCaption"/>
      </w:pPr>
      <w:r>
        <w:t xml:space="preserve">eTable 5. Full estimation output for the two clinical questions.</w:t>
      </w:r>
    </w:p>
    <w:tbl>
      <w:tblPr>
        <w:tblStyle w:val="Table"/>
        <w:tblW w:type="pct" w:w="5000"/>
        <w:tblLayout w:type="fixed"/>
        <w:tblLook w:firstRow="1" w:lastRow="0" w:firstColumn="0" w:lastColumn="0" w:noHBand="0" w:noVBand="0" w:val="0020"/>
        <w:tblCaption w:val="eTable 5. Full estimation output for the two clinical questions."/>
      </w:tblPr>
      <w:tblGrid>
        <w:gridCol w:w="2172"/>
        <w:gridCol w:w="630"/>
        <w:gridCol w:w="490"/>
        <w:gridCol w:w="490"/>
        <w:gridCol w:w="420"/>
        <w:gridCol w:w="420"/>
        <w:gridCol w:w="420"/>
        <w:gridCol w:w="770"/>
        <w:gridCol w:w="2102"/>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BFhat</w:t>
            </w:r>
          </w:p>
        </w:tc>
        <w:tc>
          <w:tcPr/>
          <w:p>
            <w:pPr>
              <w:pStyle w:val="Compact"/>
              <w:jc w:val="right"/>
            </w:pPr>
            <w:r>
              <w:t xml:space="preserve">BF.lo</w:t>
            </w:r>
          </w:p>
        </w:tc>
        <w:tc>
          <w:tcPr/>
          <w:p>
            <w:pPr>
              <w:pStyle w:val="Compact"/>
              <w:jc w:val="right"/>
            </w:pPr>
            <w:r>
              <w:t xml:space="preserve">BF.hi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1.006</w:t>
            </w:r>
          </w:p>
        </w:tc>
        <w:tc>
          <w:tcPr/>
          <w:p>
            <w:pPr>
              <w:pStyle w:val="Compact"/>
              <w:jc w:val="right"/>
            </w:pPr>
            <w:r>
              <w:t xml:space="preserve">0.9464</w:t>
            </w:r>
          </w:p>
        </w:tc>
        <w:tc>
          <w:tcPr/>
          <w:p>
            <w:pPr>
              <w:pStyle w:val="Compact"/>
              <w:jc w:val="right"/>
            </w:pPr>
            <w:r>
              <w:t xml:space="preserve">0.907</w:t>
            </w:r>
          </w:p>
        </w:tc>
        <w:tc>
          <w:tcPr/>
          <w:p>
            <w:pPr>
              <w:pStyle w:val="Compact"/>
              <w:jc w:val="right"/>
            </w:pPr>
            <w:r>
              <w:t xml:space="preserve">0.739</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0.825</w:t>
            </w:r>
          </w:p>
        </w:tc>
        <w:tc>
          <w:tcPr/>
          <w:p>
            <w:pPr>
              <w:pStyle w:val="Compact"/>
              <w:jc w:val="right"/>
            </w:pPr>
            <w:r>
              <w:t xml:space="preserve">0.0452</w:t>
            </w:r>
          </w:p>
        </w:tc>
        <w:tc>
          <w:tcPr/>
          <w:p>
            <w:pPr>
              <w:pStyle w:val="Compact"/>
              <w:jc w:val="right"/>
            </w:pPr>
            <w:r>
              <w:t xml:space="preserve">0.510</w:t>
            </w:r>
          </w:p>
        </w:tc>
        <w:tc>
          <w:tcPr/>
          <w:p>
            <w:pPr>
              <w:pStyle w:val="Compact"/>
              <w:jc w:val="right"/>
            </w:pPr>
            <w:r>
              <w:t xml:space="preserve">0.356</w:t>
            </w:r>
          </w:p>
        </w:tc>
        <w:tc>
          <w:tcPr/>
          <w:p>
            <w:pPr>
              <w:pStyle w:val="Compact"/>
              <w:jc w:val="right"/>
            </w:pPr>
            <w:r>
              <w:t xml:space="preserve">0.603</w:t>
            </w:r>
          </w:p>
        </w:tc>
        <w:tc>
          <w:tcPr/>
          <w:p>
            <w:pPr>
              <w:pStyle w:val="Compact"/>
              <w:jc w:val="right"/>
            </w:pPr>
            <w:r>
              <w:t xml:space="preserve">0.648</w:t>
            </w:r>
          </w:p>
        </w:tc>
        <w:tc>
          <w:tcPr/>
          <w:p>
            <w:pPr>
              <w:pStyle w:val="Compact"/>
              <w:jc w:val="left"/>
            </w:pPr>
            <w:r>
              <w:t xml:space="preserve">competitive, no verdict</w:t>
            </w:r>
          </w:p>
        </w:tc>
      </w:tr>
    </w:tbl>
    <w:bookmarkEnd w:id="16"/>
    <w:bookmarkStart w:id="17" w:name="X9321697105d23b759dd4277189dbd29d191b507"/>
    <w:p>
      <w:pPr>
        <w:pStyle w:val="Heading2"/>
      </w:pPr>
      <w:r>
        <w:t xml:space="preserve">eTable 6. Negative control outcomes in the case study</w:t>
      </w:r>
    </w:p>
    <w:p>
      <w:pPr>
        <w:pStyle w:val="FirstParagraph"/>
      </w:pPr>
      <w:r>
        <w:t xml:space="preserve">The 12 negative controls were selected from candidate outcomes with no plausible causal effect of the study drugs, verified to occur in at least 50 hospitalizations in MIMIC-IV, and spread across six clinical domains (infection, gastrointestinal, trauma, ophthalmology, rheumatology, and urology). Each control outcome was ascertained from ICD-9 and ICD-10 diagnosis codes in the same cohort and passed through the same estimation pipeline as the target outcome, and the uncalibrated relative risks below were used to fit the empirical null. All controls showed protective or null associations, consistent with the pervasive healthy-adherer effect reported in the main manuscript.</w:t>
      </w:r>
    </w:p>
    <w:p>
      <w:pPr>
        <w:pStyle w:val="TableCaption"/>
      </w:pPr>
      <w:r>
        <w:t xml:space="preserve">eTable 6. The 12 negative control outcomes: code definitions, event counts, and uncalibrated estimates.</w:t>
      </w:r>
    </w:p>
    <w:tbl>
      <w:tblPr>
        <w:tblStyle w:val="Table"/>
        <w:tblW w:type="pct" w:w="5000"/>
        <w:tblLayout w:type="fixed"/>
        <w:tblLook w:firstRow="1" w:lastRow="0" w:firstColumn="0" w:lastColumn="0" w:noHBand="0" w:noVBand="0" w:val="0020"/>
        <w:tblCaption w:val="eTable 6. The 12 negative control outcomes: code definitions, event counts, and uncalibrated estimates."/>
      </w:tblPr>
      <w:tblGrid>
        <w:gridCol w:w="1255"/>
        <w:gridCol w:w="735"/>
        <w:gridCol w:w="2293"/>
        <w:gridCol w:w="1687"/>
        <w:gridCol w:w="519"/>
        <w:gridCol w:w="1081"/>
        <w:gridCol w:w="346"/>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left"/>
            </w:pPr>
            <w:r>
              <w:t xml:space="preserve">ICD-10</w:t>
            </w:r>
          </w:p>
        </w:tc>
        <w:tc>
          <w:tcPr/>
          <w:p>
            <w:pPr>
              <w:pStyle w:val="Compact"/>
              <w:jc w:val="left"/>
            </w:pPr>
            <w:r>
              <w:t xml:space="preserve">ICD-9</w:t>
            </w:r>
          </w:p>
        </w:tc>
        <w:tc>
          <w:tcPr/>
          <w:p>
            <w:pPr>
              <w:pStyle w:val="Compact"/>
              <w:jc w:val="left"/>
            </w:pPr>
            <w:r>
              <w:t xml:space="preserve">Events, No.</w:t>
            </w:r>
          </w:p>
        </w:tc>
        <w:tc>
          <w:tcPr/>
          <w:p>
            <w:pPr>
              <w:pStyle w:val="Compact"/>
              <w:jc w:val="left"/>
            </w:pPr>
            <w:r>
              <w:t xml:space="preserve">Uncalibrated RR (95% CI)</w:t>
            </w:r>
          </w:p>
        </w:tc>
        <w:tc>
          <w:tcPr/>
          <w:p>
            <w:pPr>
              <w:pStyle w:val="Compact"/>
              <w:jc w:val="left"/>
            </w:pPr>
            <w:r>
              <w:t xml:space="preserve">P value</w:t>
            </w:r>
          </w:p>
        </w:tc>
      </w:tr>
      <w:tr>
        <w:tc>
          <w:tcPr/>
          <w:p>
            <w:pPr>
              <w:pStyle w:val="Compact"/>
              <w:jc w:val="left"/>
            </w:pPr>
            <w:r>
              <w:t xml:space="preserve">Infection (combined)</w:t>
            </w:r>
          </w:p>
        </w:tc>
        <w:tc>
          <w:tcPr/>
          <w:p>
            <w:pPr>
              <w:pStyle w:val="Compact"/>
              <w:jc w:val="left"/>
            </w:pPr>
            <w:r>
              <w:t xml:space="preserve">Infection</w:t>
            </w:r>
          </w:p>
        </w:tc>
        <w:tc>
          <w:tcPr/>
          <w:p>
            <w:pPr>
              <w:pStyle w:val="Compact"/>
              <w:jc w:val="left"/>
            </w:pPr>
            <w:r>
              <w:t xml:space="preserve">N30, N39.0, J12-J18, K35-K37, K57, K81, A40-A41, A49</w:t>
            </w:r>
          </w:p>
        </w:tc>
        <w:tc>
          <w:tcPr/>
          <w:p>
            <w:pPr>
              <w:pStyle w:val="Compact"/>
              <w:jc w:val="left"/>
            </w:pPr>
            <w:r>
              <w:t xml:space="preserve">595, 599.0, 480-488, 540-542, 562, 574</w:t>
            </w:r>
          </w:p>
        </w:tc>
        <w:tc>
          <w:tcPr/>
          <w:p>
            <w:pPr>
              <w:pStyle w:val="Compact"/>
              <w:jc w:val="left"/>
            </w:pPr>
            <w:r>
              <w:t xml:space="preserve">4,705</w:t>
            </w:r>
          </w:p>
        </w:tc>
        <w:tc>
          <w:tcPr/>
          <w:p>
            <w:pPr>
              <w:pStyle w:val="Compact"/>
              <w:jc w:val="left"/>
            </w:pPr>
            <w:r>
              <w:t xml:space="preserve">0.81 (0.77-0.85)</w:t>
            </w:r>
          </w:p>
        </w:tc>
        <w:tc>
          <w:tcPr/>
          <w:p>
            <w:pPr>
              <w:pStyle w:val="Compact"/>
              <w:jc w:val="left"/>
            </w:pPr>
            <w:r>
              <w:t xml:space="preserve">&lt;.001</w:t>
            </w:r>
          </w:p>
        </w:tc>
      </w:tr>
      <w:tr>
        <w:tc>
          <w:tcPr/>
          <w:p>
            <w:pPr>
              <w:pStyle w:val="Compact"/>
              <w:jc w:val="left"/>
            </w:pPr>
            <w:r>
              <w:t xml:space="preserve">Gastrointestinal bleeding</w:t>
            </w:r>
          </w:p>
        </w:tc>
        <w:tc>
          <w:tcPr/>
          <w:p>
            <w:pPr>
              <w:pStyle w:val="Compact"/>
              <w:jc w:val="left"/>
            </w:pPr>
            <w:r>
              <w:t xml:space="preserve">Gastrointestinal</w:t>
            </w:r>
          </w:p>
        </w:tc>
        <w:tc>
          <w:tcPr/>
          <w:p>
            <w:pPr>
              <w:pStyle w:val="Compact"/>
              <w:jc w:val="left"/>
            </w:pPr>
            <w:r>
              <w:t xml:space="preserve">K25-K28 (with hemorrhage), K29.0, K62.5, K92.0-K92.2</w:t>
            </w:r>
          </w:p>
        </w:tc>
        <w:tc>
          <w:tcPr/>
          <w:p>
            <w:pPr>
              <w:pStyle w:val="Compact"/>
              <w:jc w:val="left"/>
            </w:pPr>
            <w:r>
              <w:t xml:space="preserve">531-534 (with hemorrhage), 569.3, 578</w:t>
            </w:r>
          </w:p>
        </w:tc>
        <w:tc>
          <w:tcPr/>
          <w:p>
            <w:pPr>
              <w:pStyle w:val="Compact"/>
              <w:jc w:val="left"/>
            </w:pPr>
            <w:r>
              <w:t xml:space="preserve">1,535</w:t>
            </w:r>
          </w:p>
        </w:tc>
        <w:tc>
          <w:tcPr/>
          <w:p>
            <w:pPr>
              <w:pStyle w:val="Compact"/>
              <w:jc w:val="left"/>
            </w:pPr>
            <w:r>
              <w:t xml:space="preserve">0.82 (0.74-0.91)</w:t>
            </w:r>
          </w:p>
        </w:tc>
        <w:tc>
          <w:tcPr/>
          <w:p>
            <w:pPr>
              <w:pStyle w:val="Compact"/>
              <w:jc w:val="left"/>
            </w:pPr>
            <w:r>
              <w:t xml:space="preserve">&lt;.001</w:t>
            </w:r>
          </w:p>
        </w:tc>
      </w:tr>
      <w:tr>
        <w:tc>
          <w:tcPr/>
          <w:p>
            <w:pPr>
              <w:pStyle w:val="Compact"/>
              <w:jc w:val="left"/>
            </w:pPr>
            <w:r>
              <w:t xml:space="preserve">Fall without fracture</w:t>
            </w:r>
          </w:p>
        </w:tc>
        <w:tc>
          <w:tcPr/>
          <w:p>
            <w:pPr>
              <w:pStyle w:val="Compact"/>
              <w:jc w:val="left"/>
            </w:pPr>
            <w:r>
              <w:t xml:space="preserve">Trauma</w:t>
            </w:r>
          </w:p>
        </w:tc>
        <w:tc>
          <w:tcPr/>
          <w:p>
            <w:pPr>
              <w:pStyle w:val="Compact"/>
              <w:jc w:val="left"/>
            </w:pPr>
            <w:r>
              <w:t xml:space="preserve">W00-W19</w:t>
            </w:r>
          </w:p>
        </w:tc>
        <w:tc>
          <w:tcPr/>
          <w:p>
            <w:pPr>
              <w:pStyle w:val="Compact"/>
              <w:jc w:val="left"/>
            </w:pPr>
            <w:r>
              <w:t xml:space="preserve">E880-E889</w:t>
            </w:r>
          </w:p>
        </w:tc>
        <w:tc>
          <w:tcPr/>
          <w:p>
            <w:pPr>
              <w:pStyle w:val="Compact"/>
              <w:jc w:val="left"/>
            </w:pPr>
            <w:r>
              <w:t xml:space="preserve">83</w:t>
            </w:r>
          </w:p>
        </w:tc>
        <w:tc>
          <w:tcPr/>
          <w:p>
            <w:pPr>
              <w:pStyle w:val="Compact"/>
              <w:jc w:val="left"/>
            </w:pPr>
            <w:r>
              <w:t xml:space="preserve">0.66 (0.41-1.08)</w:t>
            </w:r>
          </w:p>
        </w:tc>
        <w:tc>
          <w:tcPr/>
          <w:p>
            <w:pPr>
              <w:pStyle w:val="Compact"/>
              <w:jc w:val="left"/>
            </w:pPr>
            <w:r>
              <w:t xml:space="preserve">.10</w:t>
            </w:r>
          </w:p>
        </w:tc>
      </w:tr>
      <w:tr>
        <w:tc>
          <w:tcPr/>
          <w:p>
            <w:pPr>
              <w:pStyle w:val="Compact"/>
              <w:jc w:val="left"/>
            </w:pPr>
            <w:r>
              <w:t xml:space="preserve">Urinary tract infection</w:t>
            </w:r>
          </w:p>
        </w:tc>
        <w:tc>
          <w:tcPr/>
          <w:p>
            <w:pPr>
              <w:pStyle w:val="Compact"/>
              <w:jc w:val="left"/>
            </w:pPr>
            <w:r>
              <w:t xml:space="preserve">Infection</w:t>
            </w:r>
          </w:p>
        </w:tc>
        <w:tc>
          <w:tcPr/>
          <w:p>
            <w:pPr>
              <w:pStyle w:val="Compact"/>
              <w:jc w:val="left"/>
            </w:pPr>
            <w:r>
              <w:t xml:space="preserve">N10, N12, N15.1, N15.9, N30, N34.0, N39.0, O23.4</w:t>
            </w:r>
          </w:p>
        </w:tc>
        <w:tc>
          <w:tcPr/>
          <w:p>
            <w:pPr>
              <w:pStyle w:val="Compact"/>
              <w:jc w:val="left"/>
            </w:pPr>
            <w:r>
              <w:t xml:space="preserve">590, 595, 599.0</w:t>
            </w:r>
          </w:p>
        </w:tc>
        <w:tc>
          <w:tcPr/>
          <w:p>
            <w:pPr>
              <w:pStyle w:val="Compact"/>
              <w:jc w:val="left"/>
            </w:pPr>
            <w:r>
              <w:t xml:space="preserve">3,620</w:t>
            </w:r>
          </w:p>
        </w:tc>
        <w:tc>
          <w:tcPr/>
          <w:p>
            <w:pPr>
              <w:pStyle w:val="Compact"/>
              <w:jc w:val="left"/>
            </w:pPr>
            <w:r>
              <w:t xml:space="preserve">0.82 (0.77-0.87)</w:t>
            </w:r>
          </w:p>
        </w:tc>
        <w:tc>
          <w:tcPr/>
          <w:p>
            <w:pPr>
              <w:pStyle w:val="Compact"/>
              <w:jc w:val="left"/>
            </w:pPr>
            <w:r>
              <w:t xml:space="preserve">&lt;.001</w:t>
            </w:r>
          </w:p>
        </w:tc>
      </w:tr>
      <w:tr>
        <w:tc>
          <w:tcPr/>
          <w:p>
            <w:pPr>
              <w:pStyle w:val="Compact"/>
              <w:jc w:val="left"/>
            </w:pPr>
            <w:r>
              <w:t xml:space="preserve">Cellulitis</w:t>
            </w:r>
          </w:p>
        </w:tc>
        <w:tc>
          <w:tcPr/>
          <w:p>
            <w:pPr>
              <w:pStyle w:val="Compact"/>
              <w:jc w:val="left"/>
            </w:pPr>
            <w:r>
              <w:t xml:space="preserve">Infection</w:t>
            </w:r>
          </w:p>
        </w:tc>
        <w:tc>
          <w:tcPr/>
          <w:p>
            <w:pPr>
              <w:pStyle w:val="Compact"/>
              <w:jc w:val="left"/>
            </w:pPr>
            <w:r>
              <w:t xml:space="preserve">L03</w:t>
            </w:r>
          </w:p>
        </w:tc>
        <w:tc>
          <w:tcPr/>
          <w:p>
            <w:pPr>
              <w:pStyle w:val="Compact"/>
              <w:jc w:val="left"/>
            </w:pPr>
            <w:r>
              <w:t xml:space="preserve">681, 682</w:t>
            </w:r>
          </w:p>
        </w:tc>
        <w:tc>
          <w:tcPr/>
          <w:p>
            <w:pPr>
              <w:pStyle w:val="Compact"/>
              <w:jc w:val="left"/>
            </w:pPr>
            <w:r>
              <w:t xml:space="preserve">1,339</w:t>
            </w:r>
          </w:p>
        </w:tc>
        <w:tc>
          <w:tcPr/>
          <w:p>
            <w:pPr>
              <w:pStyle w:val="Compact"/>
              <w:jc w:val="left"/>
            </w:pPr>
            <w:r>
              <w:t xml:space="preserve">0.79 (0.71-0.88)</w:t>
            </w:r>
          </w:p>
        </w:tc>
        <w:tc>
          <w:tcPr/>
          <w:p>
            <w:pPr>
              <w:pStyle w:val="Compact"/>
              <w:jc w:val="left"/>
            </w:pPr>
            <w:r>
              <w:t xml:space="preserve">&lt;.001</w:t>
            </w:r>
          </w:p>
        </w:tc>
      </w:tr>
      <w:tr>
        <w:tc>
          <w:tcPr/>
          <w:p>
            <w:pPr>
              <w:pStyle w:val="Compact"/>
              <w:jc w:val="left"/>
            </w:pPr>
            <w:r>
              <w:t xml:space="preserve">Cataract</w:t>
            </w:r>
          </w:p>
        </w:tc>
        <w:tc>
          <w:tcPr/>
          <w:p>
            <w:pPr>
              <w:pStyle w:val="Compact"/>
              <w:jc w:val="left"/>
            </w:pPr>
            <w:r>
              <w:t xml:space="preserve">Ophthalmology</w:t>
            </w:r>
          </w:p>
        </w:tc>
        <w:tc>
          <w:tcPr/>
          <w:p>
            <w:pPr>
              <w:pStyle w:val="Compact"/>
              <w:jc w:val="left"/>
            </w:pPr>
            <w:r>
              <w:t xml:space="preserve">H25-H26</w:t>
            </w:r>
          </w:p>
        </w:tc>
        <w:tc>
          <w:tcPr/>
          <w:p>
            <w:pPr>
              <w:pStyle w:val="Compact"/>
              <w:jc w:val="left"/>
            </w:pPr>
            <w:r>
              <w:t xml:space="preserve">366</w:t>
            </w:r>
          </w:p>
        </w:tc>
        <w:tc>
          <w:tcPr/>
          <w:p>
            <w:pPr>
              <w:pStyle w:val="Compact"/>
              <w:jc w:val="left"/>
            </w:pPr>
            <w:r>
              <w:t xml:space="preserve">317</w:t>
            </w:r>
          </w:p>
        </w:tc>
        <w:tc>
          <w:tcPr/>
          <w:p>
            <w:pPr>
              <w:pStyle w:val="Compact"/>
              <w:jc w:val="left"/>
            </w:pPr>
            <w:r>
              <w:t xml:space="preserve">0.76 (0.60-0.96)</w:t>
            </w:r>
          </w:p>
        </w:tc>
        <w:tc>
          <w:tcPr/>
          <w:p>
            <w:pPr>
              <w:pStyle w:val="Compact"/>
              <w:jc w:val="left"/>
            </w:pPr>
            <w:r>
              <w:t xml:space="preserve">.02</w:t>
            </w:r>
          </w:p>
        </w:tc>
      </w:tr>
      <w:tr>
        <w:tc>
          <w:tcPr/>
          <w:p>
            <w:pPr>
              <w:pStyle w:val="Compact"/>
              <w:jc w:val="left"/>
            </w:pPr>
            <w:r>
              <w:t xml:space="preserve">Osteoarthritis</w:t>
            </w:r>
          </w:p>
        </w:tc>
        <w:tc>
          <w:tcPr/>
          <w:p>
            <w:pPr>
              <w:pStyle w:val="Compact"/>
              <w:jc w:val="left"/>
            </w:pPr>
            <w:r>
              <w:t xml:space="preserve">Rheumatology</w:t>
            </w:r>
          </w:p>
        </w:tc>
        <w:tc>
          <w:tcPr/>
          <w:p>
            <w:pPr>
              <w:pStyle w:val="Compact"/>
              <w:jc w:val="left"/>
            </w:pPr>
            <w:r>
              <w:t xml:space="preserve">M16-M19</w:t>
            </w:r>
          </w:p>
        </w:tc>
        <w:tc>
          <w:tcPr/>
          <w:p>
            <w:pPr>
              <w:pStyle w:val="Compact"/>
              <w:jc w:val="left"/>
            </w:pPr>
            <w:r>
              <w:t xml:space="preserve">715</w:t>
            </w:r>
          </w:p>
        </w:tc>
        <w:tc>
          <w:tcPr/>
          <w:p>
            <w:pPr>
              <w:pStyle w:val="Compact"/>
              <w:jc w:val="left"/>
            </w:pPr>
            <w:r>
              <w:t xml:space="preserve">1,502</w:t>
            </w:r>
          </w:p>
        </w:tc>
        <w:tc>
          <w:tcPr/>
          <w:p>
            <w:pPr>
              <w:pStyle w:val="Compact"/>
              <w:jc w:val="left"/>
            </w:pPr>
            <w:r>
              <w:t xml:space="preserve">0.83 (0.75-0.91)</w:t>
            </w:r>
          </w:p>
        </w:tc>
        <w:tc>
          <w:tcPr/>
          <w:p>
            <w:pPr>
              <w:pStyle w:val="Compact"/>
              <w:jc w:val="left"/>
            </w:pPr>
            <w:r>
              <w:t xml:space="preserve">&lt;.001</w:t>
            </w:r>
          </w:p>
        </w:tc>
      </w:tr>
      <w:tr>
        <w:tc>
          <w:tcPr/>
          <w:p>
            <w:pPr>
              <w:pStyle w:val="Compact"/>
              <w:jc w:val="left"/>
            </w:pPr>
            <w:r>
              <w:t xml:space="preserve">Traffic accident</w:t>
            </w:r>
          </w:p>
        </w:tc>
        <w:tc>
          <w:tcPr/>
          <w:p>
            <w:pPr>
              <w:pStyle w:val="Compact"/>
              <w:jc w:val="left"/>
            </w:pPr>
            <w:r>
              <w:t xml:space="preserve">Trauma</w:t>
            </w:r>
          </w:p>
        </w:tc>
        <w:tc>
          <w:tcPr/>
          <w:p>
            <w:pPr>
              <w:pStyle w:val="Compact"/>
              <w:jc w:val="left"/>
            </w:pPr>
            <w:r>
              <w:t xml:space="preserve">V01-V99</w:t>
            </w:r>
          </w:p>
        </w:tc>
        <w:tc>
          <w:tcPr/>
          <w:p>
            <w:pPr>
              <w:pStyle w:val="Compact"/>
              <w:jc w:val="left"/>
            </w:pPr>
            <w:r>
              <w:t xml:space="preserve">E810-E829</w:t>
            </w:r>
          </w:p>
        </w:tc>
        <w:tc>
          <w:tcPr/>
          <w:p>
            <w:pPr>
              <w:pStyle w:val="Compact"/>
              <w:jc w:val="left"/>
            </w:pPr>
            <w:r>
              <w:t xml:space="preserve">77</w:t>
            </w:r>
          </w:p>
        </w:tc>
        <w:tc>
          <w:tcPr/>
          <w:p>
            <w:pPr>
              <w:pStyle w:val="Compact"/>
              <w:jc w:val="left"/>
            </w:pPr>
            <w:r>
              <w:t xml:space="preserve">0.86 (0.53-1.39)</w:t>
            </w:r>
          </w:p>
        </w:tc>
        <w:tc>
          <w:tcPr/>
          <w:p>
            <w:pPr>
              <w:pStyle w:val="Compact"/>
              <w:jc w:val="left"/>
            </w:pPr>
            <w:r>
              <w:t xml:space="preserve">.53</w:t>
            </w:r>
          </w:p>
        </w:tc>
      </w:tr>
      <w:tr>
        <w:tc>
          <w:tcPr/>
          <w:p>
            <w:pPr>
              <w:pStyle w:val="Compact"/>
              <w:jc w:val="left"/>
            </w:pPr>
            <w:r>
              <w:t xml:space="preserve">Hemorrhoids</w:t>
            </w:r>
          </w:p>
        </w:tc>
        <w:tc>
          <w:tcPr/>
          <w:p>
            <w:pPr>
              <w:pStyle w:val="Compact"/>
              <w:jc w:val="left"/>
            </w:pPr>
            <w:r>
              <w:t xml:space="preserve">Gastrointestinal</w:t>
            </w:r>
          </w:p>
        </w:tc>
        <w:tc>
          <w:tcPr/>
          <w:p>
            <w:pPr>
              <w:pStyle w:val="Compact"/>
              <w:jc w:val="left"/>
            </w:pPr>
            <w:r>
              <w:t xml:space="preserve">K64</w:t>
            </w:r>
          </w:p>
        </w:tc>
        <w:tc>
          <w:tcPr/>
          <w:p>
            <w:pPr>
              <w:pStyle w:val="Compact"/>
              <w:jc w:val="left"/>
            </w:pPr>
            <w:r>
              <w:t xml:space="preserve">455</w:t>
            </w:r>
          </w:p>
        </w:tc>
        <w:tc>
          <w:tcPr/>
          <w:p>
            <w:pPr>
              <w:pStyle w:val="Compact"/>
              <w:jc w:val="left"/>
            </w:pPr>
            <w:r>
              <w:t xml:space="preserve">674</w:t>
            </w:r>
          </w:p>
        </w:tc>
        <w:tc>
          <w:tcPr/>
          <w:p>
            <w:pPr>
              <w:pStyle w:val="Compact"/>
              <w:jc w:val="left"/>
            </w:pPr>
            <w:r>
              <w:t xml:space="preserve">0.70 (0.60-0.83)</w:t>
            </w:r>
          </w:p>
        </w:tc>
        <w:tc>
          <w:tcPr/>
          <w:p>
            <w:pPr>
              <w:pStyle w:val="Compact"/>
              <w:jc w:val="left"/>
            </w:pPr>
            <w:r>
              <w:t xml:space="preserve">&lt;.001</w:t>
            </w:r>
          </w:p>
        </w:tc>
      </w:tr>
      <w:tr>
        <w:tc>
          <w:tcPr/>
          <w:p>
            <w:pPr>
              <w:pStyle w:val="Compact"/>
              <w:jc w:val="left"/>
            </w:pPr>
            <w:r>
              <w:t xml:space="preserve">Benign prostatic hyperplasia</w:t>
            </w:r>
          </w:p>
        </w:tc>
        <w:tc>
          <w:tcPr/>
          <w:p>
            <w:pPr>
              <w:pStyle w:val="Compact"/>
              <w:jc w:val="left"/>
            </w:pPr>
            <w:r>
              <w:t xml:space="preserve">Urology</w:t>
            </w:r>
          </w:p>
        </w:tc>
        <w:tc>
          <w:tcPr/>
          <w:p>
            <w:pPr>
              <w:pStyle w:val="Compact"/>
              <w:jc w:val="left"/>
            </w:pPr>
            <w:r>
              <w:t xml:space="preserve">N40</w:t>
            </w:r>
          </w:p>
        </w:tc>
        <w:tc>
          <w:tcPr/>
          <w:p>
            <w:pPr>
              <w:pStyle w:val="Compact"/>
              <w:jc w:val="left"/>
            </w:pPr>
            <w:r>
              <w:t xml:space="preserve">600</w:t>
            </w:r>
          </w:p>
        </w:tc>
        <w:tc>
          <w:tcPr/>
          <w:p>
            <w:pPr>
              <w:pStyle w:val="Compact"/>
              <w:jc w:val="left"/>
            </w:pPr>
            <w:r>
              <w:t xml:space="preserve">938</w:t>
            </w:r>
          </w:p>
        </w:tc>
        <w:tc>
          <w:tcPr/>
          <w:p>
            <w:pPr>
              <w:pStyle w:val="Compact"/>
              <w:jc w:val="left"/>
            </w:pPr>
            <w:r>
              <w:t xml:space="preserve">0.90 (0.79-1.02)</w:t>
            </w:r>
          </w:p>
        </w:tc>
        <w:tc>
          <w:tcPr/>
          <w:p>
            <w:pPr>
              <w:pStyle w:val="Compact"/>
              <w:jc w:val="left"/>
            </w:pPr>
            <w:r>
              <w:t xml:space="preserve">.11</w:t>
            </w:r>
          </w:p>
        </w:tc>
      </w:tr>
      <w:tr>
        <w:tc>
          <w:tcPr/>
          <w:p>
            <w:pPr>
              <w:pStyle w:val="Compact"/>
              <w:jc w:val="left"/>
            </w:pPr>
            <w:r>
              <w:t xml:space="preserve">Gout</w:t>
            </w:r>
          </w:p>
        </w:tc>
        <w:tc>
          <w:tcPr/>
          <w:p>
            <w:pPr>
              <w:pStyle w:val="Compact"/>
              <w:jc w:val="left"/>
            </w:pPr>
            <w:r>
              <w:t xml:space="preserve">Rheumatology</w:t>
            </w:r>
          </w:p>
        </w:tc>
        <w:tc>
          <w:tcPr/>
          <w:p>
            <w:pPr>
              <w:pStyle w:val="Compact"/>
              <w:jc w:val="left"/>
            </w:pPr>
            <w:r>
              <w:t xml:space="preserve">M10</w:t>
            </w:r>
          </w:p>
        </w:tc>
        <w:tc>
          <w:tcPr/>
          <w:p>
            <w:pPr>
              <w:pStyle w:val="Compact"/>
              <w:jc w:val="left"/>
            </w:pPr>
            <w:r>
              <w:t xml:space="preserve">274</w:t>
            </w:r>
          </w:p>
        </w:tc>
        <w:tc>
          <w:tcPr/>
          <w:p>
            <w:pPr>
              <w:pStyle w:val="Compact"/>
              <w:jc w:val="left"/>
            </w:pPr>
            <w:r>
              <w:t xml:space="preserve">1,847</w:t>
            </w:r>
          </w:p>
        </w:tc>
        <w:tc>
          <w:tcPr/>
          <w:p>
            <w:pPr>
              <w:pStyle w:val="Compact"/>
              <w:jc w:val="left"/>
            </w:pPr>
            <w:r>
              <w:t xml:space="preserve">1.00 (0.91-1.09)</w:t>
            </w:r>
          </w:p>
        </w:tc>
        <w:tc>
          <w:tcPr/>
          <w:p>
            <w:pPr>
              <w:pStyle w:val="Compact"/>
              <w:jc w:val="left"/>
            </w:pPr>
            <w:r>
              <w:t xml:space="preserve">.96</w:t>
            </w:r>
          </w:p>
        </w:tc>
      </w:tr>
      <w:tr>
        <w:tc>
          <w:tcPr/>
          <w:p>
            <w:pPr>
              <w:pStyle w:val="Compact"/>
              <w:jc w:val="left"/>
            </w:pPr>
            <w:r>
              <w:t xml:space="preserve">Tendinitis</w:t>
            </w:r>
          </w:p>
        </w:tc>
        <w:tc>
          <w:tcPr/>
          <w:p>
            <w:pPr>
              <w:pStyle w:val="Compact"/>
              <w:jc w:val="left"/>
            </w:pPr>
            <w:r>
              <w:t xml:space="preserve">Rheumatology</w:t>
            </w:r>
          </w:p>
        </w:tc>
        <w:tc>
          <w:tcPr/>
          <w:p>
            <w:pPr>
              <w:pStyle w:val="Compact"/>
              <w:jc w:val="left"/>
            </w:pPr>
            <w:r>
              <w:t xml:space="preserve">M75-M77</w:t>
            </w:r>
          </w:p>
        </w:tc>
        <w:tc>
          <w:tcPr/>
          <w:p>
            <w:pPr>
              <w:pStyle w:val="Compact"/>
              <w:jc w:val="left"/>
            </w:pPr>
            <w:r>
              <w:t xml:space="preserve">726</w:t>
            </w:r>
          </w:p>
        </w:tc>
        <w:tc>
          <w:tcPr/>
          <w:p>
            <w:pPr>
              <w:pStyle w:val="Compact"/>
              <w:jc w:val="left"/>
            </w:pPr>
            <w:r>
              <w:t xml:space="preserve">58</w:t>
            </w:r>
          </w:p>
        </w:tc>
        <w:tc>
          <w:tcPr/>
          <w:p>
            <w:pPr>
              <w:pStyle w:val="Compact"/>
              <w:jc w:val="left"/>
            </w:pPr>
            <w:r>
              <w:t xml:space="preserve">0.59 (0.33-1.06)</w:t>
            </w:r>
          </w:p>
        </w:tc>
        <w:tc>
          <w:tcPr/>
          <w:p>
            <w:pPr>
              <w:pStyle w:val="Compact"/>
              <w:jc w:val="left"/>
            </w:pPr>
            <w:r>
              <w:t xml:space="preserve">.08</w:t>
            </w:r>
          </w:p>
        </w:tc>
      </w:tr>
    </w:tbl>
    <w:bookmarkEnd w:id="17"/>
    <w:bookmarkStart w:id="18" w:name="Xba5da64610f2002374f85d6c7cd1bbdfacf5c33"/>
    <w:p>
      <w:pPr>
        <w:pStyle w:val="Heading2"/>
      </w:pPr>
      <w:r>
        <w:t xml:space="preserve">eTable 7. Baseline characteristics by guideline-directed medical therapy strategy (question 2)</w:t>
      </w:r>
    </w:p>
    <w:p>
      <w:pPr>
        <w:pStyle w:val="FirstParagraph"/>
      </w:pPr>
      <w:r>
        <w:t xml:space="preserve">This table mirrors Table 3 of the main manuscript (question 1, beta-blocker target dose) but for question 2. The GDMT contrast is binary (received vs not received, per the case-study analysis</w:t>
      </w:r>
      <w:r>
        <w:t xml:space="preserve"> </w:t>
      </w:r>
      <w:r>
        <w:rPr>
          <w:rStyle w:val="VerbatimChar"/>
        </w:rPr>
        <w:t xml:space="preserve">scripts/run_ltmle_gdmt.R</w:t>
      </w:r>
      <w:r>
        <w:t xml:space="preserve">); among the 14,677 eligible patients, 1,744 were optimized and 12,933 were not optimized (the 3,494 patients with missing GDMT score were classified as not optimized, matching the analysis). Of 16 baseline variables, 4 exceeded the conventional 0.10 imbalance threshold before weighting and 1 remained above it after IPTW adjustment with a 16-variable propensity model.</w:t>
      </w:r>
    </w:p>
    <w:p>
      <w:pPr>
        <w:pStyle w:val="TableCaption"/>
      </w:pPr>
      <w:r>
        <w:t xml:space="preserve">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1 remained above it after IPTW adjustment. The GDMT contrast is binary (received vs not received) per the case-study analysis; patients with missing GDMT score were classified as not optimized.</w:t>
      </w:r>
    </w:p>
    <w:tbl>
      <w:tblPr>
        <w:tblStyle w:val="Table"/>
        <w:tblW w:type="pct" w:w="5000"/>
        <w:tblLayout w:type="fixed"/>
        <w:tblLook w:firstRow="1" w:lastRow="0" w:firstColumn="0" w:lastColumn="0" w:noHBand="0" w:noVBand="0" w:val="0020"/>
        <w:tblCaption w:val="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1 remained above it after IPTW adjustment. The GDMT contrast is binary (received vs not received) per the case-study analysis; patients with missing GDMT score were classified as not optimized."/>
      </w:tblPr>
      <w:tblGrid>
        <w:gridCol w:w="2043"/>
        <w:gridCol w:w="1724"/>
        <w:gridCol w:w="2043"/>
        <w:gridCol w:w="958"/>
        <w:gridCol w:w="1149"/>
      </w:tblGrid>
      <w:tr>
        <w:trPr>
          <w:tblHeader w:val="on"/>
        </w:trPr>
        <w:tc>
          <w:tcPr/>
          <w:p>
            <w:pPr>
              <w:pStyle w:val="Compact"/>
              <w:jc w:val="left"/>
            </w:pPr>
            <w:r>
              <w:t xml:space="preserve">Characteristic</w:t>
            </w:r>
          </w:p>
        </w:tc>
        <w:tc>
          <w:tcPr/>
          <w:p>
            <w:pPr>
              <w:pStyle w:val="Compact"/>
              <w:jc w:val="left"/>
            </w:pPr>
            <w:r>
              <w:t xml:space="preserve">Optimized.GDMT..n…1.744.</w:t>
            </w:r>
          </w:p>
        </w:tc>
        <w:tc>
          <w:tcPr/>
          <w:p>
            <w:pPr>
              <w:pStyle w:val="Compact"/>
              <w:jc w:val="left"/>
            </w:pPr>
            <w:r>
              <w:t xml:space="preserve">Not.optimized.GDMT..n…12.933.</w:t>
            </w:r>
          </w:p>
        </w:tc>
        <w:tc>
          <w:tcPr/>
          <w:p>
            <w:pPr>
              <w:pStyle w:val="Compact"/>
              <w:jc w:val="left"/>
            </w:pPr>
            <w:r>
              <w:t xml:space="preserve">Unadjusted.SMD</w:t>
            </w:r>
          </w:p>
        </w:tc>
        <w:tc>
          <w:tcPr/>
          <w:p>
            <w:pPr>
              <w:pStyle w:val="Compact"/>
              <w:jc w:val="left"/>
            </w:pPr>
            <w:r>
              <w:t xml:space="preserve">IPTW.adjusted.SMD</w:t>
            </w:r>
          </w:p>
        </w:tc>
      </w:tr>
      <w:tr>
        <w:tc>
          <w:tcPr/>
          <w:p>
            <w:pPr>
              <w:pStyle w:val="Compact"/>
              <w:jc w:val="left"/>
            </w:pPr>
            <w:r>
              <w:t xml:space="preserve">Age, mean (SD), y</w:t>
            </w:r>
          </w:p>
        </w:tc>
        <w:tc>
          <w:tcPr/>
          <w:p>
            <w:pPr>
              <w:pStyle w:val="Compact"/>
              <w:jc w:val="left"/>
            </w:pPr>
            <w:r>
              <w:t xml:space="preserve">70.5 (12.8)</w:t>
            </w:r>
          </w:p>
        </w:tc>
        <w:tc>
          <w:tcPr/>
          <w:p>
            <w:pPr>
              <w:pStyle w:val="Compact"/>
              <w:jc w:val="left"/>
            </w:pPr>
            <w:r>
              <w:t xml:space="preserve">71.4 (13.7)</w:t>
            </w:r>
          </w:p>
        </w:tc>
        <w:tc>
          <w:tcPr/>
          <w:p>
            <w:pPr>
              <w:pStyle w:val="Compact"/>
              <w:jc w:val="left"/>
            </w:pPr>
            <w:r>
              <w:t xml:space="preserve">-0.065</w:t>
            </w:r>
          </w:p>
        </w:tc>
        <w:tc>
          <w:tcPr/>
          <w:p>
            <w:pPr>
              <w:pStyle w:val="Compact"/>
              <w:jc w:val="left"/>
            </w:pPr>
            <w:r>
              <w:t xml:space="preserve">-0.000</w:t>
            </w:r>
          </w:p>
        </w:tc>
      </w:tr>
      <w:tr>
        <w:tc>
          <w:tcPr/>
          <w:p>
            <w:pPr>
              <w:pStyle w:val="Compact"/>
              <w:jc w:val="left"/>
            </w:pPr>
            <w:r>
              <w:t xml:space="preserve">Heart rate, mean (SD), bpm</w:t>
            </w:r>
          </w:p>
        </w:tc>
        <w:tc>
          <w:tcPr/>
          <w:p>
            <w:pPr>
              <w:pStyle w:val="Compact"/>
              <w:jc w:val="left"/>
            </w:pPr>
            <w:r>
              <w:t xml:space="preserve">79.0 (18.0)</w:t>
            </w:r>
          </w:p>
        </w:tc>
        <w:tc>
          <w:tcPr/>
          <w:p>
            <w:pPr>
              <w:pStyle w:val="Compact"/>
              <w:jc w:val="left"/>
            </w:pPr>
            <w:r>
              <w:t xml:space="preserve">80.0 (18.2)</w:t>
            </w:r>
          </w:p>
        </w:tc>
        <w:tc>
          <w:tcPr/>
          <w:p>
            <w:pPr>
              <w:pStyle w:val="Compact"/>
              <w:jc w:val="left"/>
            </w:pPr>
            <w:r>
              <w:t xml:space="preserve">-0.055</w:t>
            </w:r>
          </w:p>
        </w:tc>
        <w:tc>
          <w:tcPr/>
          <w:p>
            <w:pPr>
              <w:pStyle w:val="Compact"/>
              <w:jc w:val="left"/>
            </w:pPr>
            <w:r>
              <w:t xml:space="preserve">-0.017</w:t>
            </w:r>
          </w:p>
        </w:tc>
      </w:tr>
      <w:tr>
        <w:tc>
          <w:tcPr/>
          <w:p>
            <w:pPr>
              <w:pStyle w:val="Compact"/>
              <w:jc w:val="left"/>
            </w:pPr>
            <w:r>
              <w:t xml:space="preserve">QRS duration, mean (SD), ms</w:t>
            </w:r>
          </w:p>
        </w:tc>
        <w:tc>
          <w:tcPr/>
          <w:p>
            <w:pPr>
              <w:pStyle w:val="Compact"/>
              <w:jc w:val="left"/>
            </w:pPr>
            <w:r>
              <w:t xml:space="preserve">108.8 (25.9)</w:t>
            </w:r>
          </w:p>
        </w:tc>
        <w:tc>
          <w:tcPr/>
          <w:p>
            <w:pPr>
              <w:pStyle w:val="Compact"/>
              <w:jc w:val="left"/>
            </w:pPr>
            <w:r>
              <w:t xml:space="preserve">106.5 (25.5)</w:t>
            </w:r>
          </w:p>
        </w:tc>
        <w:tc>
          <w:tcPr/>
          <w:p>
            <w:pPr>
              <w:pStyle w:val="Compact"/>
              <w:jc w:val="left"/>
            </w:pPr>
            <w:r>
              <w:t xml:space="preserve">0.090</w:t>
            </w:r>
          </w:p>
        </w:tc>
        <w:tc>
          <w:tcPr/>
          <w:p>
            <w:pPr>
              <w:pStyle w:val="Compact"/>
              <w:jc w:val="left"/>
            </w:pPr>
            <w:r>
              <w:t xml:space="preserve">-0.013</w:t>
            </w:r>
          </w:p>
        </w:tc>
      </w:tr>
      <w:tr>
        <w:tc>
          <w:tcPr/>
          <w:p>
            <w:pPr>
              <w:pStyle w:val="Compact"/>
              <w:jc w:val="left"/>
            </w:pPr>
            <w:r>
              <w:t xml:space="preserve">QTc interval, mean (SD), ms</w:t>
            </w:r>
          </w:p>
        </w:tc>
        <w:tc>
          <w:tcPr/>
          <w:p>
            <w:pPr>
              <w:pStyle w:val="Compact"/>
              <w:jc w:val="left"/>
            </w:pPr>
            <w:r>
              <w:t xml:space="preserve">461.5 (29.2)</w:t>
            </w:r>
          </w:p>
        </w:tc>
        <w:tc>
          <w:tcPr/>
          <w:p>
            <w:pPr>
              <w:pStyle w:val="Compact"/>
              <w:jc w:val="left"/>
            </w:pPr>
            <w:r>
              <w:t xml:space="preserve">458.4 (29.7)</w:t>
            </w:r>
          </w:p>
        </w:tc>
        <w:tc>
          <w:tcPr/>
          <w:p>
            <w:pPr>
              <w:pStyle w:val="Compact"/>
              <w:jc w:val="left"/>
            </w:pPr>
            <w:r>
              <w:t xml:space="preserve">0.107</w:t>
            </w:r>
          </w:p>
        </w:tc>
        <w:tc>
          <w:tcPr/>
          <w:p>
            <w:pPr>
              <w:pStyle w:val="Compact"/>
              <w:jc w:val="left"/>
            </w:pPr>
            <w:r>
              <w:t xml:space="preserve">-0.015</w:t>
            </w:r>
          </w:p>
        </w:tc>
      </w:tr>
      <w:tr>
        <w:tc>
          <w:tcPr/>
          <w:p>
            <w:pPr>
              <w:pStyle w:val="Compact"/>
              <w:jc w:val="left"/>
            </w:pPr>
            <w:r>
              <w:t xml:space="preserve">Creatinine, mean (SD), mg/dL</w:t>
            </w:r>
          </w:p>
        </w:tc>
        <w:tc>
          <w:tcPr/>
          <w:p>
            <w:pPr>
              <w:pStyle w:val="Compact"/>
              <w:jc w:val="left"/>
            </w:pPr>
            <w:r>
              <w:t xml:space="preserve">1.3 (1.1)</w:t>
            </w:r>
          </w:p>
        </w:tc>
        <w:tc>
          <w:tcPr/>
          <w:p>
            <w:pPr>
              <w:pStyle w:val="Compact"/>
              <w:jc w:val="left"/>
            </w:pPr>
            <w:r>
              <w:t xml:space="preserve">1.5 (1.5)</w:t>
            </w:r>
          </w:p>
        </w:tc>
        <w:tc>
          <w:tcPr/>
          <w:p>
            <w:pPr>
              <w:pStyle w:val="Compact"/>
              <w:jc w:val="left"/>
            </w:pPr>
            <w:r>
              <w:t xml:space="preserve">-0.151</w:t>
            </w:r>
          </w:p>
        </w:tc>
        <w:tc>
          <w:tcPr/>
          <w:p>
            <w:pPr>
              <w:pStyle w:val="Compact"/>
              <w:jc w:val="left"/>
            </w:pPr>
            <w:r>
              <w:t xml:space="preserve">0.091</w:t>
            </w:r>
          </w:p>
        </w:tc>
      </w:tr>
      <w:tr>
        <w:tc>
          <w:tcPr/>
          <w:p>
            <w:pPr>
              <w:pStyle w:val="Compact"/>
              <w:jc w:val="left"/>
            </w:pPr>
            <w:r>
              <w:t xml:space="preserve">eGFR, mean (SD), mL/min/1.73m^2</w:t>
            </w:r>
          </w:p>
        </w:tc>
        <w:tc>
          <w:tcPr/>
          <w:p>
            <w:pPr>
              <w:pStyle w:val="Compact"/>
              <w:jc w:val="left"/>
            </w:pPr>
            <w:r>
              <w:t xml:space="preserve">61.7 (24.6)</w:t>
            </w:r>
          </w:p>
        </w:tc>
        <w:tc>
          <w:tcPr/>
          <w:p>
            <w:pPr>
              <w:pStyle w:val="Compact"/>
              <w:jc w:val="left"/>
            </w:pPr>
            <w:r>
              <w:t xml:space="preserve">59.7 (28.8)</w:t>
            </w:r>
          </w:p>
        </w:tc>
        <w:tc>
          <w:tcPr/>
          <w:p>
            <w:pPr>
              <w:pStyle w:val="Compact"/>
              <w:jc w:val="left"/>
            </w:pPr>
            <w:r>
              <w:t xml:space="preserve">0.077</w:t>
            </w:r>
          </w:p>
        </w:tc>
        <w:tc>
          <w:tcPr/>
          <w:p>
            <w:pPr>
              <w:pStyle w:val="Compact"/>
              <w:jc w:val="left"/>
            </w:pPr>
            <w:r>
              <w:t xml:space="preserve">-0.037</w:t>
            </w:r>
          </w:p>
        </w:tc>
      </w:tr>
      <w:tr>
        <w:tc>
          <w:tcPr/>
          <w:p>
            <w:pPr>
              <w:pStyle w:val="Compact"/>
              <w:jc w:val="left"/>
            </w:pPr>
            <w:r>
              <w:t xml:space="preserve">Hemoglobin, mean (SD), g/dL</w:t>
            </w:r>
          </w:p>
        </w:tc>
        <w:tc>
          <w:tcPr/>
          <w:p>
            <w:pPr>
              <w:pStyle w:val="Compact"/>
              <w:jc w:val="left"/>
            </w:pPr>
            <w:r>
              <w:t xml:space="preserve">11.3 (1.8)</w:t>
            </w:r>
          </w:p>
        </w:tc>
        <w:tc>
          <w:tcPr/>
          <w:p>
            <w:pPr>
              <w:pStyle w:val="Compact"/>
              <w:jc w:val="left"/>
            </w:pPr>
            <w:r>
              <w:t xml:space="preserve">10.7 (1.9)</w:t>
            </w:r>
          </w:p>
        </w:tc>
        <w:tc>
          <w:tcPr/>
          <w:p>
            <w:pPr>
              <w:pStyle w:val="Compact"/>
              <w:jc w:val="left"/>
            </w:pPr>
            <w:r>
              <w:t xml:space="preserve">0.293</w:t>
            </w:r>
          </w:p>
        </w:tc>
        <w:tc>
          <w:tcPr/>
          <w:p>
            <w:pPr>
              <w:pStyle w:val="Compact"/>
              <w:jc w:val="left"/>
            </w:pPr>
            <w:r>
              <w:t xml:space="preserve">0.017</w:t>
            </w:r>
          </w:p>
        </w:tc>
      </w:tr>
      <w:tr>
        <w:tc>
          <w:tcPr/>
          <w:p>
            <w:pPr>
              <w:pStyle w:val="Compact"/>
              <w:jc w:val="left"/>
            </w:pPr>
            <w:r>
              <w:t xml:space="preserve">Sodium, mean (SD), mEq/L</w:t>
            </w:r>
          </w:p>
        </w:tc>
        <w:tc>
          <w:tcPr/>
          <w:p>
            <w:pPr>
              <w:pStyle w:val="Compact"/>
              <w:jc w:val="left"/>
            </w:pPr>
            <w:r>
              <w:t xml:space="preserve">111.4 (2.1)</w:t>
            </w:r>
          </w:p>
        </w:tc>
        <w:tc>
          <w:tcPr/>
          <w:p>
            <w:pPr>
              <w:pStyle w:val="Compact"/>
              <w:jc w:val="left"/>
            </w:pPr>
            <w:r>
              <w:t xml:space="preserve">112.0 (2.3)</w:t>
            </w:r>
          </w:p>
        </w:tc>
        <w:tc>
          <w:tcPr/>
          <w:p>
            <w:pPr>
              <w:pStyle w:val="Compact"/>
              <w:jc w:val="left"/>
            </w:pPr>
            <w:r>
              <w:t xml:space="preserve">-0.260</w:t>
            </w:r>
          </w:p>
        </w:tc>
        <w:tc>
          <w:tcPr/>
          <w:p>
            <w:pPr>
              <w:pStyle w:val="Compact"/>
              <w:jc w:val="left"/>
            </w:pPr>
            <w:r>
              <w:t xml:space="preserve">0.331</w:t>
            </w:r>
          </w:p>
        </w:tc>
      </w:tr>
      <w:tr>
        <w:tc>
          <w:tcPr/>
          <w:p>
            <w:pPr>
              <w:pStyle w:val="Compact"/>
              <w:jc w:val="left"/>
            </w:pPr>
            <w:r>
              <w:t xml:space="preserve">Potassium, mean (SD), mEq/L</w:t>
            </w:r>
          </w:p>
        </w:tc>
        <w:tc>
          <w:tcPr/>
          <w:p>
            <w:pPr>
              <w:pStyle w:val="Compact"/>
              <w:jc w:val="left"/>
            </w:pPr>
            <w:r>
              <w:t xml:space="preserve">4.2 (0.6)</w:t>
            </w:r>
          </w:p>
        </w:tc>
        <w:tc>
          <w:tcPr/>
          <w:p>
            <w:pPr>
              <w:pStyle w:val="Compact"/>
              <w:jc w:val="left"/>
            </w:pPr>
            <w:r>
              <w:t xml:space="preserve">4.2 (0.6)</w:t>
            </w:r>
          </w:p>
        </w:tc>
        <w:tc>
          <w:tcPr/>
          <w:p>
            <w:pPr>
              <w:pStyle w:val="Compact"/>
              <w:jc w:val="left"/>
            </w:pPr>
            <w:r>
              <w:t xml:space="preserve">-0.043</w:t>
            </w:r>
          </w:p>
        </w:tc>
        <w:tc>
          <w:tcPr/>
          <w:p>
            <w:pPr>
              <w:pStyle w:val="Compact"/>
              <w:jc w:val="left"/>
            </w:pPr>
            <w:r>
              <w:t xml:space="preserve">-0.025</w:t>
            </w:r>
          </w:p>
        </w:tc>
      </w:tr>
      <w:tr>
        <w:tc>
          <w:tcPr/>
          <w:p>
            <w:pPr>
              <w:pStyle w:val="Compact"/>
              <w:jc w:val="left"/>
            </w:pPr>
            <w:r>
              <w:t xml:space="preserve">Female, n (%)</w:t>
            </w:r>
          </w:p>
        </w:tc>
        <w:tc>
          <w:tcPr/>
          <w:p>
            <w:pPr>
              <w:pStyle w:val="Compact"/>
              <w:jc w:val="left"/>
            </w:pPr>
            <w:r>
              <w:t xml:space="preserve">752 (43.1%)</w:t>
            </w:r>
          </w:p>
        </w:tc>
        <w:tc>
          <w:tcPr/>
          <w:p>
            <w:pPr>
              <w:pStyle w:val="Compact"/>
              <w:jc w:val="left"/>
            </w:pPr>
            <w:r>
              <w:t xml:space="preserve">5950 (46.0%)</w:t>
            </w:r>
          </w:p>
        </w:tc>
        <w:tc>
          <w:tcPr/>
          <w:p>
            <w:pPr>
              <w:pStyle w:val="Compact"/>
              <w:jc w:val="left"/>
            </w:pPr>
            <w:r>
              <w:t xml:space="preserve">-0.058</w:t>
            </w:r>
          </w:p>
        </w:tc>
        <w:tc>
          <w:tcPr/>
          <w:p>
            <w:pPr>
              <w:pStyle w:val="Compact"/>
              <w:jc w:val="left"/>
            </w:pPr>
            <w:r>
              <w:t xml:space="preserve">0.003</w:t>
            </w:r>
          </w:p>
        </w:tc>
      </w:tr>
      <w:tr>
        <w:tc>
          <w:tcPr/>
          <w:p>
            <w:pPr>
              <w:pStyle w:val="Compact"/>
              <w:jc w:val="left"/>
            </w:pPr>
            <w:r>
              <w:t xml:space="preserve">Atrial fibrillation, n (%)</w:t>
            </w:r>
          </w:p>
        </w:tc>
        <w:tc>
          <w:tcPr/>
          <w:p>
            <w:pPr>
              <w:pStyle w:val="Compact"/>
              <w:jc w:val="left"/>
            </w:pPr>
            <w:r>
              <w:t xml:space="preserve">598 (34.3%)</w:t>
            </w:r>
          </w:p>
        </w:tc>
        <w:tc>
          <w:tcPr/>
          <w:p>
            <w:pPr>
              <w:pStyle w:val="Compact"/>
              <w:jc w:val="left"/>
            </w:pPr>
            <w:r>
              <w:t xml:space="preserve">4238 (32.8%)</w:t>
            </w:r>
          </w:p>
        </w:tc>
        <w:tc>
          <w:tcPr/>
          <w:p>
            <w:pPr>
              <w:pStyle w:val="Compact"/>
              <w:jc w:val="left"/>
            </w:pPr>
            <w:r>
              <w:t xml:space="preserve">0.032</w:t>
            </w:r>
          </w:p>
        </w:tc>
        <w:tc>
          <w:tcPr/>
          <w:p>
            <w:pPr>
              <w:pStyle w:val="Compact"/>
              <w:jc w:val="left"/>
            </w:pPr>
            <w:r>
              <w:t xml:space="preserve">-0.019</w:t>
            </w:r>
          </w:p>
        </w:tc>
      </w:tr>
      <w:tr>
        <w:tc>
          <w:tcPr/>
          <w:p>
            <w:pPr>
              <w:pStyle w:val="Compact"/>
              <w:jc w:val="left"/>
            </w:pPr>
            <w:r>
              <w:t xml:space="preserve">Left bundle branch block, n (%)</w:t>
            </w:r>
          </w:p>
        </w:tc>
        <w:tc>
          <w:tcPr/>
          <w:p>
            <w:pPr>
              <w:pStyle w:val="Compact"/>
              <w:jc w:val="left"/>
            </w:pPr>
            <w:r>
              <w:t xml:space="preserve">149 (8.5%)</w:t>
            </w:r>
          </w:p>
        </w:tc>
        <w:tc>
          <w:tcPr/>
          <w:p>
            <w:pPr>
              <w:pStyle w:val="Compact"/>
              <w:jc w:val="left"/>
            </w:pPr>
            <w:r>
              <w:t xml:space="preserve">911 (7.0%)</w:t>
            </w:r>
          </w:p>
        </w:tc>
        <w:tc>
          <w:tcPr/>
          <w:p>
            <w:pPr>
              <w:pStyle w:val="Compact"/>
              <w:jc w:val="left"/>
            </w:pPr>
            <w:r>
              <w:t xml:space="preserve">0.056</w:t>
            </w:r>
          </w:p>
        </w:tc>
        <w:tc>
          <w:tcPr/>
          <w:p>
            <w:pPr>
              <w:pStyle w:val="Compact"/>
              <w:jc w:val="left"/>
            </w:pPr>
            <w:r>
              <w:t xml:space="preserve">-0.000</w:t>
            </w:r>
          </w:p>
        </w:tc>
      </w:tr>
      <w:tr>
        <w:tc>
          <w:tcPr/>
          <w:p>
            <w:pPr>
              <w:pStyle w:val="Compact"/>
              <w:jc w:val="left"/>
            </w:pPr>
            <w:r>
              <w:t xml:space="preserve">Prolonged QTc, n (%)</w:t>
            </w:r>
          </w:p>
        </w:tc>
        <w:tc>
          <w:tcPr/>
          <w:p>
            <w:pPr>
              <w:pStyle w:val="Compact"/>
              <w:jc w:val="left"/>
            </w:pPr>
            <w:r>
              <w:t xml:space="preserve">745 (42.7%)</w:t>
            </w:r>
          </w:p>
        </w:tc>
        <w:tc>
          <w:tcPr/>
          <w:p>
            <w:pPr>
              <w:pStyle w:val="Compact"/>
              <w:jc w:val="left"/>
            </w:pPr>
            <w:r>
              <w:t xml:space="preserve">4915 (38.0%)</w:t>
            </w:r>
          </w:p>
        </w:tc>
        <w:tc>
          <w:tcPr/>
          <w:p>
            <w:pPr>
              <w:pStyle w:val="Compact"/>
              <w:jc w:val="left"/>
            </w:pPr>
            <w:r>
              <w:t xml:space="preserve">0.096</w:t>
            </w:r>
          </w:p>
        </w:tc>
        <w:tc>
          <w:tcPr/>
          <w:p>
            <w:pPr>
              <w:pStyle w:val="Compact"/>
              <w:jc w:val="left"/>
            </w:pPr>
            <w:r>
              <w:t xml:space="preserve">-0.022</w:t>
            </w:r>
          </w:p>
        </w:tc>
      </w:tr>
      <w:tr>
        <w:tc>
          <w:tcPr/>
          <w:p>
            <w:pPr>
              <w:pStyle w:val="Compact"/>
              <w:jc w:val="left"/>
            </w:pPr>
            <w:r>
              <w:t xml:space="preserve">Wide QRS (&gt;=120 ms), n (%)</w:t>
            </w:r>
          </w:p>
        </w:tc>
        <w:tc>
          <w:tcPr/>
          <w:p>
            <w:pPr>
              <w:pStyle w:val="Compact"/>
              <w:jc w:val="left"/>
            </w:pPr>
            <w:r>
              <w:t xml:space="preserve">476 (27.3%)</w:t>
            </w:r>
          </w:p>
        </w:tc>
        <w:tc>
          <w:tcPr/>
          <w:p>
            <w:pPr>
              <w:pStyle w:val="Compact"/>
              <w:jc w:val="left"/>
            </w:pPr>
            <w:r>
              <w:t xml:space="preserve">3330 (25.8%)</w:t>
            </w:r>
          </w:p>
        </w:tc>
        <w:tc>
          <w:tcPr/>
          <w:p>
            <w:pPr>
              <w:pStyle w:val="Compact"/>
              <w:jc w:val="left"/>
            </w:pPr>
            <w:r>
              <w:t xml:space="preserve">0.035</w:t>
            </w:r>
          </w:p>
        </w:tc>
        <w:tc>
          <w:tcPr/>
          <w:p>
            <w:pPr>
              <w:pStyle w:val="Compact"/>
              <w:jc w:val="left"/>
            </w:pPr>
            <w:r>
              <w:t xml:space="preserve">-0.010</w:t>
            </w:r>
          </w:p>
        </w:tc>
      </w:tr>
      <w:tr>
        <w:tc>
          <w:tcPr/>
          <w:p>
            <w:pPr>
              <w:pStyle w:val="Compact"/>
              <w:jc w:val="left"/>
            </w:pPr>
            <w:r>
              <w:t xml:space="preserve">eGFR &lt;60 mL/min/1.73m^2, n (%)</w:t>
            </w:r>
          </w:p>
        </w:tc>
        <w:tc>
          <w:tcPr/>
          <w:p>
            <w:pPr>
              <w:pStyle w:val="Compact"/>
              <w:jc w:val="left"/>
            </w:pPr>
            <w:r>
              <w:t xml:space="preserve">827 (47.9%)</w:t>
            </w:r>
          </w:p>
        </w:tc>
        <w:tc>
          <w:tcPr/>
          <w:p>
            <w:pPr>
              <w:pStyle w:val="Compact"/>
              <w:jc w:val="left"/>
            </w:pPr>
            <w:r>
              <w:t xml:space="preserve">6329 (50.8%)</w:t>
            </w:r>
          </w:p>
        </w:tc>
        <w:tc>
          <w:tcPr/>
          <w:p>
            <w:pPr>
              <w:pStyle w:val="Compact"/>
              <w:jc w:val="left"/>
            </w:pPr>
            <w:r>
              <w:t xml:space="preserve">-0.058</w:t>
            </w:r>
          </w:p>
        </w:tc>
        <w:tc>
          <w:tcPr/>
          <w:p>
            <w:pPr>
              <w:pStyle w:val="Compact"/>
              <w:jc w:val="left"/>
            </w:pPr>
            <w:r>
              <w:t xml:space="preserve">0.043</w:t>
            </w:r>
          </w:p>
        </w:tc>
      </w:tr>
      <w:tr>
        <w:tc>
          <w:tcPr/>
          <w:p>
            <w:pPr>
              <w:pStyle w:val="Compact"/>
              <w:jc w:val="left"/>
            </w:pPr>
            <w:r>
              <w:t xml:space="preserve">Age &gt;=75 y, n (%)</w:t>
            </w:r>
          </w:p>
        </w:tc>
        <w:tc>
          <w:tcPr/>
          <w:p>
            <w:pPr>
              <w:pStyle w:val="Compact"/>
              <w:jc w:val="left"/>
            </w:pPr>
            <w:r>
              <w:t xml:space="preserve">725 (41.6%)</w:t>
            </w:r>
          </w:p>
        </w:tc>
        <w:tc>
          <w:tcPr/>
          <w:p>
            <w:pPr>
              <w:pStyle w:val="Compact"/>
              <w:jc w:val="left"/>
            </w:pPr>
            <w:r>
              <w:t xml:space="preserve">5954 (46.0%)</w:t>
            </w:r>
          </w:p>
        </w:tc>
        <w:tc>
          <w:tcPr/>
          <w:p>
            <w:pPr>
              <w:pStyle w:val="Compact"/>
              <w:jc w:val="left"/>
            </w:pPr>
            <w:r>
              <w:t xml:space="preserve">-0.090</w:t>
            </w:r>
          </w:p>
        </w:tc>
        <w:tc>
          <w:tcPr/>
          <w:p>
            <w:pPr>
              <w:pStyle w:val="Compact"/>
              <w:jc w:val="left"/>
            </w:pPr>
            <w:r>
              <w:t xml:space="preserve">0.002</w:t>
            </w:r>
          </w:p>
        </w:tc>
      </w:tr>
    </w:tbl>
    <w:bookmarkEnd w:id="18"/>
    <w:bookmarkStart w:id="19" w:name="efigures"/>
    <w:p>
      <w:pPr>
        <w:pStyle w:val="Heading2"/>
      </w:pPr>
      <w:r>
        <w:t xml:space="preserve">eFigures</w:t>
      </w:r>
    </w:p>
    <w:p>
      <w:pPr>
        <w:pStyle w:val="FirstParagraph"/>
      </w:pPr>
      <w:r>
        <w:t xml:space="preserve">The companion interactive explainer (manuscript repository) provides all figures: the argument chain (architectural diagram), the empirical null with 12 negative controls, CI coverage, the Bland-Altman agreement, the BF distribution ribbon, the two-layer dual heatmaps, the calibration curve, the cascade, the ROC, the 3 by 3 confusion, the decision flow, and the two case cards. Every figure is generated from the same JSON used here.</w:t>
      </w:r>
    </w:p>
    <w:bookmarkEnd w:id="19"/>
    <w:bookmarkStart w:id="20" w:name="references"/>
    <w:p>
      <w:pPr>
        <w:pStyle w:val="Heading2"/>
      </w:pPr>
      <w:r>
        <w:t xml:space="preserve">References</w:t>
      </w:r>
    </w:p>
    <w:p>
      <w:pPr>
        <w:pStyle w:val="Compact"/>
        <w:numPr>
          <w:ilvl w:val="0"/>
          <w:numId w:val="1001"/>
        </w:numPr>
      </w:pPr>
      <w:r>
        <w:t xml:space="preserve">Efron B, Tibshirani RJ. An Introduction to the Bootstrap. Chapman &amp; Hall; 1993.</w:t>
      </w:r>
    </w:p>
    <w:p>
      <w:pPr>
        <w:pStyle w:val="Compact"/>
        <w:numPr>
          <w:ilvl w:val="0"/>
          <w:numId w:val="1001"/>
        </w:numPr>
      </w:pPr>
      <w:r>
        <w:t xml:space="preserve">Rubin DB. The Bayesian Bootstrap. Ann Stat. 1981;9(1):130-134. doi:10.1214/aos/1176345338</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for ‘Quantifying Bias in Observational Causal Estimates Using Negative Controls: The Bias Fraction’</dc:title>
  <dc:creator>Zeng Zhechun; Wang Jinwen; Zuo Huijuan; Shu Lixia</dc:creator>
  <cp:keywords/>
  <dcterms:created xsi:type="dcterms:W3CDTF">2026-09-05T08:46:19Z</dcterms:created>
  <dcterms:modified xsi:type="dcterms:W3CDTF">2026-09-05T08:46:19Z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