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28.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to: Quantifying Systematic Bias in Observational Causal Estimates Using Negative Controls: The Bias Fraction</w:t>
      </w:r>
    </w:p>
    <w:p>
      <w:pPr>
        <w:pStyle w:val="Author"/>
      </w:pPr>
      <w:r>
        <w:t xml:space="preserve">Zeng Zhechun, MD, MPH</w:t>
      </w:r>
    </w:p>
    <w:p>
      <w:pPr>
        <w:pStyle w:val="Author"/>
      </w:pPr>
      <w:r>
        <w:t xml:space="preserve">Wang Jinwen, MD, PhD</w:t>
      </w:r>
    </w:p>
    <w:p>
      <w:pPr>
        <w:pStyle w:val="Author"/>
      </w:pPr>
      <w:r>
        <w:t xml:space="preserve">Zuo Huijuan, MD, MPH</w:t>
      </w:r>
    </w:p>
    <w:p>
      <w:pPr>
        <w:pStyle w:val="Author"/>
      </w:pPr>
      <w:r>
        <w:t xml:space="preserve">Shu Lixia, PhD</w:t>
      </w:r>
    </w:p>
    <w:p>
      <w:pPr>
        <w:pStyle w:val="Date"/>
      </w:pPr>
      <w:r>
        <w:t xml:space="preserve">2026-08-14</w:t>
      </w:r>
    </w:p>
    <w:bookmarkStart w:id="17" w:name="eappendix-1.-detailed-methods"/>
    <w:p>
      <w:pPr>
        <w:pStyle w:val="Heading1"/>
      </w:pPr>
      <w:r>
        <w:t xml:space="preserve">eAppendix 1. Detailed Methods</w:t>
      </w:r>
    </w:p>
    <w:bookmarkStart w:id="9" w:name="notation-and-setting"/>
    <w:p>
      <w:pPr>
        <w:pStyle w:val="Heading2"/>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SuperLearner-based nuisance function estimation), we obtain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In addition to the primary outcome</w:t>
      </w:r>
      <w:r>
        <w:t xml:space="preserve"> </w:t>
      </w:r>
      <m:oMath>
        <m:r>
          <m:t>Y</m:t>
        </m:r>
      </m:oMath>
      <w:r>
        <w:t xml:space="preserve">, the investigator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negative control</w:t>
      </w:r>
      <w:r>
        <w:t xml:space="preserve"> </w:t>
      </w:r>
      <m:oMath>
        <m:sSub>
          <m:e>
            <m:r>
              <m:t>N</m:t>
            </m:r>
          </m:e>
          <m:sub>
            <m:r>
              <m:t>k</m:t>
            </m:r>
          </m:sub>
        </m:sSub>
      </m:oMath>
      <w:r>
        <w:t xml:space="preserve"> </w:t>
      </w:r>
      <w:r>
        <w:t xml:space="preserve">shares the confounding structure of</w:t>
      </w:r>
      <w:r>
        <w:t xml:space="preserve"> </w:t>
      </w:r>
      <m:oMath>
        <m:r>
          <m:t>Y</m:t>
        </m:r>
      </m:oMath>
      <w:r>
        <w:t xml:space="preserve">, meaning the same set of unmeasured confounders affects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 treatment</w:t>
      </w:r>
      <w:r>
        <w:t xml:space="preserve"> </w:t>
      </w:r>
      <m:oMath>
        <m:r>
          <m:t>A</m:t>
        </m:r>
      </m:oMath>
      <w:r>
        <w:t xml:space="preserve">. For each control, the same estimator</w:t>
      </w:r>
      <w:r>
        <w:t xml:space="preserve"> </w:t>
      </w:r>
      <m:oMath>
        <m:acc>
          <m:accPr>
            <m:chr m:val="̂"/>
          </m:accPr>
          <m:e>
            <m:r>
              <m:t>ψ</m:t>
            </m:r>
          </m:e>
        </m:acc>
      </m:oMath>
      <w:r>
        <w:t xml:space="preserve"> </w:t>
      </w:r>
      <w:r>
        <w:t xml:space="preserve">is applied to obtain</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along with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w:t>
      </w:r>
      <w:r>
        <w:t xml:space="preserve">(also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distinguish this assumption from the standard causal exchangeability assumption (no unmeasured confounding); the two are related but distinct. Under bias exchangeability, the negative controls form a sample from the bias-generating process, allowing empirical estimation of the bias distribution. This assumption, like the no-unmeasured-confounding assumption it is meant to diagnose, cannot be directly verified from the data; its plausibility must be assessed through domain knowledge and sensitivity analyses.</w:t>
      </w:r>
    </w:p>
    <w:bookmarkEnd w:id="9"/>
    <w:bookmarkStart w:id="10" w:name="definition-of-the-credibility-metric"/>
    <w:p>
      <w:pPr>
        <w:pStyle w:val="Heading2"/>
      </w:pPr>
      <w:r>
        <w:t xml:space="preserve">Definition of the credibility metric</w:t>
      </w:r>
    </w:p>
    <w:p>
      <w:pPr>
        <w:pStyle w:val="FirstParagraph"/>
      </w:pPr>
      <w:r>
        <w:t xml:space="preserve">Let</w:t>
      </w:r>
      <w:r>
        <w:t xml:space="preserve"> </w:t>
      </w:r>
      <m:oMath>
        <m:sSub>
          <m:e>
            <m:r>
              <m:t>μ</m:t>
            </m:r>
          </m:e>
          <m:sub>
            <m:r>
              <m:t>B</m:t>
            </m:r>
          </m:sub>
        </m:sSub>
      </m:oMath>
      <w:r>
        <w:t xml:space="preserve"> </w:t>
      </w:r>
      <w:r>
        <w:t xml:space="preserve">denote the mean systematic bias. Under the bias exchangeability assumption,</w:t>
      </w:r>
      <w:r>
        <w:t xml:space="preserve"> </w:t>
      </w:r>
      <m:oMath>
        <m:sSub>
          <m:e>
            <m:r>
              <m:t>μ</m:t>
            </m:r>
          </m:e>
          <m:sub>
            <m:r>
              <m:t>B</m:t>
            </m:r>
          </m:sub>
        </m:sSub>
      </m:oMath>
      <w:r>
        <w:t xml:space="preserve"> </w:t>
      </w:r>
      <w:r>
        <w:t xml:space="preserve">can be estimated from the negative controls:</w:t>
      </w:r>
      <w:r>
        <w:t xml:space="preserve"> </w:t>
      </w:r>
      <m:oMath>
        <m:sSub>
          <m:e>
            <m:acc>
              <m:accPr>
                <m:chr m:val="̂"/>
              </m:accPr>
              <m:e>
                <m:r>
                  <m:t>μ</m:t>
                </m:r>
              </m:e>
            </m:acc>
          </m:e>
          <m:sub>
            <m:r>
              <m:t>B</m:t>
            </m:r>
          </m:sub>
        </m:sSub>
      </m:oMath>
      <w:r>
        <w:t xml:space="preserve"> </w:t>
      </w:r>
      <w:r>
        <w:t xml:space="preserve">is obtained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oMath>
      </m:oMathPara>
    </w:p>
    <w:p>
      <w:pPr>
        <w:pStyle w:val="FirstParagraph"/>
      </w:pPr>
      <w:r>
        <w:t xml:space="preserve">BF is the share of the total calibrated signal, bias plus residual effect, attributable to systematic bias. It lies in [0,1] by construction; BF = 1 when the calibrated estimate is exactly zero, and BF = 0 when no systematic bias is estimated. The value 0.5 marks equal contributions of bias and residual effect; 1/3 marks a residual effect twice the bias.</w:t>
      </w:r>
    </w:p>
    <w:p>
      <w:pPr>
        <w:pStyle w:val="BodyText"/>
      </w:pPr>
      <w:r>
        <w:rPr>
          <w:b/>
          <w:bCs/>
        </w:rPr>
        <w:t xml:space="preserve">Rationale for the bounded form.</w:t>
      </w:r>
      <w:r>
        <w:t xml:space="preserve"> </w:t>
      </w:r>
      <w:r>
        <w:t xml:space="preserve">The ratio form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because, on the log relative risk scale, it is scale-invariant and directly captures the question of interest: of the signal that survives calibration, how much is bias? The specific choice of denominator, total calibrated signal rather than the residual effect alone, makes the metric bounded. 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carries the same information through</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the bounded scale avoids the ratio’s instability when the denominator approaches zero and removes the need for special handling of infinite values at the null. We report BER as an auxiliary display.</w:t>
      </w:r>
    </w:p>
    <w:p>
      <w:pPr>
        <w:pStyle w:val="BodyText"/>
      </w:pPr>
      <w:r>
        <w:rPr>
          <w:b/>
          <w:bCs/>
        </w:rPr>
        <w:t xml:space="preserve">Observed bias fraction.</w:t>
      </w:r>
      <w:r>
        <w:t xml:space="preserve"> </w:t>
      </w:r>
      <w:r>
        <w:t xml:space="preserve">A companion quantity, the observed bias fraction (OBF), divides the estimated bias by the uncalibrated estimate:</w:t>
      </w:r>
      <w:r>
        <w:t xml:space="preserve"> </w:t>
      </w:r>
      <m:oMath>
        <m:r>
          <m:rPr>
            <m:sty m:val="p"/>
          </m:rPr>
          <m:t>O</m:t>
        </m:r>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OBF answers</w:t>
      </w:r>
      <w:r>
        <w:t xml:space="preserve"> </w:t>
      </w:r>
      <w:r>
        <w:t xml:space="preserve">“of the association as estimated before calibration, what share is bias?”</w:t>
      </w:r>
      <w:r>
        <w:t xml:space="preserve"> </w:t>
      </w:r>
      <w:r>
        <w:t xml:space="preserve">In the beta-blocker analysis OBF = 1.03: the estimated bias is comparable to the entire observed association. In the GDMT analysis OBF = 0.44. OBF is descriptive and unbounded; all classifications use BF.</w:t>
      </w:r>
    </w:p>
    <w:p>
      <w:pPr>
        <w:pStyle w:val="BodyText"/>
      </w:pPr>
      <w:r>
        <w:t xml:space="preserve">The metric is computed directly from quantities already produced by the OHDSI empirical calibration pipeline</w:t>
      </w:r>
      <w:r>
        <w:rPr>
          <w:vertAlign w:val="superscript"/>
        </w:rPr>
        <w:t xml:space="preserve">1,2</w:t>
      </w:r>
      <w:r>
        <w:t xml:space="preserve"> </w:t>
      </w:r>
      <w:r>
        <w:t xml:space="preserve">using the EmpiricalCalibration R package, and therefore requires no additional data beyond the negative control estimates and the primary estimate.</w:t>
      </w:r>
    </w:p>
    <w:bookmarkEnd w:id="10"/>
    <w:bookmarkStart w:id="11" w:name="confidence-interval-for-bf"/>
    <w:p>
      <w:pPr>
        <w:pStyle w:val="Heading2"/>
      </w:pPr>
      <w:r>
        <w:t xml:space="preserve">Confidence interval for BF</w:t>
      </w:r>
    </w:p>
    <w:p>
      <w:pPr>
        <w:pStyle w:val="FirstParagraph"/>
      </w:pPr>
      <w:r>
        <w:t xml:space="preserve">A 95% confidence interval for BF is constructed through nonparametric bootstrap with</w:t>
      </w:r>
      <w:r>
        <w:t xml:space="preserve"> </w:t>
      </w:r>
      <m:oMath>
        <m:r>
          <m:t>B</m:t>
        </m:r>
        <m:r>
          <m:rPr>
            <m:sty m:val="p"/>
          </m:rPr>
          <m:t>=</m:t>
        </m:r>
        <m:r>
          <m:t>2000</m:t>
        </m:r>
      </m:oMath>
      <w:r>
        <w:t xml:space="preserve"> </w:t>
      </w:r>
      <w:r>
        <w:t xml:space="preserve">resamples, as follows. For each iteration</w:t>
      </w:r>
      <w:r>
        <w:t xml:space="preserve"> </w:t>
      </w:r>
      <m:oMath>
        <m:r>
          <m:t>b</m:t>
        </m:r>
        <m:r>
          <m:rPr>
            <m:sty m:val="p"/>
          </m:rPr>
          <m:t>=</m:t>
        </m:r>
        <m:r>
          <m:t>1</m:t>
        </m:r>
        <m:r>
          <m:rPr>
            <m:sty m:val="p"/>
          </m:rPr>
          <m:t>,</m:t>
        </m:r>
        <m:r>
          <m:rPr>
            <m:sty m:val="p"/>
          </m:rPr>
          <m:t>…</m:t>
        </m:r>
        <m:r>
          <m:rPr>
            <m:sty m:val="p"/>
          </m:rPr>
          <m:t>,</m:t>
        </m:r>
        <m:r>
          <m:t>B</m:t>
        </m:r>
      </m:oMath>
      <w:r>
        <w:t xml:space="preserve">: (1) resample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 the bias-corrected estimate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w:t>
      </w:r>
      <w:r>
        <w:t xml:space="preserve"> </w:t>
      </w:r>
      <m:oMath>
        <m:sSub>
          <m:e>
            <m:acc>
              <m:accPr>
                <m:chr m:val="̂"/>
              </m:accPr>
              <m:e>
                <m:r>
                  <m:t>ψ</m:t>
                </m:r>
              </m:e>
            </m:acc>
          </m:e>
          <m:sub>
            <m:r>
              <m:rPr>
                <m:nor/>
                <m:sty m:val="p"/>
              </m:rPr>
              <m:t>obs</m:t>
            </m:r>
          </m:sub>
        </m:sSub>
      </m:oMath>
      <w:r>
        <w:t xml:space="preserve"> </w:t>
      </w:r>
      <w:r>
        <w:t xml:space="preserve">fixed; (4) 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95% CI is the 2.5th and 97.5th percentiles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equivalently, it is the percentile CI of BER on the log scale, transformed to BF. The point estimate is the bootstrap median on the logit scale, back-transformed, so the point estimate and the CI come from the same distribution. The bootstrap resamples only the negative controls because the dominant source of uncertainty for BF is the estimation of</w:t>
      </w:r>
      <w:r>
        <w:t xml:space="preserve"> </w:t>
      </w:r>
      <m:oMath>
        <m:sSub>
          <m:e>
            <m:r>
              <m:t>μ</m:t>
            </m:r>
          </m:e>
          <m:sub>
            <m:r>
              <m:t>B</m:t>
            </m:r>
          </m:sub>
        </m:sSub>
      </m:oMath>
      <w:r>
        <w:t xml:space="preserve"> </w:t>
      </w:r>
      <w:r>
        <w:t xml:space="preserve">from a finite set of negative controls. As an alternative, Fieller’s theorem provides a closed-form confidence set for the underlying ratio that may offer better coverage when the denominator is near zero</w:t>
      </w:r>
      <w:r>
        <w:rPr>
          <w:vertAlign w:val="superscript"/>
        </w:rPr>
        <w:t xml:space="preserve">3</w:t>
      </w:r>
      <w:r>
        <w:t xml:space="preserve">.</w:t>
      </w:r>
    </w:p>
    <w:bookmarkEnd w:id="11"/>
    <w:bookmarkStart w:id="12" w:name="fieller-confidence-sets"/>
    <w:p>
      <w:pPr>
        <w:pStyle w:val="Heading2"/>
      </w:pPr>
      <w:r>
        <w:t xml:space="preserve">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Fieller set at level</w:t>
      </w:r>
      <w:r>
        <w:t xml:space="preserve"> </w:t>
      </w:r>
      <m:oMath>
        <m:r>
          <m:t>1</m:t>
        </m:r>
        <m:r>
          <m:rPr>
            <m:sty m:val="p"/>
          </m:rPr>
          <m:t>−</m:t>
        </m:r>
        <m:r>
          <m:t>α</m:t>
        </m:r>
      </m:oMath>
      <w:r>
        <w:t xml:space="preserve"> </w:t>
      </w:r>
      <w:r>
        <w:t xml:space="preserve">contains all</w:t>
      </w:r>
      <w:r>
        <w:t xml:space="preserve"> </w:t>
      </w:r>
      <m:oMath>
        <m:r>
          <m:t>ρ</m:t>
        </m:r>
      </m:oMath>
      <w:r>
        <w:t xml:space="preserve"> </w:t>
      </w:r>
      <w:r>
        <w:t xml:space="preserve">satisfying</w:t>
      </w:r>
      <w:r>
        <w:t xml:space="preserve"> </w:t>
      </w: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oMath>
      <w:r>
        <w:rPr>
          <w:vertAlign w:val="superscript"/>
        </w:rPr>
        <w:t xml:space="preserve">3</w:t>
      </w:r>
      <w:r>
        <w:t xml:space="preserv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BodyText"/>
      </w:pPr>
      <w:r>
        <w:t xml:space="preserve">For the beta-blocker analysis the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so the ratio is poorly identified in the frequentist sense; the bootstrap CI on BF nevertheless lies entirely above 0.5, and the zone assignment is unaffected. For GDMT the set was interior, [0.42, 1.8], straddling 1, consistent with the mixed classification. When the calibrated estimate is near zero, no interval method can pin down the ratio; readers should rely on the zone assignment from the BF bootstrap CI and on the calibrated p-value.</w:t>
      </w:r>
    </w:p>
    <w:bookmarkEnd w:id="12"/>
    <w:bookmarkStart w:id="13" w:name="relationship-to-existing-approaches"/>
    <w:p>
      <w:pPr>
        <w:pStyle w:val="Heading2"/>
      </w:pPr>
      <w:r>
        <w:t xml:space="preserve">Relationship to existing approaches</w:t>
      </w:r>
    </w:p>
    <w:p>
      <w:pPr>
        <w:pStyle w:val="FirstParagraph"/>
      </w:pPr>
      <w:r>
        <w:t xml:space="preserve">The proposed metric extends empirical calibration</w:t>
      </w:r>
      <w:r>
        <w:rPr>
          <w:vertAlign w:val="superscript"/>
        </w:rPr>
        <w:t xml:space="preserve">1,2</w:t>
      </w:r>
      <w:r>
        <w:t xml:space="preserve"> </w:t>
      </w:r>
      <w:r>
        <w:t xml:space="preserve">by providing a continuous credibility measure alongside the binary calibrated p-value. The calibrated p-value answers</w:t>
      </w:r>
      <w:r>
        <w:t xml:space="preserve"> </w:t>
      </w:r>
      <w:r>
        <w:t xml:space="preserve">“Is there evidence of an effect after accounting for bias?”</w:t>
      </w:r>
      <w:r>
        <w:t xml:space="preserve"> </w:t>
      </w:r>
      <w:r>
        <w:t xml:space="preserve">while the metric answers</w:t>
      </w:r>
      <w:r>
        <w:t xml:space="preserve"> </w:t>
      </w:r>
      <w:r>
        <w:t xml:space="preserve">“What share of the surviving signal is bias, and does enough of an effect remain to be meaningful?”</w:t>
      </w:r>
    </w:p>
    <w:p>
      <w:pPr>
        <w:pStyle w:val="BodyText"/>
      </w:pPr>
      <w:r>
        <w:t xml:space="preserve">The E-value</w:t>
      </w:r>
      <w:r>
        <w:rPr>
          <w:vertAlign w:val="superscript"/>
        </w:rPr>
        <w:t xml:space="preserve">4</w:t>
      </w:r>
      <w:r>
        <w:t xml:space="preserve"> </w:t>
      </w:r>
      <w:r>
        <w:t xml:space="preserve">quantifies the minimum strength of unmeasured confounding required to explain away an observed association, a hypothetical sensitivity analysis. The proposed metric, in contrast, is empirically grounded in observed negative control data. The two approaches are complementary: the E-value asks what</w:t>
      </w:r>
      <w:r>
        <w:t xml:space="preserve"> </w:t>
      </w:r>
      <w:r>
        <w:rPr>
          <w:i/>
          <w:iCs/>
        </w:rPr>
        <w:t xml:space="preserve">would</w:t>
      </w:r>
      <w:r>
        <w:t xml:space="preserve"> </w:t>
      </w:r>
      <w:r>
        <w:t xml:space="preserve">need to be true, while the calibration-based metric estimates what the negative controls</w:t>
      </w:r>
      <w:r>
        <w:t xml:space="preserve"> </w:t>
      </w:r>
      <w:r>
        <w:rPr>
          <w:i/>
          <w:iCs/>
        </w:rPr>
        <w:t xml:space="preserve">actually indicate</w:t>
      </w:r>
      <w:r>
        <w:t xml:space="preserve"> </w:t>
      </w:r>
      <w:r>
        <w:t xml:space="preserve">about the bias present in the data.</w:t>
      </w:r>
    </w:p>
    <w:bookmarkEnd w:id="13"/>
    <w:bookmarkStart w:id="14" w:name="estimation-procedure"/>
    <w:p>
      <w:pPr>
        <w:pStyle w:val="Heading2"/>
      </w:pPr>
      <w:r>
        <w:t xml:space="preserve">Estimation procedure</w:t>
      </w:r>
    </w:p>
    <w:p>
      <w:pPr>
        <w:pStyle w:val="FirstParagraph"/>
      </w:pPr>
      <w:r>
        <w:rPr>
          <w:b/>
          <w:bCs/>
        </w:rPr>
        <w:t xml:space="preserve">Step 1: Empirical null estimation.</w:t>
      </w:r>
      <w:r>
        <w:t xml:space="preserve"> </w:t>
      </w:r>
      <w:r>
        <w:t xml:space="preserve">Fit the model</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using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w:t>
      </w:r>
      <w:r>
        <w:t xml:space="preserve">. This produces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Credibility metric calculation.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Obtain a 95% confidence interval using the logit-scale nonparametric bootstrap (</w:t>
      </w:r>
      <m:oMath>
        <m:r>
          <m:t>B</m:t>
        </m:r>
        <m:r>
          <m:rPr>
            <m:sty m:val="p"/>
          </m:rPr>
          <m:t>=</m:t>
        </m:r>
        <m:r>
          <m:t>2000</m:t>
        </m:r>
      </m:oMath>
      <w:r>
        <w:t xml:space="preserve">).</w:t>
      </w:r>
    </w:p>
    <w:p>
      <w:pPr>
        <w:pStyle w:val="BodyText"/>
      </w:pPr>
      <w:r>
        <w:rPr>
          <w:b/>
          <w:bCs/>
        </w:rPr>
        <w:t xml:space="preserve">Consistency property.</w:t>
      </w:r>
      <w:r>
        <w:t xml:space="preserve"> </w:t>
      </w:r>
      <w:r>
        <w:t xml:space="preserve">Under the bias exchangeability assumption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By the continuous mapping theorem, BF is consistent for the population bias fraction over the whole parameter space, with no exclusion of the null. This contrasts with the unbounded ratio, whose population limit diverges at the null. The denominator of BF is</w:t>
      </w:r>
      <w:r>
        <w:t xml:space="preserve"> </w:t>
      </w:r>
      <m:oMath>
        <m:acc>
          <m:accPr>
            <m:chr m:val="̃"/>
          </m:accPr>
          <m:e>
            <m:r>
              <m:t>ψ</m:t>
            </m:r>
          </m:e>
        </m:acc>
      </m:oMath>
      <w:r>
        <w:t xml:space="preserve">, not the true effect</w:t>
      </w:r>
      <w:r>
        <w:t xml:space="preserve"> </w:t>
      </w:r>
      <m:oMath>
        <m:r>
          <m:t>ψ</m:t>
        </m:r>
      </m:oMath>
      <w:r>
        <w:t xml:space="preserve">; the metric does not estimate the true treatment effect.</w:t>
      </w:r>
    </w:p>
    <w:bookmarkEnd w:id="14"/>
    <w:bookmarkStart w:id="15" w:name="threshold-asymmetry"/>
    <w:p>
      <w:pPr>
        <w:pStyle w:val="Heading2"/>
      </w:pPr>
      <w:r>
        <w:t xml:space="preserve">Threshold asymmetry</w:t>
      </w:r>
    </w:p>
    <w:p>
      <w:pPr>
        <w:pStyle w:val="FirstParagraph"/>
      </w:pPr>
      <w:r>
        <w:t xml:space="preserve">The thresholds 1/3 and 0.5 are asymmetric on the logit scale. A symmetric alternative would use 1/3 and 2/3. We adopt the asymmetric design deliberately: in observational research, the cost of a false causal claim exceeds the cost of excessive caution. This conservative asymmetry biases classification toward the bias-dominated zone, which we view as appropriate given the stakes of causal claims from observational data. BF = 1 (calibrated estimate exactly zero) is classified as bias-dominated.</w:t>
      </w:r>
    </w:p>
    <w:bookmarkEnd w:id="15"/>
    <w:bookmarkStart w:id="16" w:name="negative-control-overlap-and-cautions"/>
    <w:p>
      <w:pPr>
        <w:pStyle w:val="Heading2"/>
      </w:pPr>
      <w:r>
        <w:t xml:space="preserve">Negative control overlap and cautions</w:t>
      </w:r>
    </w:p>
    <w:p>
      <w:pPr>
        <w:pStyle w:val="FirstParagraph"/>
      </w:pPr>
      <w:r>
        <w:t xml:space="preserve">Some negative controls share overlapping outcome definitions: the</w:t>
      </w:r>
      <w:r>
        <w:t xml:space="preserve"> </w:t>
      </w:r>
      <w:r>
        <w:t xml:space="preserve">“infection”</w:t>
      </w:r>
      <w:r>
        <w:t xml:space="preserve"> </w:t>
      </w:r>
      <w:r>
        <w:t xml:space="preserve">category encompasses urinary tract infection and cellulitis as subcategories. This nesting means the 12 controls do not represent 12 fully independent observations, which could lead to underestimation of</w:t>
      </w:r>
      <w:r>
        <w:t xml:space="preserve"> </w:t>
      </w:r>
      <m:oMath>
        <m:sSub>
          <m:e>
            <m:acc>
              <m:accPr>
                <m:chr m:val="̂"/>
              </m:accPr>
              <m:e>
                <m:r>
                  <m:t>σ</m:t>
                </m:r>
              </m:e>
            </m:acc>
          </m:e>
          <m:sub>
            <m:r>
              <m:t>B</m:t>
            </m:r>
          </m:sub>
        </m:sSub>
      </m:oMath>
      <w:r>
        <w:t xml:space="preserve"> </w:t>
      </w:r>
      <w:r>
        <w:t xml:space="preserve">and overly narrow bootstrap CIs. The leave-one-out sensitivity analysis provides a partial check: removing any single control, including the nested ones, did not change the qualitative classification. The</w:t>
      </w:r>
      <w:r>
        <w:t xml:space="preserve"> </w:t>
      </w:r>
      <w:r>
        <w:t xml:space="preserve">“fall”</w:t>
      </w:r>
      <w:r>
        <w:t xml:space="preserve"> </w:t>
      </w:r>
      <w:r>
        <w:t xml:space="preserve">outcome warrants caution, as beta-blockers may increase fall risk through bradycardia or orthostatic hypotension, potentially violating the no-causal-effect assumption. However, the observed protective association for falls (RR &lt; 1) is opposite in direction to the expected adverse effect. Confounding thus appears to dominate any causal effect; the leave-one-out analysis confirmed that excluding</w:t>
      </w:r>
      <w:r>
        <w:t xml:space="preserve"> </w:t>
      </w:r>
      <w:r>
        <w:t xml:space="preserve">“fall”</w:t>
      </w:r>
      <w:r>
        <w:t xml:space="preserve"> </w:t>
      </w:r>
      <w:r>
        <w:t xml:space="preserve">did not alter the bias-dominated classification.</w:t>
      </w:r>
    </w:p>
    <w:bookmarkEnd w:id="16"/>
    <w:bookmarkEnd w:id="17"/>
    <w:bookmarkStart w:id="18" w:name="eappendix-2.-what-bf-does-not-estimate"/>
    <w:p>
      <w:pPr>
        <w:pStyle w:val="Heading1"/>
      </w:pPr>
      <w:r>
        <w:t xml:space="preserve">eAppendix 2. What BF Does Not Estimate</w:t>
      </w:r>
    </w:p>
    <w:p>
      <w:pPr>
        <w:pStyle w:val="FirstParagraph"/>
      </w:pPr>
      <w:r>
        <w:t xml:space="preserve">The metric</w:t>
      </w:r>
      <w:r>
        <w:t xml:space="preserve"> </w:t>
      </w:r>
      <w:r>
        <w:rPr>
          <w:b/>
          <w:bCs/>
        </w:rPr>
        <w:t xml:space="preserve">does not</w:t>
      </w:r>
      <w:r>
        <w:t xml:space="preserve"> </w:t>
      </w:r>
      <w:r>
        <w:t xml:space="preserve">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w:t>
      </w:r>
      <w:r>
        <w:t xml:space="preserve">not</w:t>
      </w:r>
      <w:r>
        <w:t xml:space="preserve"> </w:t>
      </w:r>
      <w:r>
        <w:t xml:space="preserve">“the true effect is zero.”</w:t>
      </w:r>
      <w:r>
        <w:t xml:space="preserve"> </w:t>
      </w:r>
      <w:r>
        <w:t xml:space="preserve">The metric also</w:t>
      </w:r>
      <w:r>
        <w:t xml:space="preserve"> </w:t>
      </w:r>
      <w:r>
        <w:rPr>
          <w:b/>
          <w:bCs/>
        </w:rPr>
        <w:t xml:space="preserve">does not</w:t>
      </w:r>
      <w:r>
        <w:t xml:space="preserve"> </w:t>
      </w:r>
      <w:r>
        <w:t xml:space="preserve">identify the source of bias, whether healthy-adherer confounding, indication bias, or other sources of unmeasured confounding. The metric</w:t>
      </w:r>
      <w:r>
        <w:t xml:space="preserve"> </w:t>
      </w:r>
      <w:r>
        <w:rPr>
          <w:b/>
          <w:bCs/>
        </w:rPr>
        <w:t xml:space="preserve">does not</w:t>
      </w:r>
      <w:r>
        <w:t xml:space="preserve"> </w:t>
      </w:r>
      <w:r>
        <w:t xml:space="preserve">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8"/>
    <w:bookmarkStart w:id="19" w:name="Xbd8bf77106b5e84903ca0301f2cff2061629647"/>
    <w:p>
      <w:pPr>
        <w:pStyle w:val="Heading1"/>
      </w:pPr>
      <w:r>
        <w:t xml:space="preserve">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will be misleading.</w:t>
      </w:r>
    </w:p>
    <w:p>
      <w:pPr>
        <w:pStyle w:val="BodyText"/>
      </w:pPr>
      <w:r>
        <w:rPr>
          <w:b/>
          <w:bCs/>
        </w:rPr>
        <w:t xml:space="preserve">Heterogeneous bias directions.</w:t>
      </w:r>
      <w:r>
        <w:t xml:space="preserve"> </w:t>
      </w:r>
      <w:r>
        <w:t xml:space="preserve">The empirical null model assumes negative controls are affected by bias in the same direction. If controls show bias in opposite directions,</w:t>
      </w:r>
      <w:r>
        <w:t xml:space="preserve"> </w:t>
      </w:r>
      <m:oMath>
        <m:sSub>
          <m:e>
            <m:acc>
              <m:accPr>
                <m:chr m:val="̂"/>
              </m:accPr>
              <m:e>
                <m:r>
                  <m:t>μ</m:t>
                </m:r>
              </m:e>
            </m:acc>
          </m:e>
          <m:sub>
            <m:r>
              <m:t>B</m:t>
            </m:r>
          </m:sub>
        </m:sSub>
      </m:oMath>
      <w:r>
        <w:t xml:space="preserve"> </w:t>
      </w:r>
      <w:r>
        <w:t xml:space="preserve">will be attenuated toward zero, producing an overly optimistic BF.</w:t>
      </w:r>
    </w:p>
    <w:p>
      <w:pPr>
        <w:pStyle w:val="BodyText"/>
      </w:pPr>
      <w:r>
        <w:rPr>
          <w:b/>
          <w:bCs/>
        </w:rPr>
        <w:t xml:space="preserve">Small residual effects.</w:t>
      </w:r>
      <w:r>
        <w:t xml:space="preserve"> </w:t>
      </w:r>
      <w:r>
        <w:t xml:space="preserve">When the true treatment effect is near zero, the denominator of the underlying ratio is near zero. On the BF scale this appears as values near 1, wide bootstrap CIs, and unbounded Fieller sets. This correctly signals that the calibrated estimate is uninformative; read BF near 1 as signal saturation by bias, not as a precise fraction.</w:t>
      </w:r>
    </w:p>
    <w:bookmarkEnd w:id="19"/>
    <w:bookmarkStart w:id="20" w:name="Xade8475af0abe2b24168657381aad1c7aec56a1"/>
    <w:p>
      <w:pPr>
        <w:pStyle w:val="Heading1"/>
      </w:pPr>
      <w:r>
        <w:t xml:space="preserve">eTable 1. Comparison of BF and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0"/>
    <w:bookmarkStart w:id="21" w:name="etable-2.-simulation-study-design"/>
    <w:p>
      <w:pPr>
        <w:pStyle w:val="Heading1"/>
      </w:pPr>
      <w:r>
        <w:t xml:space="preserve">eTable 2. Simulation Study Design</w:t>
      </w:r>
    </w:p>
    <w:p>
      <w:pPr>
        <w:pStyle w:val="TableCaption"/>
      </w:pPr>
      <w:r>
        <w:t xml:space="preserve">Simulation study design. Total: 7 x 6 x 2 x 2 x 2 = 336 conditions, 200 repetitions each (67,200 total). BF_true values span {0.111, 0.143, 0.200, 0.250, 0.273, 0.333, 0.400, 0.429, 0.500, 0.571, 0.600, 0.667, 0.727, 0.750, 0.800, 0.857, 0.889} plus the null (BF_true = 1). The 30% violation level is implemented as round(K x 0.3) shifted controls, 4/12 = 33.3% for K = 12 and 8/25 = 32.0% for K = 25.</w:t>
      </w:r>
    </w:p>
    <w:tbl>
      <w:tblPr>
        <w:tblStyle w:val="Table"/>
        <w:tblW w:type="pct" w:w="5000"/>
        <w:tblLayout w:type="fixed"/>
        <w:tblLook w:firstRow="1" w:lastRow="0" w:firstColumn="0" w:lastColumn="0" w:noHBand="0" w:noVBand="0" w:val="0020"/>
        <w:tblCaption w:val="Simulation study design. Total: 7 x 6 x 2 x 2 x 2 = 336 conditions, 200 repetitions each (67,200 total). BF_true values span {0.111, 0.143, 0.200, 0.250, 0.273, 0.333, 0.400, 0.429, 0.500, 0.571, 0.600, 0.667, 0.727, 0.750, 0.800, 0.857, 0.889} plus the null (BF_true = 1). The 30% violation level is implemented as round(K x 0.3) shifted controls, 4/12 = 33.3% for K = 12 and 8/25 = 32.0% for K = 25."/>
      </w:tblPr>
      <w:tblGrid>
        <w:gridCol w:w="2847"/>
        <w:gridCol w:w="4271"/>
        <w:gridCol w:w="800"/>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Bias heterogeneity (sigma_B)</w:t>
            </w:r>
          </w:p>
        </w:tc>
        <w:tc>
          <w:tcPr/>
          <w:p>
            <w:pPr>
              <w:pStyle w:val="Compact"/>
              <w:jc w:val="left"/>
            </w:pPr>
            <w:r>
              <w:t xml:space="preserve">0.05,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1"/>
    <w:bookmarkStart w:id="22" w:name="X0db8cd73aafe0a8f13d16fd09ddb2c3d77ffcbd"/>
    <w:p>
      <w:pPr>
        <w:pStyle w:val="Heading1"/>
      </w:pPr>
      <w:r>
        <w:t xml:space="preserve">eTable 3. CI-Based Classification Heuristic Results</w:t>
      </w:r>
    </w:p>
    <w:p>
      <w:pPr>
        <w:pStyle w:val="TableCaption"/>
      </w:pPr>
      <w:r>
        <w:t xml:space="preserve">CI-based classification heuristic vs point-estimate rule across all 336 conditions (67,200 repetitions).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336 conditions (67,200 repetitions).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bookmarkEnd w:id="22"/>
    <w:bookmarkStart w:id="23" w:name="X58d0f65626bfa892a74fa5633f958a0caa9e198"/>
    <w:p>
      <w:pPr>
        <w:pStyle w:val="Heading1"/>
      </w:pPr>
      <w:r>
        <w:t xml:space="preserve">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2640"/>
        <w:gridCol w:w="2640"/>
        <w:gridCol w:w="264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Bias-dominated</w:t>
            </w:r>
          </w:p>
        </w:tc>
      </w:tr>
    </w:tbl>
    <w:bookmarkEnd w:id="23"/>
    <w:bookmarkStart w:id="24" w:name="Xb0a33d352b3e212559259d48c8a6a280f333d60"/>
    <w:p>
      <w:pPr>
        <w:pStyle w:val="Heading1"/>
      </w:pPr>
      <w:r>
        <w:t xml:space="preserve">eTable 5. SuperLearner Sensitivity Analysis</w:t>
      </w:r>
    </w:p>
    <w:p>
      <w:pPr>
        <w:pStyle w:val="TableCaption"/>
      </w:pPr>
      <w:r>
        <w:t xml:space="preserve">SuperLearner sensitivity analysis. All three configurations remained in the bias-dominated zone with bootstrap CIs entirely above 0.5.</w:t>
      </w:r>
    </w:p>
    <w:tbl>
      <w:tblPr>
        <w:tblStyle w:val="Table"/>
        <w:tblW w:type="auto" w:w="0"/>
        <w:tblLook w:firstRow="1" w:lastRow="0" w:firstColumn="0" w:lastColumn="0" w:noHBand="0" w:noVBand="0" w:val="0020"/>
        <w:tblCaption w:val="SuperLearner sensitivity analysis. All three configurations remained in the bias-dominated zone with bootstrap CIs entirely above 0.5."/>
      </w:tblPr>
      <w:tblGrid>
        <w:gridCol w:w="1980"/>
        <w:gridCol w:w="1980"/>
        <w:gridCol w:w="1980"/>
        <w:gridCol w:w="1980"/>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left"/>
            </w:pPr>
            <w:r>
              <w:t xml:space="preserve">Bias-dominated</w:t>
            </w:r>
          </w:p>
        </w:tc>
      </w:tr>
    </w:tbl>
    <w:bookmarkEnd w:id="24"/>
    <w:bookmarkStart w:id="25" w:name="X4d3cab1fedc037ec72e772e185cba837cc0d358"/>
    <w:p>
      <w:pPr>
        <w:pStyle w:val="Heading1"/>
      </w:pPr>
      <w:r>
        <w:t xml:space="preserve">eTable 6. Grace Period Sensitivity Analysis</w:t>
      </w:r>
    </w:p>
    <w:p>
      <w:pPr>
        <w:pStyle w:val="TableCaption"/>
      </w:pPr>
      <w:r>
        <w:t xml:space="preserve">Grace period sensitivity analysis. Calibrated risk ratio estimates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isk ratio estimates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p>
      <w:pPr>
        <w:pStyle w:val="BodyText"/>
      </w:pPr>
      <w:r>
        <w:t xml:space="preserve"> </w:t>
      </w:r>
    </w:p>
    <w:p>
      <w:pPr>
        <w:pStyle w:val="TableCaption"/>
      </w:pPr>
      <w:r>
        <w:t xml:space="preserve">Completed TARGET 21-item reporting checklist. Abbreviated item wording adapted from the TARGET statement</w:t>
      </w:r>
      <w:r>
        <w:rPr>
          <w:vertAlign w:val="superscript"/>
        </w:rPr>
        <w:t xml:space="preserve">5</w:t>
      </w:r>
      <w:r>
        <w:t xml:space="preserve">; full wording is available at https://target-guideline.org/.</w:t>
      </w:r>
    </w:p>
    <w:tbl>
      <w:tblPr>
        <w:tblStyle w:val="Table"/>
        <w:tblW w:type="pct" w:w="5000"/>
        <w:tblLayout w:type="fixed"/>
        <w:tblLook w:firstRow="1" w:lastRow="0" w:firstColumn="0" w:lastColumn="0" w:noHBand="0" w:noVBand="0" w:val="0020"/>
        <w:tblCaption w:val="Completed TARGET 21-item reporting checklist. Abbreviated item wording adapted from the TARGET statement5; full wording is available at https://target-guideline.org/."/>
      </w:tblPr>
      <w:tblGrid>
        <w:gridCol w:w="423"/>
        <w:gridCol w:w="141"/>
        <w:gridCol w:w="5264"/>
        <w:gridCol w:w="2091"/>
      </w:tblGrid>
      <w:tr>
        <w:trPr>
          <w:tblHeader w:val="on"/>
        </w:trPr>
        <w:tc>
          <w:tcPr/>
          <w:p>
            <w:pPr>
              <w:pStyle w:val="Compact"/>
              <w:jc w:val="left"/>
            </w:pPr>
            <w:r>
              <w:t xml:space="preserve">Section</w:t>
            </w:r>
          </w:p>
        </w:tc>
        <w:tc>
          <w:tcPr/>
          <w:p>
            <w:pPr>
              <w:pStyle w:val="Compact"/>
              <w:jc w:val="left"/>
            </w:pPr>
            <w:r>
              <w:t xml:space="preserve">Item</w:t>
            </w:r>
          </w:p>
        </w:tc>
        <w:tc>
          <w:tcPr/>
          <w:p>
            <w:pPr>
              <w:pStyle w:val="Compact"/>
              <w:jc w:val="left"/>
            </w:pPr>
            <w:r>
              <w:t xml:space="preserve">TARGET checklist item (abbreviated)</w:t>
            </w:r>
          </w:p>
        </w:tc>
        <w:tc>
          <w:tcPr/>
          <w:p>
            <w:pPr>
              <w:pStyle w:val="Compact"/>
              <w:jc w:val="left"/>
            </w:pPr>
            <w:r>
              <w:t xml:space="preserve">Location reported in this manuscript</w:t>
            </w:r>
          </w:p>
        </w:tc>
      </w:tr>
      <w:tr>
        <w:tc>
          <w:tcPr/>
          <w:p>
            <w:pPr>
              <w:pStyle w:val="Compact"/>
              <w:jc w:val="left"/>
            </w:pPr>
            <w:r>
              <w:t xml:space="preserve">Abstract</w:t>
            </w:r>
          </w:p>
        </w:tc>
        <w:tc>
          <w:tcPr/>
          <w:p>
            <w:pPr>
              <w:pStyle w:val="Compact"/>
              <w:jc w:val="left"/>
            </w:pPr>
            <w:r>
              <w:t xml:space="preserve">1a</w:t>
            </w:r>
          </w:p>
        </w:tc>
        <w:tc>
          <w:tcPr/>
          <w:p>
            <w:pPr>
              <w:pStyle w:val="Compact"/>
              <w:jc w:val="left"/>
            </w:pPr>
            <w:r>
              <w:t xml:space="preserve">Identify that the study attempts to emulate a target trial using observational data. State the study objectives and briefly summarize the specified target trial.</w:t>
            </w:r>
          </w:p>
        </w:tc>
        <w:tc>
          <w:tcPr/>
          <w:p>
            <w:pPr>
              <w:pStyle w:val="Compact"/>
              <w:jc w:val="left"/>
            </w:pPr>
            <w:r>
              <w:t xml:space="preserve">Abstract (Objective; Design, Setting, and Participants)</w:t>
            </w:r>
          </w:p>
        </w:tc>
      </w:tr>
      <w:tr>
        <w:tc>
          <w:tcPr/>
          <w:p>
            <w:pPr>
              <w:pStyle w:val="Compact"/>
              <w:jc w:val="left"/>
            </w:pPr>
            <w:r>
              <w:t xml:space="preserve">Abstract</w:t>
            </w:r>
          </w:p>
        </w:tc>
        <w:tc>
          <w:tcPr/>
          <w:p>
            <w:pPr>
              <w:pStyle w:val="Compact"/>
              <w:jc w:val="left"/>
            </w:pPr>
            <w:r>
              <w:t xml:space="preserve">1b</w:t>
            </w:r>
          </w:p>
        </w:tc>
        <w:tc>
          <w:tcPr/>
          <w:p>
            <w:pPr>
              <w:pStyle w:val="Compact"/>
              <w:jc w:val="left"/>
            </w:pPr>
            <w:r>
              <w:t xml:space="preserve">Report the data sources used for emulation.</w:t>
            </w:r>
          </w:p>
        </w:tc>
        <w:tc>
          <w:tcPr/>
          <w:p>
            <w:pPr>
              <w:pStyle w:val="Compact"/>
              <w:jc w:val="left"/>
            </w:pPr>
            <w:r>
              <w:t xml:space="preserve">Abstract (Design, Setting, and Participants)</w:t>
            </w:r>
          </w:p>
        </w:tc>
      </w:tr>
      <w:tr>
        <w:tc>
          <w:tcPr/>
          <w:p>
            <w:pPr>
              <w:pStyle w:val="Compact"/>
              <w:jc w:val="left"/>
            </w:pPr>
            <w:r>
              <w:t xml:space="preserve">Abstract</w:t>
            </w:r>
          </w:p>
        </w:tc>
        <w:tc>
          <w:tcPr/>
          <w:p>
            <w:pPr>
              <w:pStyle w:val="Compact"/>
              <w:jc w:val="left"/>
            </w:pPr>
            <w:r>
              <w:t xml:space="preserve">1c</w:t>
            </w:r>
          </w:p>
        </w:tc>
        <w:tc>
          <w:tcPr/>
          <w:p>
            <w:pPr>
              <w:pStyle w:val="Compact"/>
              <w:jc w:val="left"/>
            </w:pPr>
            <w:r>
              <w:t xml:space="preserve">Summarize key assumptions, statistical methods, findings and conclusions.</w:t>
            </w:r>
          </w:p>
        </w:tc>
        <w:tc>
          <w:tcPr/>
          <w:p>
            <w:pPr>
              <w:pStyle w:val="Compact"/>
              <w:jc w:val="left"/>
            </w:pPr>
            <w:r>
              <w:t xml:space="preserve">Abstract (Methods; Results; Conclusions and Relevance)</w:t>
            </w:r>
          </w:p>
        </w:tc>
      </w:tr>
      <w:tr>
        <w:tc>
          <w:tcPr/>
          <w:p>
            <w:pPr>
              <w:pStyle w:val="Compact"/>
              <w:jc w:val="left"/>
            </w:pPr>
            <w:r>
              <w:t xml:space="preserve">Introduction</w:t>
            </w:r>
          </w:p>
        </w:tc>
        <w:tc>
          <w:tcPr/>
          <w:p>
            <w:pPr>
              <w:pStyle w:val="Compact"/>
              <w:jc w:val="left"/>
            </w:pPr>
            <w:r>
              <w:t xml:space="preserve">2</w:t>
            </w:r>
          </w:p>
        </w:tc>
        <w:tc>
          <w:tcPr/>
          <w:p>
            <w:pPr>
              <w:pStyle w:val="Compact"/>
              <w:jc w:val="left"/>
            </w:pPr>
            <w:r>
              <w:t xml:space="preserve">Describe the scientific background of the study and the gap in knowledge.</w:t>
            </w:r>
          </w:p>
        </w:tc>
        <w:tc>
          <w:tcPr/>
          <w:p>
            <w:pPr>
              <w:pStyle w:val="Compact"/>
              <w:jc w:val="left"/>
            </w:pPr>
            <w:r>
              <w:t xml:space="preserve">Introduction (paragraphs 1-2)</w:t>
            </w:r>
          </w:p>
        </w:tc>
      </w:tr>
      <w:tr>
        <w:tc>
          <w:tcPr/>
          <w:p>
            <w:pPr>
              <w:pStyle w:val="Compact"/>
              <w:jc w:val="left"/>
            </w:pPr>
            <w:r>
              <w:t xml:space="preserve">Introduction</w:t>
            </w:r>
          </w:p>
        </w:tc>
        <w:tc>
          <w:tcPr/>
          <w:p>
            <w:pPr>
              <w:pStyle w:val="Compact"/>
              <w:jc w:val="left"/>
            </w:pPr>
            <w:r>
              <w:t xml:space="preserve">3</w:t>
            </w:r>
          </w:p>
        </w:tc>
        <w:tc>
          <w:tcPr/>
          <w:p>
            <w:pPr>
              <w:pStyle w:val="Compact"/>
              <w:jc w:val="left"/>
            </w:pPr>
            <w:r>
              <w:t xml:space="preserve">Summarize the causal question.</w:t>
            </w:r>
          </w:p>
        </w:tc>
        <w:tc>
          <w:tcPr/>
          <w:p>
            <w:pPr>
              <w:pStyle w:val="Compact"/>
              <w:jc w:val="left"/>
            </w:pPr>
            <w:r>
              <w:t xml:space="preserve">Introduction (paragraph 1); Methods (Case study design)</w:t>
            </w:r>
          </w:p>
        </w:tc>
      </w:tr>
      <w:tr>
        <w:tc>
          <w:tcPr/>
          <w:p>
            <w:pPr>
              <w:pStyle w:val="Compact"/>
              <w:jc w:val="left"/>
            </w:pPr>
            <w:r>
              <w:t xml:space="preserve">Introduction</w:t>
            </w:r>
          </w:p>
        </w:tc>
        <w:tc>
          <w:tcPr/>
          <w:p>
            <w:pPr>
              <w:pStyle w:val="Compact"/>
              <w:jc w:val="left"/>
            </w:pPr>
            <w:r>
              <w:t xml:space="preserve">4</w:t>
            </w:r>
          </w:p>
        </w:tc>
        <w:tc>
          <w:tcPr/>
          <w:p>
            <w:pPr>
              <w:pStyle w:val="Compact"/>
              <w:jc w:val="left"/>
            </w:pPr>
            <w:r>
              <w:t xml:space="preserve">Describe the rationale for emulating a target trial with the available data. Cite randomized trials informing the design of the target trial if applicable.</w:t>
            </w:r>
          </w:p>
        </w:tc>
        <w:tc>
          <w:tcPr/>
          <w:p>
            <w:pPr>
              <w:pStyle w:val="Compact"/>
              <w:jc w:val="left"/>
            </w:pPr>
            <w:r>
              <w:t xml:space="preserve">Introduction; Methods (GDMT known-effect comparison); eTable 8</w:t>
            </w:r>
          </w:p>
        </w:tc>
      </w:tr>
      <w:tr>
        <w:tc>
          <w:tcPr/>
          <w:p>
            <w:pPr>
              <w:pStyle w:val="Compact"/>
              <w:jc w:val="left"/>
            </w:pPr>
            <w:r>
              <w:t xml:space="preserve">Methods</w:t>
            </w:r>
          </w:p>
        </w:tc>
        <w:tc>
          <w:tcPr/>
          <w:p>
            <w:pPr>
              <w:pStyle w:val="Compact"/>
              <w:jc w:val="left"/>
            </w:pPr>
            <w:r>
              <w:t xml:space="preserve">5</w:t>
            </w:r>
          </w:p>
        </w:tc>
        <w:tc>
          <w:tcPr/>
          <w:p>
            <w:pPr>
              <w:pStyle w:val="Compact"/>
              <w:jc w:val="left"/>
            </w:pPr>
            <w:r>
              <w:t xml:space="preserve">Cite the data sources contributing to the analyses and for each one describe: original purpose, type, geographic locations, setting and time-period.</w:t>
            </w:r>
          </w:p>
        </w:tc>
        <w:tc>
          <w:tcPr/>
          <w:p>
            <w:pPr>
              <w:pStyle w:val="Compact"/>
              <w:jc w:val="left"/>
            </w:pPr>
            <w:r>
              <w:t xml:space="preserve">Methods (Case study design)</w:t>
            </w:r>
          </w:p>
        </w:tc>
      </w:tr>
      <w:tr>
        <w:tc>
          <w:tcPr/>
          <w:p>
            <w:pPr>
              <w:pStyle w:val="Compact"/>
              <w:jc w:val="left"/>
            </w:pPr>
            <w:r>
              <w:t xml:space="preserve">Methods</w:t>
            </w:r>
          </w:p>
        </w:tc>
        <w:tc>
          <w:tcPr/>
          <w:p>
            <w:pPr>
              <w:pStyle w:val="Compact"/>
              <w:jc w:val="left"/>
            </w:pPr>
            <w:r>
              <w:t xml:space="preserve">6a/7a</w:t>
            </w:r>
          </w:p>
        </w:tc>
        <w:tc>
          <w:tcPr/>
          <w:p>
            <w:pPr>
              <w:pStyle w:val="Compact"/>
              <w:jc w:val="left"/>
            </w:pPr>
            <w:r>
              <w:t xml:space="preserve">Eligibility criteria: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6b/7b</w:t>
            </w:r>
          </w:p>
        </w:tc>
        <w:tc>
          <w:tcPr/>
          <w:p>
            <w:pPr>
              <w:pStyle w:val="Compact"/>
              <w:jc w:val="left"/>
            </w:pPr>
            <w:r>
              <w:t xml:space="preserve">Treatment strategies: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6c/7c</w:t>
            </w:r>
          </w:p>
        </w:tc>
        <w:tc>
          <w:tcPr/>
          <w:p>
            <w:pPr>
              <w:pStyle w:val="Compact"/>
              <w:jc w:val="left"/>
            </w:pPr>
            <w:r>
              <w:t xml:space="preserve">Assignment procedures: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6d/7d</w:t>
            </w:r>
          </w:p>
        </w:tc>
        <w:tc>
          <w:tcPr/>
          <w:p>
            <w:pPr>
              <w:pStyle w:val="Compact"/>
              <w:jc w:val="left"/>
            </w:pPr>
            <w:r>
              <w:t xml:space="preserve">Follow-up: describe (specification) and operationalize with the data (emulation). Visual diagram recommended.</w:t>
            </w:r>
          </w:p>
        </w:tc>
        <w:tc>
          <w:tcPr/>
          <w:p>
            <w:pPr>
              <w:pStyle w:val="Compact"/>
              <w:jc w:val="left"/>
            </w:pPr>
            <w:r>
              <w:t xml:space="preserve">Methods (Case study design); eTable 8; eFigure 7</w:t>
            </w:r>
          </w:p>
        </w:tc>
      </w:tr>
      <w:tr>
        <w:tc>
          <w:tcPr/>
          <w:p>
            <w:pPr>
              <w:pStyle w:val="Compact"/>
              <w:jc w:val="left"/>
            </w:pPr>
            <w:r>
              <w:t xml:space="preserve">Methods</w:t>
            </w:r>
          </w:p>
        </w:tc>
        <w:tc>
          <w:tcPr/>
          <w:p>
            <w:pPr>
              <w:pStyle w:val="Compact"/>
              <w:jc w:val="left"/>
            </w:pPr>
            <w:r>
              <w:t xml:space="preserve">6e/7e</w:t>
            </w:r>
          </w:p>
        </w:tc>
        <w:tc>
          <w:tcPr/>
          <w:p>
            <w:pPr>
              <w:pStyle w:val="Compact"/>
              <w:jc w:val="left"/>
            </w:pPr>
            <w:r>
              <w:t xml:space="preserve">Outcomes: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6f/7f</w:t>
            </w:r>
          </w:p>
        </w:tc>
        <w:tc>
          <w:tcPr/>
          <w:p>
            <w:pPr>
              <w:pStyle w:val="Compact"/>
              <w:jc w:val="left"/>
            </w:pPr>
            <w:r>
              <w:t xml:space="preserve">Causal contrasts: describe (specification) and operationalize with the data (emulation).</w:t>
            </w:r>
          </w:p>
        </w:tc>
        <w:tc>
          <w:tcPr/>
          <w:p>
            <w:pPr>
              <w:pStyle w:val="Compact"/>
              <w:jc w:val="left"/>
            </w:pPr>
            <w:r>
              <w:t xml:space="preserve">Methods (The credibility metric); eTable 8</w:t>
            </w:r>
          </w:p>
        </w:tc>
      </w:tr>
      <w:tr>
        <w:tc>
          <w:tcPr/>
          <w:p>
            <w:pPr>
              <w:pStyle w:val="Compact"/>
              <w:jc w:val="left"/>
            </w:pPr>
            <w:r>
              <w:t xml:space="preserve">Methods</w:t>
            </w:r>
          </w:p>
        </w:tc>
        <w:tc>
          <w:tcPr/>
          <w:p>
            <w:pPr>
              <w:pStyle w:val="Compact"/>
              <w:jc w:val="left"/>
            </w:pPr>
            <w:r>
              <w:t xml:space="preserve">6g</w:t>
            </w:r>
          </w:p>
        </w:tc>
        <w:tc>
          <w:tcPr/>
          <w:p>
            <w:pPr>
              <w:pStyle w:val="Compact"/>
              <w:jc w:val="left"/>
            </w:pPr>
            <w:r>
              <w:t xml:space="preserve">Identifying assumptions: describe (specification) and operationalize with the data (emulation), including baseline confounding due to lack of randomization.</w:t>
            </w:r>
          </w:p>
        </w:tc>
        <w:tc>
          <w:tcPr/>
          <w:p>
            <w:pPr>
              <w:pStyle w:val="Compact"/>
              <w:jc w:val="left"/>
            </w:pPr>
            <w:r>
              <w:t xml:space="preserve">Methods (Notation and setting: bias exchangeability); Discussion (Limitations); eTable 8</w:t>
            </w:r>
          </w:p>
        </w:tc>
      </w:tr>
      <w:tr>
        <w:tc>
          <w:tcPr/>
          <w:p>
            <w:pPr>
              <w:pStyle w:val="Compact"/>
              <w:jc w:val="left"/>
            </w:pPr>
            <w:r>
              <w:t xml:space="preserve">Methods</w:t>
            </w:r>
          </w:p>
        </w:tc>
        <w:tc>
          <w:tcPr/>
          <w:p>
            <w:pPr>
              <w:pStyle w:val="Compact"/>
              <w:jc w:val="left"/>
            </w:pPr>
            <w:r>
              <w:t xml:space="preserve">6h</w:t>
            </w:r>
          </w:p>
        </w:tc>
        <w:tc>
          <w:tcPr/>
          <w:p>
            <w:pPr>
              <w:pStyle w:val="Compact"/>
              <w:jc w:val="left"/>
            </w:pPr>
            <w:r>
              <w:t xml:space="preserve">Data analysis plan: describe the data analysis procedures and any associated statistical modelling assumptions, including approaches for handling missing data.</w:t>
            </w:r>
          </w:p>
        </w:tc>
        <w:tc>
          <w:tcPr/>
          <w:p>
            <w:pPr>
              <w:pStyle w:val="Compact"/>
              <w:jc w:val="left"/>
            </w:pPr>
            <w:r>
              <w:t xml:space="preserve">Methods; eTable 8; Supplement (bootstrap and implementation details)</w:t>
            </w:r>
          </w:p>
        </w:tc>
      </w:tr>
      <w:tr>
        <w:tc>
          <w:tcPr/>
          <w:p>
            <w:pPr>
              <w:pStyle w:val="Compact"/>
              <w:jc w:val="left"/>
            </w:pPr>
            <w:r>
              <w:t xml:space="preserve">Methods</w:t>
            </w:r>
          </w:p>
        </w:tc>
        <w:tc>
          <w:tcPr/>
          <w:p>
            <w:pPr>
              <w:pStyle w:val="Compact"/>
              <w:jc w:val="left"/>
            </w:pPr>
            <w:r>
              <w:t xml:space="preserve">6h.ii</w:t>
            </w:r>
          </w:p>
        </w:tc>
        <w:tc>
          <w:tcPr/>
          <w:p>
            <w:pPr>
              <w:pStyle w:val="Compact"/>
              <w:jc w:val="left"/>
            </w:pPr>
            <w:r>
              <w:t xml:space="preserve">Sensitivity analyses to assess the sensitivity of the results to the choice of operationalizations, assumptions and analysis.</w:t>
            </w:r>
          </w:p>
        </w:tc>
        <w:tc>
          <w:tcPr/>
          <w:p>
            <w:pPr>
              <w:pStyle w:val="Compact"/>
              <w:jc w:val="left"/>
            </w:pPr>
            <w:r>
              <w:t xml:space="preserve">Results (Sensitivity analyses; eTables 3-6)</w:t>
            </w:r>
          </w:p>
        </w:tc>
      </w:tr>
      <w:tr>
        <w:tc>
          <w:tcPr/>
          <w:p>
            <w:pPr>
              <w:pStyle w:val="Compact"/>
              <w:jc w:val="left"/>
            </w:pPr>
            <w:r>
              <w:t xml:space="preserve">Results</w:t>
            </w:r>
          </w:p>
        </w:tc>
        <w:tc>
          <w:tcPr/>
          <w:p>
            <w:pPr>
              <w:pStyle w:val="Compact"/>
              <w:jc w:val="left"/>
            </w:pPr>
            <w:r>
              <w:t xml:space="preserve">8</w:t>
            </w:r>
          </w:p>
        </w:tc>
        <w:tc>
          <w:tcPr/>
          <w:p>
            <w:pPr>
              <w:pStyle w:val="Compact"/>
              <w:jc w:val="left"/>
            </w:pPr>
            <w:r>
              <w:t xml:space="preserve">Report numbers of individuals assessed for eligibility, eligible, and assigned to each treatment strategy. A flow diagram is strongly recommended.</w:t>
            </w:r>
          </w:p>
        </w:tc>
        <w:tc>
          <w:tcPr/>
          <w:p>
            <w:pPr>
              <w:pStyle w:val="Compact"/>
              <w:jc w:val="left"/>
            </w:pPr>
            <w:r>
              <w:t xml:space="preserve">eFigure 7</w:t>
            </w:r>
          </w:p>
        </w:tc>
      </w:tr>
      <w:tr>
        <w:tc>
          <w:tcPr/>
          <w:p>
            <w:pPr>
              <w:pStyle w:val="Compact"/>
              <w:jc w:val="left"/>
            </w:pPr>
            <w:r>
              <w:t xml:space="preserve">Results</w:t>
            </w:r>
          </w:p>
        </w:tc>
        <w:tc>
          <w:tcPr/>
          <w:p>
            <w:pPr>
              <w:pStyle w:val="Compact"/>
              <w:jc w:val="left"/>
            </w:pPr>
            <w:r>
              <w:t xml:space="preserve">9</w:t>
            </w:r>
          </w:p>
        </w:tc>
        <w:tc>
          <w:tcPr/>
          <w:p>
            <w:pPr>
              <w:pStyle w:val="Compact"/>
              <w:jc w:val="left"/>
            </w:pPr>
            <w:r>
              <w:t xml:space="preserve">Describe the distribution of characteristics of individuals at baseline, by treatment strategy.</w:t>
            </w:r>
          </w:p>
        </w:tc>
        <w:tc>
          <w:tcPr/>
          <w:p>
            <w:pPr>
              <w:pStyle w:val="Compact"/>
              <w:jc w:val="left"/>
            </w:pPr>
            <w:r>
              <w:t xml:space="preserve">eTable 9</w:t>
            </w:r>
          </w:p>
        </w:tc>
      </w:tr>
      <w:tr>
        <w:tc>
          <w:tcPr/>
          <w:p>
            <w:pPr>
              <w:pStyle w:val="Compact"/>
              <w:jc w:val="left"/>
            </w:pPr>
            <w:r>
              <w:t xml:space="preserve">Results</w:t>
            </w:r>
          </w:p>
        </w:tc>
        <w:tc>
          <w:tcPr/>
          <w:p>
            <w:pPr>
              <w:pStyle w:val="Compact"/>
              <w:jc w:val="left"/>
            </w:pPr>
            <w:r>
              <w:t xml:space="preserve">10</w:t>
            </w:r>
          </w:p>
        </w:tc>
        <w:tc>
          <w:tcPr/>
          <w:p>
            <w:pPr>
              <w:pStyle w:val="Compact"/>
              <w:jc w:val="left"/>
            </w:pPr>
            <w:r>
              <w:t xml:space="preserve">Summarize length of follow-up and describe reasons for end of follow-up for each treatment strategy and causal contrast.</w:t>
            </w:r>
          </w:p>
        </w:tc>
        <w:tc>
          <w:tcPr/>
          <w:p>
            <w:pPr>
              <w:pStyle w:val="Compact"/>
              <w:jc w:val="left"/>
            </w:pPr>
            <w:r>
              <w:t xml:space="preserve">eFigure 7; Methods (Case study design)</w:t>
            </w:r>
          </w:p>
        </w:tc>
      </w:tr>
      <w:tr>
        <w:tc>
          <w:tcPr/>
          <w:p>
            <w:pPr>
              <w:pStyle w:val="Compact"/>
              <w:jc w:val="left"/>
            </w:pPr>
            <w:r>
              <w:t xml:space="preserve">Results</w:t>
            </w:r>
          </w:p>
        </w:tc>
        <w:tc>
          <w:tcPr/>
          <w:p>
            <w:pPr>
              <w:pStyle w:val="Compact"/>
              <w:jc w:val="left"/>
            </w:pPr>
            <w:r>
              <w:t xml:space="preserve">11</w:t>
            </w:r>
          </w:p>
        </w:tc>
        <w:tc>
          <w:tcPr/>
          <w:p>
            <w:pPr>
              <w:pStyle w:val="Compact"/>
              <w:jc w:val="left"/>
            </w:pPr>
            <w:r>
              <w:t xml:space="preserve">Describe the frequency of missing data in all variables, by treatment strategy when applicable.</w:t>
            </w:r>
          </w:p>
        </w:tc>
        <w:tc>
          <w:tcPr/>
          <w:p>
            <w:pPr>
              <w:pStyle w:val="Compact"/>
              <w:jc w:val="left"/>
            </w:pPr>
            <w:r>
              <w:t xml:space="preserve">eTable 9; Methods (imputation via MICE)</w:t>
            </w:r>
          </w:p>
        </w:tc>
      </w:tr>
      <w:tr>
        <w:tc>
          <w:tcPr/>
          <w:p>
            <w:pPr>
              <w:pStyle w:val="Compact"/>
              <w:jc w:val="left"/>
            </w:pPr>
            <w:r>
              <w:t xml:space="preserve">Results</w:t>
            </w:r>
          </w:p>
        </w:tc>
        <w:tc>
          <w:tcPr/>
          <w:p>
            <w:pPr>
              <w:pStyle w:val="Compact"/>
              <w:jc w:val="left"/>
            </w:pPr>
            <w:r>
              <w:t xml:space="preserve">12</w:t>
            </w:r>
          </w:p>
        </w:tc>
        <w:tc>
          <w:tcPr/>
          <w:p>
            <w:pPr>
              <w:pStyle w:val="Compact"/>
              <w:jc w:val="left"/>
            </w:pPr>
            <w:r>
              <w:t xml:space="preserve">Describe the frequency or distribution of each outcome, by treatment strategy.</w:t>
            </w:r>
          </w:p>
        </w:tc>
        <w:tc>
          <w:tcPr/>
          <w:p>
            <w:pPr>
              <w:pStyle w:val="Compact"/>
              <w:jc w:val="left"/>
            </w:pPr>
            <w:r>
              <w:t xml:space="preserve">eFigure 7; Results (Calibration results)</w:t>
            </w:r>
          </w:p>
        </w:tc>
      </w:tr>
      <w:tr>
        <w:tc>
          <w:tcPr/>
          <w:p>
            <w:pPr>
              <w:pStyle w:val="Compact"/>
              <w:jc w:val="left"/>
            </w:pPr>
            <w:r>
              <w:t xml:space="preserve">Results</w:t>
            </w:r>
          </w:p>
        </w:tc>
        <w:tc>
          <w:tcPr/>
          <w:p>
            <w:pPr>
              <w:pStyle w:val="Compact"/>
              <w:jc w:val="left"/>
            </w:pPr>
            <w:r>
              <w:t xml:space="preserve">13</w:t>
            </w:r>
          </w:p>
        </w:tc>
        <w:tc>
          <w:tcPr/>
          <w:p>
            <w:pPr>
              <w:pStyle w:val="Compact"/>
              <w:jc w:val="left"/>
            </w:pPr>
            <w:r>
              <w:t xml:space="preserve">Report the effect estimates for each causal contrast with corresponding measures of precision, including both absolute and relative measures of effect, when applicable.</w:t>
            </w:r>
          </w:p>
        </w:tc>
        <w:tc>
          <w:tcPr/>
          <w:p>
            <w:pPr>
              <w:pStyle w:val="Compact"/>
              <w:jc w:val="left"/>
            </w:pPr>
            <w:r>
              <w:t xml:space="preserve">Results (Tables 1-2; Figures 1-2)</w:t>
            </w:r>
          </w:p>
        </w:tc>
      </w:tr>
      <w:tr>
        <w:tc>
          <w:tcPr/>
          <w:p>
            <w:pPr>
              <w:pStyle w:val="Compact"/>
              <w:jc w:val="left"/>
            </w:pPr>
            <w:r>
              <w:t xml:space="preserve">Results</w:t>
            </w:r>
          </w:p>
        </w:tc>
        <w:tc>
          <w:tcPr/>
          <w:p>
            <w:pPr>
              <w:pStyle w:val="Compact"/>
              <w:jc w:val="left"/>
            </w:pPr>
            <w:r>
              <w:t xml:space="preserve">14</w:t>
            </w:r>
          </w:p>
        </w:tc>
        <w:tc>
          <w:tcPr/>
          <w:p>
            <w:pPr>
              <w:pStyle w:val="Compact"/>
              <w:jc w:val="left"/>
            </w:pPr>
            <w:r>
              <w:t xml:space="preserve">Report results of all analyses to assess the sensitivity of the estimates to choices in operationalizations, assumptions and analysis.</w:t>
            </w:r>
          </w:p>
        </w:tc>
        <w:tc>
          <w:tcPr/>
          <w:p>
            <w:pPr>
              <w:pStyle w:val="Compact"/>
              <w:jc w:val="left"/>
            </w:pPr>
            <w:r>
              <w:t xml:space="preserve">Results (Sensitivity analyses; eTables 3-6)</w:t>
            </w:r>
          </w:p>
        </w:tc>
      </w:tr>
      <w:tr>
        <w:tc>
          <w:tcPr/>
          <w:p>
            <w:pPr>
              <w:pStyle w:val="Compact"/>
              <w:jc w:val="left"/>
            </w:pPr>
            <w:r>
              <w:t xml:space="preserve">Discussion</w:t>
            </w:r>
          </w:p>
        </w:tc>
        <w:tc>
          <w:tcPr/>
          <w:p>
            <w:pPr>
              <w:pStyle w:val="Compact"/>
              <w:jc w:val="left"/>
            </w:pPr>
            <w:r>
              <w:t xml:space="preserve">15</w:t>
            </w:r>
          </w:p>
        </w:tc>
        <w:tc>
          <w:tcPr/>
          <w:p>
            <w:pPr>
              <w:pStyle w:val="Compact"/>
              <w:jc w:val="left"/>
            </w:pPr>
            <w:r>
              <w:t xml:space="preserve">Provide an interpretation of the key findings.</w:t>
            </w:r>
          </w:p>
        </w:tc>
        <w:tc>
          <w:tcPr/>
          <w:p>
            <w:pPr>
              <w:pStyle w:val="Compact"/>
              <w:jc w:val="left"/>
            </w:pPr>
            <w:r>
              <w:t xml:space="preserve">Discussion (Principal findings; Clinical interpretation)</w:t>
            </w:r>
          </w:p>
        </w:tc>
      </w:tr>
      <w:tr>
        <w:tc>
          <w:tcPr/>
          <w:p>
            <w:pPr>
              <w:pStyle w:val="Compact"/>
              <w:jc w:val="left"/>
            </w:pPr>
            <w:r>
              <w:t xml:space="preserve">Discussion</w:t>
            </w:r>
          </w:p>
        </w:tc>
        <w:tc>
          <w:tcPr/>
          <w:p>
            <w:pPr>
              <w:pStyle w:val="Compact"/>
              <w:jc w:val="left"/>
            </w:pPr>
            <w:r>
              <w:t xml:space="preserve">16</w:t>
            </w:r>
          </w:p>
        </w:tc>
        <w:tc>
          <w:tcPr/>
          <w:p>
            <w:pPr>
              <w:pStyle w:val="Compact"/>
              <w:jc w:val="left"/>
            </w:pPr>
            <w:r>
              <w:t xml:space="preserve">Discuss the limitations of the study considering differences between the target trial and its emulation and the plausibility of assumptions, including assumptions regarding baseline confounding due to lack of randomization.</w:t>
            </w:r>
          </w:p>
        </w:tc>
        <w:tc>
          <w:tcPr/>
          <w:p>
            <w:pPr>
              <w:pStyle w:val="Compact"/>
              <w:jc w:val="left"/>
            </w:pPr>
            <w:r>
              <w:t xml:space="preserve">Discussion (Limitations; When calibration-based diagnostics should not be used)</w:t>
            </w:r>
          </w:p>
        </w:tc>
      </w:tr>
      <w:tr>
        <w:tc>
          <w:tcPr/>
          <w:p>
            <w:pPr>
              <w:pStyle w:val="Compact"/>
              <w:jc w:val="left"/>
            </w:pPr>
            <w:r>
              <w:t xml:space="preserve">Other information</w:t>
            </w:r>
          </w:p>
        </w:tc>
        <w:tc>
          <w:tcPr/>
          <w:p>
            <w:pPr>
              <w:pStyle w:val="Compact"/>
              <w:jc w:val="left"/>
            </w:pPr>
            <w:r>
              <w:t xml:space="preserve">17</w:t>
            </w:r>
          </w:p>
        </w:tc>
        <w:tc>
          <w:tcPr/>
          <w:p>
            <w:pPr>
              <w:pStyle w:val="Compact"/>
              <w:jc w:val="left"/>
            </w:pPr>
            <w:r>
              <w:t xml:space="preserve">Provide the institutional research board or ethics committee that approved the study and approval numbers, if relevant.</w:t>
            </w:r>
          </w:p>
        </w:tc>
        <w:tc>
          <w:tcPr/>
          <w:p>
            <w:pPr>
              <w:pStyle w:val="Compact"/>
              <w:jc w:val="left"/>
            </w:pPr>
            <w:r>
              <w:t xml:space="preserve">Methods (ethics statement)</w:t>
            </w:r>
          </w:p>
        </w:tc>
      </w:tr>
      <w:tr>
        <w:tc>
          <w:tcPr/>
          <w:p>
            <w:pPr>
              <w:pStyle w:val="Compact"/>
              <w:jc w:val="left"/>
            </w:pPr>
            <w:r>
              <w:t xml:space="preserve">Other information</w:t>
            </w:r>
          </w:p>
        </w:tc>
        <w:tc>
          <w:tcPr/>
          <w:p>
            <w:pPr>
              <w:pStyle w:val="Compact"/>
              <w:jc w:val="left"/>
            </w:pPr>
            <w:r>
              <w:t xml:space="preserve">18</w:t>
            </w:r>
          </w:p>
        </w:tc>
        <w:tc>
          <w:tcPr/>
          <w:p>
            <w:pPr>
              <w:pStyle w:val="Compact"/>
              <w:jc w:val="left"/>
            </w:pPr>
            <w:r>
              <w:t xml:space="preserve">State whether, when and where the study protocol was registered.</w:t>
            </w:r>
          </w:p>
        </w:tc>
        <w:tc>
          <w:tcPr/>
          <w:p>
            <w:pPr>
              <w:pStyle w:val="Compact"/>
              <w:jc w:val="left"/>
            </w:pPr>
            <w:r>
              <w:t xml:space="preserve">eAppendix 5 (not registered; methodological illustration)</w:t>
            </w:r>
          </w:p>
        </w:tc>
      </w:tr>
      <w:tr>
        <w:tc>
          <w:tcPr/>
          <w:p>
            <w:pPr>
              <w:pStyle w:val="Compact"/>
              <w:jc w:val="left"/>
            </w:pPr>
            <w:r>
              <w:t xml:space="preserve">Other information</w:t>
            </w:r>
          </w:p>
        </w:tc>
        <w:tc>
          <w:tcPr/>
          <w:p>
            <w:pPr>
              <w:pStyle w:val="Compact"/>
              <w:jc w:val="left"/>
            </w:pPr>
            <w:r>
              <w:t xml:space="preserve">19</w:t>
            </w:r>
          </w:p>
        </w:tc>
        <w:tc>
          <w:tcPr/>
          <w:p>
            <w:pPr>
              <w:pStyle w:val="Compact"/>
              <w:jc w:val="left"/>
            </w:pPr>
            <w:r>
              <w:t xml:space="preserve">Provide information on whether data, analytic code and/or other materials are accessible, and where and how they can be accessed.</w:t>
            </w:r>
          </w:p>
        </w:tc>
        <w:tc>
          <w:tcPr/>
          <w:p>
            <w:pPr>
              <w:pStyle w:val="Compact"/>
              <w:jc w:val="left"/>
            </w:pPr>
            <w:r>
              <w:t xml:space="preserve">Data sharing statement; analysis code repository URL</w:t>
            </w:r>
          </w:p>
        </w:tc>
      </w:tr>
      <w:tr>
        <w:tc>
          <w:tcPr/>
          <w:p>
            <w:pPr>
              <w:pStyle w:val="Compact"/>
              <w:jc w:val="left"/>
            </w:pPr>
            <w:r>
              <w:t xml:space="preserve">Other information</w:t>
            </w:r>
          </w:p>
        </w:tc>
        <w:tc>
          <w:tcPr/>
          <w:p>
            <w:pPr>
              <w:pStyle w:val="Compact"/>
              <w:jc w:val="left"/>
            </w:pPr>
            <w:r>
              <w:t xml:space="preserve">20</w:t>
            </w:r>
          </w:p>
        </w:tc>
        <w:tc>
          <w:tcPr/>
          <w:p>
            <w:pPr>
              <w:pStyle w:val="Compact"/>
              <w:jc w:val="left"/>
            </w:pPr>
            <w:r>
              <w:t xml:space="preserve">Provide the sources of funding and detail the role of the funders in the design, conduct and reporting of the study.</w:t>
            </w:r>
          </w:p>
        </w:tc>
        <w:tc>
          <w:tcPr/>
          <w:p>
            <w:pPr>
              <w:pStyle w:val="Compact"/>
              <w:jc w:val="left"/>
            </w:pPr>
            <w:r>
              <w:t xml:space="preserve">Funding statement</w:t>
            </w:r>
          </w:p>
        </w:tc>
      </w:tr>
      <w:tr>
        <w:tc>
          <w:tcPr/>
          <w:p>
            <w:pPr>
              <w:pStyle w:val="Compact"/>
              <w:jc w:val="left"/>
            </w:pPr>
            <w:r>
              <w:t xml:space="preserve">Other information</w:t>
            </w:r>
          </w:p>
        </w:tc>
        <w:tc>
          <w:tcPr/>
          <w:p>
            <w:pPr>
              <w:pStyle w:val="Compact"/>
              <w:jc w:val="left"/>
            </w:pPr>
            <w:r>
              <w:t xml:space="preserve">21</w:t>
            </w:r>
          </w:p>
        </w:tc>
        <w:tc>
          <w:tcPr/>
          <w:p>
            <w:pPr>
              <w:pStyle w:val="Compact"/>
              <w:jc w:val="left"/>
            </w:pPr>
            <w:r>
              <w:t xml:space="preserve">State any conflicts of interest and financial disclosures for all authors.</w:t>
            </w:r>
          </w:p>
        </w:tc>
        <w:tc>
          <w:tcPr/>
          <w:p>
            <w:pPr>
              <w:pStyle w:val="Compact"/>
              <w:jc w:val="left"/>
            </w:pPr>
            <w:r>
              <w:t xml:space="preserve">Conflict of interest disclosures</w:t>
            </w:r>
          </w:p>
        </w:tc>
      </w:tr>
    </w:tbl>
    <w:bookmarkEnd w:id="25"/>
    <w:bookmarkStart w:id="26" w:name="Xb2e58fb668c0a37f4537ff3f3e82e9c7e34f624"/>
    <w:p>
      <w:pPr>
        <w:pStyle w:val="Heading1"/>
      </w:pPr>
      <w:r>
        <w:t xml:space="preserve">eTable 8. Target trial protocol and observational emulation (TARGET template 1)</w:t>
      </w:r>
    </w:p>
    <w:p>
      <w:pPr>
        <w:pStyle w:val="TableCaption"/>
      </w:pPr>
      <w:r>
        <w:t xml:space="preserve">Specification of the target trial protocol and its observational emulation, following TARGET template 1. The hypothetical trial and the observational emulation share the same causal estimand; the observational emulation uses an achieved-dose point treatment and adjusts for unmeasured confounding through negative control calibration. eFigure 7 documents the participant flow.</w:t>
      </w:r>
    </w:p>
    <w:tbl>
      <w:tblPr>
        <w:tblStyle w:val="Table"/>
        <w:tblW w:type="pct" w:w="5000"/>
        <w:tblLayout w:type="fixed"/>
        <w:tblLook w:firstRow="1" w:lastRow="0" w:firstColumn="0" w:lastColumn="0" w:noHBand="0" w:noVBand="0" w:val="0020"/>
        <w:tblCaption w:val="Specification of the target trial protocol and its observational emulation, following TARGET template 1. The hypothetical trial and the observational emulation share the same causal estimand; the observational emulation uses an achieved-dose point treatment and adjusts for unmeasured confounding through negative control calibration. eFigure 7 documents the participant flow."/>
      </w:tblPr>
      <w:tblGrid>
        <w:gridCol w:w="269"/>
        <w:gridCol w:w="3589"/>
        <w:gridCol w:w="4060"/>
      </w:tblGrid>
      <w:tr>
        <w:trPr>
          <w:tblHeader w:val="on"/>
        </w:trPr>
        <w:tc>
          <w:tcPr/>
          <w:p>
            <w:pPr>
              <w:pStyle w:val="Compact"/>
              <w:jc w:val="left"/>
            </w:pPr>
            <w:r>
              <w:t xml:space="preserve">Protocol component</w:t>
            </w:r>
          </w:p>
        </w:tc>
        <w:tc>
          <w:tcPr/>
          <w:p>
            <w:pPr>
              <w:pStyle w:val="Compact"/>
              <w:jc w:val="left"/>
            </w:pPr>
            <w:r>
              <w:t xml:space="preserve">Target trial</w:t>
            </w:r>
          </w:p>
        </w:tc>
        <w:tc>
          <w:tcPr/>
          <w:p>
            <w:pPr>
              <w:pStyle w:val="Compact"/>
              <w:jc w:val="left"/>
            </w:pPr>
            <w:r>
              <w:t xml:space="preserve">Observational emulation</w:t>
            </w:r>
          </w:p>
        </w:tc>
      </w:tr>
      <w:tr>
        <w:tc>
          <w:tcPr/>
          <w:p>
            <w:pPr>
              <w:pStyle w:val="Compact"/>
              <w:jc w:val="left"/>
            </w:pPr>
            <w:r>
              <w:t xml:space="preserve">Causal estimand</w:t>
            </w:r>
          </w:p>
        </w:tc>
        <w:tc>
          <w:tcPr/>
          <w:p>
            <w:pPr>
              <w:pStyle w:val="Compact"/>
              <w:jc w:val="left"/>
            </w:pPr>
            <w:r>
              <w:t xml:space="preserve">Log relative risk of 1-year all-cause mortality for adults hospitalized with heart failure, comparing randomization to in-hospital titration to at least 50% of guideline-recommended target beta-blocker dose versus titration to less than 50%, with random assignment and blinding not required of the patient or clinician.</w:t>
            </w:r>
          </w:p>
        </w:tc>
        <w:tc>
          <w:tcPr/>
          <w:p>
            <w:pPr>
              <w:pStyle w:val="Compact"/>
              <w:jc w:val="left"/>
            </w:pPr>
            <w:r>
              <w:t xml:space="preserve">Same estimand, estimated with TMLE</w:t>
            </w:r>
            <w:r>
              <w:rPr>
                <w:vertAlign w:val="superscript"/>
              </w:rPr>
              <w:t xml:space="preserve">6</w:t>
            </w:r>
            <w:r>
              <w:t xml:space="preserve"> </w:t>
            </w:r>
            <w:r>
              <w:t xml:space="preserve">using the Observational Health Data Sciences and Informatics empirical calibration pipeline.</w:t>
            </w:r>
          </w:p>
        </w:tc>
      </w:tr>
      <w:tr>
        <w:tc>
          <w:tcPr/>
          <w:p>
            <w:pPr>
              <w:pStyle w:val="Compact"/>
              <w:jc w:val="left"/>
            </w:pPr>
            <w:r>
              <w:t xml:space="preserve">Eligibility criteria</w:t>
            </w:r>
          </w:p>
        </w:tc>
        <w:tc>
          <w:tcPr/>
          <w:p>
            <w:pPr>
              <w:pStyle w:val="Compact"/>
              <w:jc w:val="left"/>
            </w:pPr>
            <w:r>
              <w:t xml:space="preserve">Adults hospitalized with heart failure; contraindications to either strategy (cardiogenic shock, severe bradycardia, high-grade atrioventricular block, eGFR &lt; 15 mL/min/1.73 m^2, prior beta-blocker use within 90 days) excluded.</w:t>
            </w:r>
          </w:p>
        </w:tc>
        <w:tc>
          <w:tcPr/>
          <w:p>
            <w:pPr>
              <w:pStyle w:val="Compact"/>
              <w:jc w:val="left"/>
            </w:pPr>
            <w:r>
              <w:t xml:space="preserve">Operationalized with MIMIC-IV (v2.2) with the ECG extension (v1.0.1)</w:t>
            </w:r>
            <w:r>
              <w:rPr>
                <w:vertAlign w:val="superscript"/>
              </w:rPr>
              <w:t xml:space="preserve">7</w:t>
            </w:r>
            <w:r>
              <w:t xml:space="preserve">: I50.x diagnosis codes, adults aged 18 years or older, ECG within 48 hours, exclusions above, and survival through the 7-day grace period.</w:t>
            </w:r>
          </w:p>
        </w:tc>
      </w:tr>
      <w:tr>
        <w:tc>
          <w:tcPr/>
          <w:p>
            <w:pPr>
              <w:pStyle w:val="Compact"/>
              <w:jc w:val="left"/>
            </w:pPr>
            <w:r>
              <w:t xml:space="preserve">Treatment strategies</w:t>
            </w:r>
          </w:p>
        </w:tc>
        <w:tc>
          <w:tcPr/>
          <w:p>
            <w:pPr>
              <w:pStyle w:val="Compact"/>
              <w:jc w:val="left"/>
            </w:pPr>
            <w:r>
              <w:t xml:space="preserve">Strategy A: titrate to at least 50% of guideline-recommended target beta-blocker dose during the index hospitalization. Strategy B: receive less than 50% of target dose during the index hospitalization.</w:t>
            </w:r>
          </w:p>
        </w:tc>
        <w:tc>
          <w:tcPr/>
          <w:p>
            <w:pPr>
              <w:pStyle w:val="Compact"/>
              <w:jc w:val="left"/>
            </w:pPr>
            <w:r>
              <w:t xml:space="preserve">Operationalized by the maximum prescribed beta-blocker dose as a percentage of the guideline-recommended target dose during the index hospitalization, dichotomized at 50%.</w:t>
            </w:r>
          </w:p>
        </w:tc>
      </w:tr>
      <w:tr>
        <w:tc>
          <w:tcPr/>
          <w:p>
            <w:pPr>
              <w:pStyle w:val="Compact"/>
              <w:jc w:val="left"/>
            </w:pPr>
            <w:r>
              <w:t xml:space="preserve">Assignment procedures</w:t>
            </w:r>
          </w:p>
        </w:tc>
        <w:tc>
          <w:tcPr/>
          <w:p>
            <w:pPr>
              <w:pStyle w:val="Compact"/>
              <w:jc w:val="left"/>
            </w:pPr>
            <w:r>
              <w:t xml:space="preserve">Random assignment at baseline, with participants and clinicians aware of allocation.</w:t>
            </w:r>
          </w:p>
        </w:tc>
        <w:tc>
          <w:tcPr/>
          <w:p>
            <w:pPr>
              <w:pStyle w:val="Compact"/>
              <w:jc w:val="left"/>
            </w:pPr>
            <w:r>
              <w:t xml:space="preserve">No randomization; treatment classification based on achieved dose at time zero (end of 7-day grace period). Baseline confounding addressed by TMLE adjustment for 10 covariates and by negative control calibration.</w:t>
            </w:r>
          </w:p>
        </w:tc>
      </w:tr>
      <w:tr>
        <w:tc>
          <w:tcPr/>
          <w:p>
            <w:pPr>
              <w:pStyle w:val="Compact"/>
              <w:jc w:val="left"/>
            </w:pPr>
            <w:r>
              <w:t xml:space="preserve">Follow-up</w:t>
            </w:r>
          </w:p>
        </w:tc>
        <w:tc>
          <w:tcPr/>
          <w:p>
            <w:pPr>
              <w:pStyle w:val="Compact"/>
              <w:jc w:val="left"/>
            </w:pPr>
            <w:r>
              <w:t xml:space="preserve">Follow-up from time zero to 1 year or death, whichever occurs first.</w:t>
            </w:r>
          </w:p>
        </w:tc>
        <w:tc>
          <w:tcPr/>
          <w:p>
            <w:pPr>
              <w:pStyle w:val="Compact"/>
              <w:jc w:val="left"/>
            </w:pPr>
            <w:r>
              <w:t xml:space="preserve">Operationalized as the interval days 8 to 365 from admission, with all-cause death ascertained from MIMIC-IV date-of-death records (in-hospital and post-discharge) and survivors administratively censored at 1 year.</w:t>
            </w:r>
          </w:p>
        </w:tc>
      </w:tr>
      <w:tr>
        <w:tc>
          <w:tcPr/>
          <w:p>
            <w:pPr>
              <w:pStyle w:val="Compact"/>
              <w:jc w:val="left"/>
            </w:pPr>
            <w:r>
              <w:t xml:space="preserve">Outcome(s)</w:t>
            </w:r>
          </w:p>
        </w:tc>
        <w:tc>
          <w:tcPr/>
          <w:p>
            <w:pPr>
              <w:pStyle w:val="Compact"/>
              <w:jc w:val="left"/>
            </w:pPr>
            <w:r>
              <w:t xml:space="preserve">All-cause mortality within 1 year.</w:t>
            </w:r>
          </w:p>
        </w:tc>
        <w:tc>
          <w:tcPr/>
          <w:p>
            <w:pPr>
              <w:pStyle w:val="Compact"/>
              <w:jc w:val="left"/>
            </w:pPr>
            <w:r>
              <w:t xml:space="preserve">Same endpoint, captured as a binary indicator of death within the follow-up window.</w:t>
            </w:r>
          </w:p>
        </w:tc>
      </w:tr>
      <w:tr>
        <w:tc>
          <w:tcPr/>
          <w:p>
            <w:pPr>
              <w:pStyle w:val="Compact"/>
              <w:jc w:val="left"/>
            </w:pPr>
            <w:r>
              <w:t xml:space="preserve">Causal contrast(s)</w:t>
            </w:r>
          </w:p>
        </w:tc>
        <w:tc>
          <w:tcPr/>
          <w:p>
            <w:pPr>
              <w:pStyle w:val="Compact"/>
              <w:jc w:val="left"/>
            </w:pPr>
            <w:r>
              <w:t xml:space="preserve">Intention-to-treat contrast on the log relative risk scale.</w:t>
            </w:r>
          </w:p>
        </w:tc>
        <w:tc>
          <w:tcPr/>
          <w:p>
            <w:pPr>
              <w:pStyle w:val="Compact"/>
              <w:jc w:val="left"/>
            </w:pPr>
            <w:r>
              <w:t xml:space="preserve">Same intention-to-treat-like contrast for a point-treatment strategy classified at time zero; not a per-protocol analysis.</w:t>
            </w:r>
          </w:p>
        </w:tc>
      </w:tr>
      <w:tr>
        <w:tc>
          <w:tcPr/>
          <w:p>
            <w:pPr>
              <w:pStyle w:val="Compact"/>
              <w:jc w:val="left"/>
            </w:pPr>
            <w:r>
              <w:t xml:space="preserve">Identifying assumptions</w:t>
            </w:r>
          </w:p>
        </w:tc>
        <w:tc>
          <w:tcPr/>
          <w:p>
            <w:pPr>
              <w:pStyle w:val="Compact"/>
              <w:jc w:val="left"/>
            </w:pPr>
            <w:r>
              <w:t xml:space="preserve">No unmeasured confounding conditional on baseline covariates; consistency; positivity.</w:t>
            </w:r>
          </w:p>
        </w:tc>
        <w:tc>
          <w:tcPr/>
          <w:p>
            <w:pPr>
              <w:pStyle w:val="Compact"/>
              <w:jc w:val="left"/>
            </w:pPr>
            <w:r>
              <w:t xml:space="preserve">Baseline exchangeability conditional on 10 baseline covariates is plausible; bias exchangeability (shared bias structure) is addressed by negative control calibration</w:t>
            </w:r>
            <w:r>
              <w:rPr>
                <w:vertAlign w:val="superscript"/>
              </w:rPr>
              <w:t xml:space="preserve">1</w:t>
            </w:r>
            <w:r>
              <w:t xml:space="preserve">.</w:t>
            </w:r>
          </w:p>
        </w:tc>
      </w:tr>
      <w:tr>
        <w:tc>
          <w:tcPr/>
          <w:p>
            <w:pPr>
              <w:pStyle w:val="Compact"/>
              <w:jc w:val="left"/>
            </w:pPr>
            <w:r>
              <w:t xml:space="preserve">Data analysis plan</w:t>
            </w:r>
          </w:p>
        </w:tc>
        <w:tc>
          <w:tcPr/>
          <w:p>
            <w:pPr>
              <w:pStyle w:val="Compact"/>
              <w:jc w:val="left"/>
            </w:pPr>
            <w:r>
              <w:t xml:space="preserve">Log-binomial regression or analogous model with covariate adjustment; sensitivity analyses for unmeasured confounding; prespecified analysis plan.</w:t>
            </w:r>
          </w:p>
        </w:tc>
        <w:tc>
          <w:tcPr/>
          <w:p>
            <w:pPr>
              <w:pStyle w:val="Compact"/>
              <w:jc w:val="left"/>
            </w:pPr>
            <w:r>
              <w:t xml:space="preserve">TMLE with SuperLearner (SL.glm sole learner) for both nuisance models, MICE imputation with 5 datasets, empirical null fitting via EmpiricalCalibration, BF with bootstrap 95% confidence intervals (B = 2000), prespecified sensitivity analyses (leave-one-out negative control, SuperLearner library variation, grace period 3-14 days, GDMT known-effect comparison).</w:t>
            </w:r>
          </w:p>
        </w:tc>
      </w:tr>
    </w:tbl>
    <w:bookmarkEnd w:id="26"/>
    <w:bookmarkStart w:id="27" w:name="X70077f09e50e75a00b74822eba6cbffd15690dd"/>
    <w:p>
      <w:pPr>
        <w:pStyle w:val="Heading1"/>
      </w:pPr>
      <w:r>
        <w:t xml:space="preserve">eTable 9. Baseline characteristics of the eligible cohort by treatment strategy</w:t>
      </w:r>
    </w:p>
    <w:p>
      <w:pPr>
        <w:pStyle w:val="TableCaption"/>
      </w:pPr>
      <w:r>
        <w:t xml:space="preserve">Baseline characteristics of the eligible cohort (n = 14,677) by treatment strategy, drawn from the 10 baseline covariates used in the TMLE adjustment (age, sex, heart rate, QRS duration, QTc interval, atrial fibrillation, left bundle branch block, creatinine, eGFR, potassium) together with additional variables available in MIMIC-IV. Continuous variables are reported as mean (SD); skewed variables (creatinine, troponin T, NT-proBNP) are reported as median [interquartile range]. Categorical variables are reported as n (%). Standardized mean differences (SMDs) compare the two treatment strategies; values below 0.1 indicate adequate balance. Laboratory values with substantial missingness (potassium 72.1%, sodium 95.9%, troponin T 58.9%, NT-proBNP 84.4%, creatinine and eGFR 3.3%, hemoglobin 5.4%) were imputed by multiple imputation by chained equations with 5 datasets for the primary TMLE analysis.</w:t>
      </w:r>
    </w:p>
    <w:tbl>
      <w:tblPr>
        <w:tblStyle w:val="Table"/>
        <w:tblW w:type="pct" w:w="5000"/>
        <w:tblLayout w:type="fixed"/>
        <w:tblLook w:firstRow="1" w:lastRow="0" w:firstColumn="0" w:lastColumn="0" w:noHBand="0" w:noVBand="0" w:val="0020"/>
        <w:tblCaption w:val="Baseline characteristics of the eligible cohort (n = 14,677) by treatment strategy, drawn from the 10 baseline covariates used in the TMLE adjustment (age, sex, heart rate, QRS duration, QTc interval, atrial fibrillation, left bundle branch block, creatinine, eGFR, potassium) together with additional variables available in MIMIC-IV. Continuous variables are reported as mean (SD); skewed variables (creatinine, troponin T, NT-proBNP) are reported as median [interquartile range]. Categorical variables are reported as n (%). Standardized mean differences (SMDs) compare the two treatment strategies; values below 0.1 indicate adequate balance. Laboratory values with substantial missingness (potassium 72.1%, sodium 95.9%, troponin T 58.9%, NT-proBNP 84.4%, creatinine and eGFR 3.3%, hemoglobin 5.4%) were imputed by multiple imputation by chained equations with 5 datasets for the primary TMLE analysis."/>
      </w:tblPr>
      <w:tblGrid>
        <w:gridCol w:w="1863"/>
        <w:gridCol w:w="1597"/>
        <w:gridCol w:w="1996"/>
        <w:gridCol w:w="2063"/>
        <w:gridCol w:w="399"/>
      </w:tblGrid>
      <w:tr>
        <w:trPr>
          <w:tblHeader w:val="on"/>
        </w:trPr>
        <w:tc>
          <w:tcPr/>
          <w:p>
            <w:pPr>
              <w:pStyle w:val="Compact"/>
              <w:jc w:val="left"/>
            </w:pPr>
            <w:r>
              <w:t xml:space="preserve">Variable</w:t>
            </w:r>
          </w:p>
        </w:tc>
        <w:tc>
          <w:tcPr/>
          <w:p>
            <w:pPr>
              <w:pStyle w:val="Compact"/>
              <w:jc w:val="right"/>
            </w:pPr>
            <w:r>
              <w:t xml:space="preserve">Overall (N = 14,677)</w:t>
            </w:r>
          </w:p>
        </w:tc>
        <w:tc>
          <w:tcPr/>
          <w:p>
            <w:pPr>
              <w:pStyle w:val="Compact"/>
              <w:jc w:val="right"/>
            </w:pPr>
            <w:r>
              <w:t xml:space="preserve">≥ 50% target dose (n = 1,772)</w:t>
            </w:r>
          </w:p>
        </w:tc>
        <w:tc>
          <w:tcPr/>
          <w:p>
            <w:pPr>
              <w:pStyle w:val="Compact"/>
              <w:jc w:val="right"/>
            </w:pPr>
            <w:r>
              <w:t xml:space="preserve">&lt; 50% target dose (n = 12,905)</w:t>
            </w:r>
          </w:p>
        </w:tc>
        <w:tc>
          <w:tcPr/>
          <w:p>
            <w:pPr>
              <w:pStyle w:val="Compact"/>
              <w:jc w:val="right"/>
            </w:pPr>
            <w:r>
              <w:t xml:space="preserve">SMD</w:t>
            </w:r>
          </w:p>
        </w:tc>
      </w:tr>
      <w:tr>
        <w:tc>
          <w:tcPr/>
          <w:p>
            <w:pPr>
              <w:pStyle w:val="Compact"/>
              <w:jc w:val="left"/>
            </w:pPr>
            <w:r>
              <w:t xml:space="preserve">Age, y</w:t>
            </w:r>
          </w:p>
        </w:tc>
        <w:tc>
          <w:tcPr/>
          <w:p>
            <w:pPr>
              <w:pStyle w:val="Compact"/>
              <w:jc w:val="right"/>
            </w:pPr>
            <w:r>
              <w:t xml:space="preserve">71.3 (13.6)</w:t>
            </w:r>
          </w:p>
        </w:tc>
        <w:tc>
          <w:tcPr/>
          <w:p>
            <w:pPr>
              <w:pStyle w:val="Compact"/>
              <w:jc w:val="right"/>
            </w:pPr>
            <w:r>
              <w:t xml:space="preserve">70.0 (12.9)</w:t>
            </w:r>
          </w:p>
        </w:tc>
        <w:tc>
          <w:tcPr/>
          <w:p>
            <w:pPr>
              <w:pStyle w:val="Compact"/>
              <w:jc w:val="right"/>
            </w:pPr>
            <w:r>
              <w:t xml:space="preserve">71.4 (13.6)</w:t>
            </w:r>
          </w:p>
        </w:tc>
        <w:tc>
          <w:tcPr/>
          <w:p>
            <w:pPr>
              <w:pStyle w:val="Compact"/>
              <w:jc w:val="right"/>
            </w:pPr>
            <w:r>
              <w:t xml:space="preserve">0.106</w:t>
            </w:r>
          </w:p>
        </w:tc>
      </w:tr>
      <w:tr>
        <w:tc>
          <w:tcPr/>
          <w:p>
            <w:pPr>
              <w:pStyle w:val="Compact"/>
              <w:jc w:val="left"/>
            </w:pPr>
            <w:r>
              <w:t xml:space="preserve">Female</w:t>
            </w:r>
          </w:p>
        </w:tc>
        <w:tc>
          <w:tcPr/>
          <w:p>
            <w:pPr>
              <w:pStyle w:val="Compact"/>
              <w:jc w:val="right"/>
            </w:pPr>
            <w:r>
              <w:t xml:space="preserve">6702 (45.7)</w:t>
            </w:r>
          </w:p>
        </w:tc>
        <w:tc>
          <w:tcPr/>
          <w:p>
            <w:pPr>
              <w:pStyle w:val="Compact"/>
              <w:jc w:val="right"/>
            </w:pPr>
            <w:r>
              <w:t xml:space="preserve">702 (39.6)</w:t>
            </w:r>
          </w:p>
        </w:tc>
        <w:tc>
          <w:tcPr/>
          <w:p>
            <w:pPr>
              <w:pStyle w:val="Compact"/>
              <w:jc w:val="right"/>
            </w:pPr>
            <w:r>
              <w:t xml:space="preserve">6000 (46.5)</w:t>
            </w:r>
          </w:p>
        </w:tc>
        <w:tc>
          <w:tcPr/>
          <w:p>
            <w:pPr>
              <w:pStyle w:val="Compact"/>
              <w:jc w:val="right"/>
            </w:pPr>
            <w:r>
              <w:t xml:space="preserve">0.139</w:t>
            </w:r>
          </w:p>
        </w:tc>
      </w:tr>
      <w:tr>
        <w:tc>
          <w:tcPr/>
          <w:p>
            <w:pPr>
              <w:pStyle w:val="Compact"/>
              <w:jc w:val="left"/>
            </w:pPr>
            <w:r>
              <w:t xml:space="preserve">Age ≥ 75 y</w:t>
            </w:r>
          </w:p>
        </w:tc>
        <w:tc>
          <w:tcPr/>
          <w:p>
            <w:pPr>
              <w:pStyle w:val="Compact"/>
              <w:jc w:val="right"/>
            </w:pPr>
            <w:r>
              <w:t xml:space="preserve">6679 (45.5)</w:t>
            </w:r>
          </w:p>
        </w:tc>
        <w:tc>
          <w:tcPr/>
          <w:p>
            <w:pPr>
              <w:pStyle w:val="Compact"/>
              <w:jc w:val="right"/>
            </w:pPr>
            <w:r>
              <w:t xml:space="preserve">719 (40.6)</w:t>
            </w:r>
          </w:p>
        </w:tc>
        <w:tc>
          <w:tcPr/>
          <w:p>
            <w:pPr>
              <w:pStyle w:val="Compact"/>
              <w:jc w:val="right"/>
            </w:pPr>
            <w:r>
              <w:t xml:space="preserve">5960 (46.2)</w:t>
            </w:r>
          </w:p>
        </w:tc>
        <w:tc>
          <w:tcPr/>
          <w:p>
            <w:pPr>
              <w:pStyle w:val="Compact"/>
              <w:jc w:val="right"/>
            </w:pPr>
            <w:r>
              <w:t xml:space="preserve">0.113</w:t>
            </w:r>
          </w:p>
        </w:tc>
      </w:tr>
      <w:tr>
        <w:tc>
          <w:tcPr/>
          <w:p>
            <w:pPr>
              <w:pStyle w:val="Compact"/>
              <w:jc w:val="left"/>
            </w:pPr>
            <w:r>
              <w:t xml:space="preserve">Heart rate, bpm</w:t>
            </w:r>
          </w:p>
        </w:tc>
        <w:tc>
          <w:tcPr/>
          <w:p>
            <w:pPr>
              <w:pStyle w:val="Compact"/>
              <w:jc w:val="right"/>
            </w:pPr>
            <w:r>
              <w:t xml:space="preserve">79.9 (18.2)</w:t>
            </w:r>
          </w:p>
        </w:tc>
        <w:tc>
          <w:tcPr/>
          <w:p>
            <w:pPr>
              <w:pStyle w:val="Compact"/>
              <w:jc w:val="right"/>
            </w:pPr>
            <w:r>
              <w:t xml:space="preserve">81.5 (17.9)</w:t>
            </w:r>
          </w:p>
        </w:tc>
        <w:tc>
          <w:tcPr/>
          <w:p>
            <w:pPr>
              <w:pStyle w:val="Compact"/>
              <w:jc w:val="right"/>
            </w:pPr>
            <w:r>
              <w:t xml:space="preserve">79.7 (18.2)</w:t>
            </w:r>
          </w:p>
        </w:tc>
        <w:tc>
          <w:tcPr/>
          <w:p>
            <w:pPr>
              <w:pStyle w:val="Compact"/>
              <w:jc w:val="right"/>
            </w:pPr>
            <w:r>
              <w:t xml:space="preserve">0.103</w:t>
            </w:r>
          </w:p>
        </w:tc>
      </w:tr>
      <w:tr>
        <w:tc>
          <w:tcPr/>
          <w:p>
            <w:pPr>
              <w:pStyle w:val="Compact"/>
              <w:jc w:val="left"/>
            </w:pPr>
            <w:r>
              <w:t xml:space="preserve">QRS duration, ms</w:t>
            </w:r>
          </w:p>
        </w:tc>
        <w:tc>
          <w:tcPr/>
          <w:p>
            <w:pPr>
              <w:pStyle w:val="Compact"/>
              <w:jc w:val="right"/>
            </w:pPr>
            <w:r>
              <w:t xml:space="preserve">106.7 (25.6)</w:t>
            </w:r>
          </w:p>
        </w:tc>
        <w:tc>
          <w:tcPr/>
          <w:p>
            <w:pPr>
              <w:pStyle w:val="Compact"/>
              <w:jc w:val="right"/>
            </w:pPr>
            <w:r>
              <w:t xml:space="preserve">108.9 (26.2)</w:t>
            </w:r>
          </w:p>
        </w:tc>
        <w:tc>
          <w:tcPr/>
          <w:p>
            <w:pPr>
              <w:pStyle w:val="Compact"/>
              <w:jc w:val="right"/>
            </w:pPr>
            <w:r>
              <w:t xml:space="preserve">106.4 (25.5)</w:t>
            </w:r>
          </w:p>
        </w:tc>
        <w:tc>
          <w:tcPr/>
          <w:p>
            <w:pPr>
              <w:pStyle w:val="Compact"/>
              <w:jc w:val="right"/>
            </w:pPr>
            <w:r>
              <w:t xml:space="preserve">0.096</w:t>
            </w:r>
          </w:p>
        </w:tc>
      </w:tr>
      <w:tr>
        <w:tc>
          <w:tcPr/>
          <w:p>
            <w:pPr>
              <w:pStyle w:val="Compact"/>
              <w:jc w:val="left"/>
            </w:pPr>
            <w:r>
              <w:t xml:space="preserve">QTc interval (Bazett), ms</w:t>
            </w:r>
          </w:p>
        </w:tc>
        <w:tc>
          <w:tcPr/>
          <w:p>
            <w:pPr>
              <w:pStyle w:val="Compact"/>
              <w:jc w:val="right"/>
            </w:pPr>
            <w:r>
              <w:t xml:space="preserve">458.7 (29.6)</w:t>
            </w:r>
          </w:p>
        </w:tc>
        <w:tc>
          <w:tcPr/>
          <w:p>
            <w:pPr>
              <w:pStyle w:val="Compact"/>
              <w:jc w:val="right"/>
            </w:pPr>
            <w:r>
              <w:t xml:space="preserve">463.5 (28.2)</w:t>
            </w:r>
          </w:p>
        </w:tc>
        <w:tc>
          <w:tcPr/>
          <w:p>
            <w:pPr>
              <w:pStyle w:val="Compact"/>
              <w:jc w:val="right"/>
            </w:pPr>
            <w:r>
              <w:t xml:space="preserve">458.1 (29.7)</w:t>
            </w:r>
          </w:p>
        </w:tc>
        <w:tc>
          <w:tcPr/>
          <w:p>
            <w:pPr>
              <w:pStyle w:val="Compact"/>
              <w:jc w:val="right"/>
            </w:pPr>
            <w:r>
              <w:t xml:space="preserve">0.189</w:t>
            </w:r>
          </w:p>
        </w:tc>
      </w:tr>
      <w:tr>
        <w:tc>
          <w:tcPr/>
          <w:p>
            <w:pPr>
              <w:pStyle w:val="Compact"/>
              <w:jc w:val="left"/>
            </w:pPr>
            <w:r>
              <w:t xml:space="preserve">Atrial fibrillation</w:t>
            </w:r>
          </w:p>
        </w:tc>
        <w:tc>
          <w:tcPr/>
          <w:p>
            <w:pPr>
              <w:pStyle w:val="Compact"/>
              <w:jc w:val="right"/>
            </w:pPr>
            <w:r>
              <w:t xml:space="preserve">4836 (32.9)</w:t>
            </w:r>
          </w:p>
        </w:tc>
        <w:tc>
          <w:tcPr/>
          <w:p>
            <w:pPr>
              <w:pStyle w:val="Compact"/>
              <w:jc w:val="right"/>
            </w:pPr>
            <w:r>
              <w:t xml:space="preserve">684 (38.6)</w:t>
            </w:r>
          </w:p>
        </w:tc>
        <w:tc>
          <w:tcPr/>
          <w:p>
            <w:pPr>
              <w:pStyle w:val="Compact"/>
              <w:jc w:val="right"/>
            </w:pPr>
            <w:r>
              <w:t xml:space="preserve">4152 (32.2)</w:t>
            </w:r>
          </w:p>
        </w:tc>
        <w:tc>
          <w:tcPr/>
          <w:p>
            <w:pPr>
              <w:pStyle w:val="Compact"/>
              <w:jc w:val="right"/>
            </w:pPr>
            <w:r>
              <w:t xml:space="preserve">0.135</w:t>
            </w:r>
          </w:p>
        </w:tc>
      </w:tr>
      <w:tr>
        <w:tc>
          <w:tcPr/>
          <w:p>
            <w:pPr>
              <w:pStyle w:val="Compact"/>
              <w:jc w:val="left"/>
            </w:pPr>
            <w:r>
              <w:t xml:space="preserve">Left bundle branch block</w:t>
            </w:r>
          </w:p>
        </w:tc>
        <w:tc>
          <w:tcPr/>
          <w:p>
            <w:pPr>
              <w:pStyle w:val="Compact"/>
              <w:jc w:val="right"/>
            </w:pPr>
            <w:r>
              <w:t xml:space="preserve">1060 (7.2)</w:t>
            </w:r>
          </w:p>
        </w:tc>
        <w:tc>
          <w:tcPr/>
          <w:p>
            <w:pPr>
              <w:pStyle w:val="Compact"/>
              <w:jc w:val="right"/>
            </w:pPr>
            <w:r>
              <w:t xml:space="preserve">160 (9.0)</w:t>
            </w:r>
          </w:p>
        </w:tc>
        <w:tc>
          <w:tcPr/>
          <w:p>
            <w:pPr>
              <w:pStyle w:val="Compact"/>
              <w:jc w:val="right"/>
            </w:pPr>
            <w:r>
              <w:t xml:space="preserve">900 (7.0)</w:t>
            </w:r>
          </w:p>
        </w:tc>
        <w:tc>
          <w:tcPr/>
          <w:p>
            <w:pPr>
              <w:pStyle w:val="Compact"/>
              <w:jc w:val="right"/>
            </w:pPr>
            <w:r>
              <w:t xml:space="preserve">0.076</w:t>
            </w:r>
          </w:p>
        </w:tc>
      </w:tr>
      <w:tr>
        <w:tc>
          <w:tcPr/>
          <w:p>
            <w:pPr>
              <w:pStyle w:val="Compact"/>
              <w:jc w:val="left"/>
            </w:pPr>
            <w:r>
              <w:t xml:space="preserve">Creatinine, mg/dL</w:t>
            </w:r>
          </w:p>
        </w:tc>
        <w:tc>
          <w:tcPr/>
          <w:p>
            <w:pPr>
              <w:pStyle w:val="Compact"/>
              <w:jc w:val="right"/>
            </w:pPr>
            <w:r>
              <w:t xml:space="preserve">1.1 [0.8, 1.5]</w:t>
            </w:r>
          </w:p>
        </w:tc>
        <w:tc>
          <w:tcPr/>
          <w:p>
            <w:pPr>
              <w:pStyle w:val="Compact"/>
              <w:jc w:val="right"/>
            </w:pPr>
            <w:r>
              <w:t xml:space="preserve">1.2 [0.9, 1.7]</w:t>
            </w:r>
          </w:p>
        </w:tc>
        <w:tc>
          <w:tcPr/>
          <w:p>
            <w:pPr>
              <w:pStyle w:val="Compact"/>
              <w:jc w:val="right"/>
            </w:pPr>
            <w:r>
              <w:t xml:space="preserve">1.1 [0.8, 1.5]</w:t>
            </w:r>
          </w:p>
        </w:tc>
        <w:tc>
          <w:tcPr/>
          <w:p>
            <w:pPr>
              <w:pStyle w:val="Compact"/>
              <w:jc w:val="right"/>
            </w:pPr>
            <w:r>
              <w:t xml:space="preserve">0.142</w:t>
            </w:r>
          </w:p>
        </w:tc>
      </w:tr>
      <w:tr>
        <w:tc>
          <w:tcPr/>
          <w:p>
            <w:pPr>
              <w:pStyle w:val="Compact"/>
              <w:jc w:val="left"/>
            </w:pPr>
            <w:r>
              <w:t xml:space="preserve">eGFR, mL/min/1.73 m²</w:t>
            </w:r>
          </w:p>
        </w:tc>
        <w:tc>
          <w:tcPr/>
          <w:p>
            <w:pPr>
              <w:pStyle w:val="Compact"/>
              <w:jc w:val="right"/>
            </w:pPr>
            <w:r>
              <w:t xml:space="preserve">59.9 (28.3)</w:t>
            </w:r>
          </w:p>
        </w:tc>
        <w:tc>
          <w:tcPr/>
          <w:p>
            <w:pPr>
              <w:pStyle w:val="Compact"/>
              <w:jc w:val="right"/>
            </w:pPr>
            <w:r>
              <w:t xml:space="preserve">56.4 (28.0)</w:t>
            </w:r>
          </w:p>
        </w:tc>
        <w:tc>
          <w:tcPr/>
          <w:p>
            <w:pPr>
              <w:pStyle w:val="Compact"/>
              <w:jc w:val="right"/>
            </w:pPr>
            <w:r>
              <w:t xml:space="preserve">60.4 (28.4)</w:t>
            </w:r>
          </w:p>
        </w:tc>
        <w:tc>
          <w:tcPr/>
          <w:p>
            <w:pPr>
              <w:pStyle w:val="Compact"/>
              <w:jc w:val="right"/>
            </w:pPr>
            <w:r>
              <w:t xml:space="preserve">0.142</w:t>
            </w:r>
          </w:p>
        </w:tc>
      </w:tr>
      <w:tr>
        <w:tc>
          <w:tcPr/>
          <w:p>
            <w:pPr>
              <w:pStyle w:val="Compact"/>
              <w:jc w:val="left"/>
            </w:pPr>
            <w:r>
              <w:t xml:space="preserve">eGFR &lt; 60 mL/min/1.73 m²</w:t>
            </w:r>
          </w:p>
        </w:tc>
        <w:tc>
          <w:tcPr/>
          <w:p>
            <w:pPr>
              <w:pStyle w:val="Compact"/>
              <w:jc w:val="right"/>
            </w:pPr>
            <w:r>
              <w:t xml:space="preserve">7156 (50.4)</w:t>
            </w:r>
          </w:p>
        </w:tc>
        <w:tc>
          <w:tcPr/>
          <w:p>
            <w:pPr>
              <w:pStyle w:val="Compact"/>
              <w:jc w:val="right"/>
            </w:pPr>
            <w:r>
              <w:t xml:space="preserve">975 (55.4)</w:t>
            </w:r>
          </w:p>
        </w:tc>
        <w:tc>
          <w:tcPr/>
          <w:p>
            <w:pPr>
              <w:pStyle w:val="Compact"/>
              <w:jc w:val="right"/>
            </w:pPr>
            <w:r>
              <w:t xml:space="preserve">6181 (49.7)</w:t>
            </w:r>
          </w:p>
        </w:tc>
        <w:tc>
          <w:tcPr/>
          <w:p>
            <w:pPr>
              <w:pStyle w:val="Compact"/>
              <w:jc w:val="right"/>
            </w:pPr>
            <w:r>
              <w:t xml:space="preserve">0.114</w:t>
            </w:r>
          </w:p>
        </w:tc>
      </w:tr>
      <w:tr>
        <w:tc>
          <w:tcPr/>
          <w:p>
            <w:pPr>
              <w:pStyle w:val="Compact"/>
              <w:jc w:val="left"/>
            </w:pPr>
            <w:r>
              <w:t xml:space="preserve">Potassium, mEq/L</w:t>
            </w:r>
          </w:p>
        </w:tc>
        <w:tc>
          <w:tcPr/>
          <w:p>
            <w:pPr>
              <w:pStyle w:val="Compact"/>
              <w:jc w:val="right"/>
            </w:pPr>
            <w:r>
              <w:t xml:space="preserve">4.2 (0.6)</w:t>
            </w:r>
          </w:p>
        </w:tc>
        <w:tc>
          <w:tcPr/>
          <w:p>
            <w:pPr>
              <w:pStyle w:val="Compact"/>
              <w:jc w:val="right"/>
            </w:pPr>
            <w:r>
              <w:t xml:space="preserve">4.3 (0.7)</w:t>
            </w:r>
          </w:p>
        </w:tc>
        <w:tc>
          <w:tcPr/>
          <w:p>
            <w:pPr>
              <w:pStyle w:val="Compact"/>
              <w:jc w:val="right"/>
            </w:pPr>
            <w:r>
              <w:t xml:space="preserve">4.2 (0.6)</w:t>
            </w:r>
          </w:p>
        </w:tc>
        <w:tc>
          <w:tcPr/>
          <w:p>
            <w:pPr>
              <w:pStyle w:val="Compact"/>
              <w:jc w:val="right"/>
            </w:pPr>
            <w:r>
              <w:t xml:space="preserve">0.142</w:t>
            </w:r>
          </w:p>
        </w:tc>
      </w:tr>
      <w:tr>
        <w:tc>
          <w:tcPr/>
          <w:p>
            <w:pPr>
              <w:pStyle w:val="Compact"/>
              <w:jc w:val="left"/>
            </w:pPr>
            <w:r>
              <w:t xml:space="preserve">Sodium, mEq/L</w:t>
            </w:r>
          </w:p>
        </w:tc>
        <w:tc>
          <w:tcPr/>
          <w:p>
            <w:pPr>
              <w:pStyle w:val="Compact"/>
              <w:jc w:val="right"/>
            </w:pPr>
            <w:r>
              <w:t xml:space="preserve">112.0 (2.3)</w:t>
            </w:r>
          </w:p>
        </w:tc>
        <w:tc>
          <w:tcPr/>
          <w:p>
            <w:pPr>
              <w:pStyle w:val="Compact"/>
              <w:jc w:val="right"/>
            </w:pPr>
            <w:r>
              <w:t xml:space="preserve">112.1 (2.4)</w:t>
            </w:r>
          </w:p>
        </w:tc>
        <w:tc>
          <w:tcPr/>
          <w:p>
            <w:pPr>
              <w:pStyle w:val="Compact"/>
              <w:jc w:val="right"/>
            </w:pPr>
            <w:r>
              <w:t xml:space="preserve">112.0 (2.3)</w:t>
            </w:r>
          </w:p>
        </w:tc>
        <w:tc>
          <w:tcPr/>
          <w:p>
            <w:pPr>
              <w:pStyle w:val="Compact"/>
              <w:jc w:val="right"/>
            </w:pPr>
            <w:r>
              <w:t xml:space="preserve">0.067</w:t>
            </w:r>
          </w:p>
        </w:tc>
      </w:tr>
      <w:tr>
        <w:tc>
          <w:tcPr/>
          <w:p>
            <w:pPr>
              <w:pStyle w:val="Compact"/>
              <w:jc w:val="left"/>
            </w:pPr>
            <w:r>
              <w:t xml:space="preserve">Hemoglobin, g/dL</w:t>
            </w:r>
          </w:p>
        </w:tc>
        <w:tc>
          <w:tcPr/>
          <w:p>
            <w:pPr>
              <w:pStyle w:val="Compact"/>
              <w:jc w:val="right"/>
            </w:pPr>
            <w:r>
              <w:t xml:space="preserve">10.8 (1.9)</w:t>
            </w:r>
          </w:p>
        </w:tc>
        <w:tc>
          <w:tcPr/>
          <w:p>
            <w:pPr>
              <w:pStyle w:val="Compact"/>
              <w:jc w:val="right"/>
            </w:pPr>
            <w:r>
              <w:t xml:space="preserve">11.1 (2.0)</w:t>
            </w:r>
          </w:p>
        </w:tc>
        <w:tc>
          <w:tcPr/>
          <w:p>
            <w:pPr>
              <w:pStyle w:val="Compact"/>
              <w:jc w:val="right"/>
            </w:pPr>
            <w:r>
              <w:t xml:space="preserve">10.8 (1.9)</w:t>
            </w:r>
          </w:p>
        </w:tc>
        <w:tc>
          <w:tcPr/>
          <w:p>
            <w:pPr>
              <w:pStyle w:val="Compact"/>
              <w:jc w:val="right"/>
            </w:pPr>
            <w:r>
              <w:t xml:space="preserve">0.199</w:t>
            </w:r>
          </w:p>
        </w:tc>
      </w:tr>
      <w:tr>
        <w:tc>
          <w:tcPr/>
          <w:p>
            <w:pPr>
              <w:pStyle w:val="Compact"/>
              <w:jc w:val="left"/>
            </w:pPr>
            <w:r>
              <w:t xml:space="preserve">Troponin T, ng/mL</w:t>
            </w:r>
          </w:p>
        </w:tc>
        <w:tc>
          <w:tcPr/>
          <w:p>
            <w:pPr>
              <w:pStyle w:val="Compact"/>
              <w:jc w:val="right"/>
            </w:pPr>
            <w:r>
              <w:t xml:space="preserve">0.1 [0.0, 0.4]</w:t>
            </w:r>
          </w:p>
        </w:tc>
        <w:tc>
          <w:tcPr/>
          <w:p>
            <w:pPr>
              <w:pStyle w:val="Compact"/>
              <w:jc w:val="right"/>
            </w:pPr>
            <w:r>
              <w:t xml:space="preserve">0.1 [0.0, 0.6]</w:t>
            </w:r>
          </w:p>
        </w:tc>
        <w:tc>
          <w:tcPr/>
          <w:p>
            <w:pPr>
              <w:pStyle w:val="Compact"/>
              <w:jc w:val="right"/>
            </w:pPr>
            <w:r>
              <w:t xml:space="preserve">0.1 [0.0, 0.4]</w:t>
            </w:r>
          </w:p>
        </w:tc>
        <w:tc>
          <w:tcPr/>
          <w:p>
            <w:pPr>
              <w:pStyle w:val="Compact"/>
              <w:jc w:val="right"/>
            </w:pPr>
            <w:r>
              <w:t xml:space="preserve">0.038</w:t>
            </w:r>
          </w:p>
        </w:tc>
      </w:tr>
      <w:tr>
        <w:tc>
          <w:tcPr/>
          <w:p>
            <w:pPr>
              <w:pStyle w:val="Compact"/>
              <w:jc w:val="left"/>
            </w:pPr>
            <w:r>
              <w:t xml:space="preserve">NT-proBNP, pg/mL</w:t>
            </w:r>
          </w:p>
        </w:tc>
        <w:tc>
          <w:tcPr/>
          <w:p>
            <w:pPr>
              <w:pStyle w:val="Compact"/>
              <w:jc w:val="right"/>
            </w:pPr>
            <w:r>
              <w:t xml:space="preserve">3680.0 [1403.5, 9184.0]</w:t>
            </w:r>
          </w:p>
        </w:tc>
        <w:tc>
          <w:tcPr/>
          <w:p>
            <w:pPr>
              <w:pStyle w:val="Compact"/>
              <w:jc w:val="right"/>
            </w:pPr>
            <w:r>
              <w:t xml:space="preserve">3409.5 [1470.2, 7941.5]</w:t>
            </w:r>
          </w:p>
        </w:tc>
        <w:tc>
          <w:tcPr/>
          <w:p>
            <w:pPr>
              <w:pStyle w:val="Compact"/>
              <w:jc w:val="right"/>
            </w:pPr>
            <w:r>
              <w:t xml:space="preserve">3718.0 [1390.0, 9329.0]</w:t>
            </w:r>
          </w:p>
        </w:tc>
        <w:tc>
          <w:tcPr/>
          <w:p>
            <w:pPr>
              <w:pStyle w:val="Compact"/>
              <w:jc w:val="right"/>
            </w:pPr>
            <w:r>
              <w:t xml:space="preserve">0.080</w:t>
            </w:r>
          </w:p>
        </w:tc>
      </w:tr>
      <w:tr>
        <w:tc>
          <w:tcPr/>
          <w:p>
            <w:pPr>
              <w:pStyle w:val="Compact"/>
              <w:jc w:val="left"/>
            </w:pPr>
            <w:r>
              <w:t xml:space="preserve">ECGs during index stay, No.</w:t>
            </w:r>
          </w:p>
        </w:tc>
        <w:tc>
          <w:tcPr/>
          <w:p>
            <w:pPr>
              <w:pStyle w:val="Compact"/>
              <w:jc w:val="right"/>
            </w:pPr>
            <w:r>
              <w:t xml:space="preserve">2.8 (2.0)</w:t>
            </w:r>
          </w:p>
        </w:tc>
        <w:tc>
          <w:tcPr/>
          <w:p>
            <w:pPr>
              <w:pStyle w:val="Compact"/>
              <w:jc w:val="right"/>
            </w:pPr>
            <w:r>
              <w:t xml:space="preserve">3.1 (2.1)</w:t>
            </w:r>
          </w:p>
        </w:tc>
        <w:tc>
          <w:tcPr/>
          <w:p>
            <w:pPr>
              <w:pStyle w:val="Compact"/>
              <w:jc w:val="right"/>
            </w:pPr>
            <w:r>
              <w:t xml:space="preserve">2.7 (1.9)</w:t>
            </w:r>
          </w:p>
        </w:tc>
        <w:tc>
          <w:tcPr/>
          <w:p>
            <w:pPr>
              <w:pStyle w:val="Compact"/>
              <w:jc w:val="right"/>
            </w:pPr>
            <w:r>
              <w:t xml:space="preserve">0.193</w:t>
            </w:r>
          </w:p>
        </w:tc>
      </w:tr>
    </w:tbl>
    <w:p>
      <w:pPr>
        <w:pStyle w:val="BodyText"/>
      </w:pPr>
      <w:r>
        <w:t xml:space="preserve">```</w:t>
      </w:r>
    </w:p>
    <w:bookmarkEnd w:id="27"/>
    <w:bookmarkStart w:id="31" w:name="Xa0e435e101c72c47909197dfbbbaa1bff404bea"/>
    <w:p>
      <w:pPr>
        <w:pStyle w:val="Heading1"/>
      </w:pPr>
      <w:r>
        <w:t xml:space="preserve">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29" name="Picture"/>
            <a:graphic>
              <a:graphicData uri="http://schemas.openxmlformats.org/drawingml/2006/picture">
                <pic:pic>
                  <pic:nvPicPr>
                    <pic:cNvPr descr="../../../output/shared_bias_dag.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1"/>
    <w:bookmarkStart w:id="35" w:name="X5ac7e34e131800f6e8f1ed3917d0d9ae7048b98"/>
    <w:p>
      <w:pPr>
        <w:pStyle w:val="Heading1"/>
      </w:pPr>
      <w:r>
        <w:t xml:space="preserve">eFigure 2. Simulation Classification Accuracy Heatmap</w:t>
      </w:r>
    </w:p>
    <w:p>
      <w:pPr>
        <w:pStyle w:val="CaptionedFigure"/>
      </w:pPr>
      <w:r>
        <w:drawing>
          <wp:inline>
            <wp:extent cx="5334000" cy="3556000"/>
            <wp:effectExtent b="0" l="0" r="0" t="0"/>
            <wp:docPr descr="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 title="" id="33" name="Picture"/>
            <a:graphic>
              <a:graphicData uri="http://schemas.openxmlformats.org/drawingml/2006/picture">
                <pic:pic>
                  <pic:nvPicPr>
                    <pic:cNvPr descr="../../../output/figures/fig03_simulation_heatmap.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w:t>
      </w:r>
    </w:p>
    <w:bookmarkEnd w:id="35"/>
    <w:bookmarkStart w:id="39" w:name="X2e247149f5fd6faaad8920c01c810a8da1e37a1"/>
    <w:p>
      <w:pPr>
        <w:pStyle w:val="Heading1"/>
      </w:pPr>
      <w:r>
        <w:t xml:space="preserve">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37" name="Picture"/>
            <a:graphic>
              <a:graphicData uri="http://schemas.openxmlformats.org/drawingml/2006/picture">
                <pic:pic>
                  <pic:nvPicPr>
                    <pic:cNvPr descr="../../../output/figures/fig04_classification_domain.png" id="38" name="Picture"/>
                    <pic:cNvPicPr>
                      <a:picLocks noChangeArrowheads="1" noChangeAspect="1"/>
                    </pic:cNvPicPr>
                  </pic:nvPicPr>
                  <pic:blipFill>
                    <a:blip r:embed="rId36"/>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39"/>
    <w:bookmarkStart w:id="43" w:name="Xd16c19242f648ad6d96e190523658cddd1af6e0"/>
    <w:p>
      <w:pPr>
        <w:pStyle w:val="Heading1"/>
      </w:pPr>
      <w:r>
        <w:t xml:space="preserve">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1" name="Picture"/>
            <a:graphic>
              <a:graphicData uri="http://schemas.openxmlformats.org/drawingml/2006/picture">
                <pic:pic>
                  <pic:nvPicPr>
                    <pic:cNvPr descr="../../../output/figures/fig05_loo_sensitivity.png" id="42" name="Picture"/>
                    <pic:cNvPicPr>
                      <a:picLocks noChangeArrowheads="1" noChangeAspect="1"/>
                    </pic:cNvPicPr>
                  </pic:nvPicPr>
                  <pic:blipFill>
                    <a:blip r:embed="rId40"/>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3"/>
    <w:bookmarkStart w:id="47" w:name="efigure-5.-negative-control-diagnostics"/>
    <w:p>
      <w:pPr>
        <w:pStyle w:val="Heading1"/>
      </w:pPr>
      <w:r>
        <w:t xml:space="preserve">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5" name="Picture"/>
            <a:graphic>
              <a:graphicData uri="http://schemas.openxmlformats.org/drawingml/2006/picture">
                <pic:pic>
                  <pic:nvPicPr>
                    <pic:cNvPr descr="../../../output/figures/fig06_qq_diagnostics.png" id="46" name="Picture"/>
                    <pic:cNvPicPr>
                      <a:picLocks noChangeArrowheads="1" noChangeAspect="1"/>
                    </pic:cNvPicPr>
                  </pic:nvPicPr>
                  <pic:blipFill>
                    <a:blip r:embed="rId4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47"/>
    <w:bookmarkStart w:id="51" w:name="Xb316ab64651c3e99c4be96a03bff7c47b5f7cd9"/>
    <w:p>
      <w:pPr>
        <w:pStyle w:val="Heading1"/>
      </w:pPr>
      <w:r>
        <w:t xml:space="preserve">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itle="" id="49" name="Picture"/>
            <a:graphic>
              <a:graphicData uri="http://schemas.openxmlformats.org/drawingml/2006/picture">
                <pic:pic>
                  <pic:nvPicPr>
                    <pic:cNvPr descr="../../../output/figures/fig07_bootstrap_BF.png" id="50" name="Picture"/>
                    <pic:cNvPicPr>
                      <a:picLocks noChangeArrowheads="1" noChangeAspect="1"/>
                    </pic:cNvPicPr>
                  </pic:nvPicPr>
                  <pic:blipFill>
                    <a:blip r:embed="rId48"/>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w:t>
      </w:r>
    </w:p>
    <w:bookmarkEnd w:id="51"/>
    <w:bookmarkStart w:id="55" w:name="X3e5d9cd3a7e5a08ef8c664b44f504f001a26dfa"/>
    <w:p>
      <w:pPr>
        <w:pStyle w:val="Heading1"/>
      </w:pPr>
      <w:r>
        <w:t xml:space="preserve">eFigure 7. Participant flow diagram for the target trial emulation</w:t>
      </w:r>
    </w:p>
    <w:p>
      <w:pPr>
        <w:pStyle w:val="CaptionedFigure"/>
      </w:pPr>
      <w:r>
        <w:drawing>
          <wp:inline>
            <wp:extent cx="4800600" cy="6144767"/>
            <wp:effectExtent b="0" l="0" r="0" t="0"/>
            <wp:docPr descr="eFigure 7. Participant flow diagram for the target trial emulation, following the TARGET guideline flow diagram template for emulations with a unique time of eligibility and treatment strategies distinguishable at baseline5. Time zero is the end of the 7-day grace period. Follow-up covers days 8 to 365. No participants were censored for nonadherence because the causal contrast is intention-to-treat-like for treatment strategies classified once at time zero. The guideline-directed medical therapy (GDMT) comparison reclassified the same 14,677 eligible individuals by number of GDMT classes received; 11,183 patients with complete medication data were analyzed (&gt;= 2 of 3 classes, n = 1,744; &lt; 2 classes, n = 9,439). Death counts are crude counts from the emulation cohort." title="" id="53" name="Picture"/>
            <a:graphic>
              <a:graphicData uri="http://schemas.openxmlformats.org/drawingml/2006/picture">
                <pic:pic>
                  <pic:nvPicPr>
                    <pic:cNvPr descr="figures/fig08_target_flow.png" id="54" name="Picture"/>
                    <pic:cNvPicPr>
                      <a:picLocks noChangeArrowheads="1" noChangeAspect="1"/>
                    </pic:cNvPicPr>
                  </pic:nvPicPr>
                  <pic:blipFill>
                    <a:blip r:embed="rId52"/>
                    <a:stretch>
                      <a:fillRect/>
                    </a:stretch>
                  </pic:blipFill>
                  <pic:spPr bwMode="auto">
                    <a:xfrm>
                      <a:off x="0" y="0"/>
                      <a:ext cx="4800600" cy="6144767"/>
                    </a:xfrm>
                    <a:prstGeom prst="rect">
                      <a:avLst/>
                    </a:prstGeom>
                    <a:noFill/>
                    <a:ln w="9525">
                      <a:noFill/>
                      <a:headEnd/>
                      <a:tailEnd/>
                    </a:ln>
                  </pic:spPr>
                </pic:pic>
              </a:graphicData>
            </a:graphic>
          </wp:inline>
        </w:drawing>
      </w:r>
    </w:p>
    <w:p>
      <w:pPr>
        <w:pStyle w:val="ImageCaption"/>
      </w:pPr>
      <w:r>
        <w:t xml:space="preserve">eFigure 7. Participant flow diagram for the target trial emulation, following the TARGET guideline flow diagram template for emulations with a unique time of eligibility and treatment strategies distinguishable at baseline</w:t>
      </w:r>
      <w:r>
        <w:rPr>
          <w:vertAlign w:val="superscript"/>
        </w:rPr>
        <w:t xml:space="preserve">5</w:t>
      </w:r>
      <w:r>
        <w:t xml:space="preserve">. Time zero is the end of the 7-day grace period. Follow-up covers days 8 to 365. No participants were censored for nonadherence because the causal contrast is intention-to-treat-like for treatment strategies classified once at time zero. The guideline-directed medical therapy (GDMT) comparison reclassified the same 14,677 eligible individuals by number of GDMT classes received; 11,183 patients with complete medication data were analyzed (&gt;= 2 of 3 classes, n = 1,744; &lt; 2 classes, n = 9,439). Death counts are crude counts from the emulation cohort.</w:t>
      </w:r>
    </w:p>
    <w:bookmarkEnd w:id="55"/>
    <w:bookmarkStart w:id="56" w:name="X02d86ec9255d6c382787e988a7aa3cc20d06d2c"/>
    <w:p>
      <w:pPr>
        <w:pStyle w:val="Heading1"/>
      </w:pPr>
      <w:r>
        <w:t xml:space="preserve">eAppendix 4. RECORD-PE Reporting Checklist</w:t>
      </w:r>
    </w:p>
    <w:p>
      <w:pPr>
        <w:pStyle w:val="FirstParagraph"/>
      </w:pPr>
      <w:r>
        <w:t xml:space="preserve">The study is reported following the RECORD-PE (REporting of studies Conducted using Observational Routinely-collected health Data for Pharmacoepidemiology) guidelines</w:t>
      </w:r>
      <w:r>
        <w:rPr>
          <w:vertAlign w:val="superscript"/>
        </w:rPr>
        <w:t xml:space="preserve">8</w:t>
      </w:r>
      <w:r>
        <w:t xml:space="preserve">. The completed checklist is available from the authors upon request.</w:t>
      </w:r>
    </w:p>
    <w:bookmarkEnd w:id="56"/>
    <w:bookmarkStart w:id="57" w:name="Xa11805d99d20691d535ccd6ca5f909b22ecb47a"/>
    <w:p>
      <w:pPr>
        <w:pStyle w:val="Heading1"/>
      </w:pPr>
      <w:r>
        <w:t xml:space="preserve">eAppendix 5. TARGET Trial Emulation Checklist</w:t>
      </w:r>
    </w:p>
    <w:p>
      <w:pPr>
        <w:pStyle w:val="FirstParagraph"/>
      </w:pPr>
      <w:r>
        <w:t xml:space="preserve">The target trial emulation is reported following the TARGET (Transparent Reporting of Observational Studies Emulating a Target Trial) statement, published simultaneously in JAMA and BMJ in 2025</w:t>
      </w:r>
      <w:r>
        <w:rPr>
          <w:vertAlign w:val="superscript"/>
        </w:rPr>
        <w:t xml:space="preserve">5</w:t>
      </w:r>
      <w:r>
        <w:t xml:space="preserve">. The TARGET guideline organizes 21 reporting items into six sections (abstract, introduction, methods, results, discussion, other information) and is supplemented by template 1 for the target trial protocol and its observational emulation and by a flow diagram template for emulations with a unique time of eligibility and treatment strategies distinguishable at baseline. The completed 21-item checklist is provided in eTable 7, the target trial protocol and observational emulation in eTable 8, baseline characteristics by treatment strategy in eTable 9, and the participant flow diagram in eFigure 7. The emulation was not prospectively registered because it is a methodological illustration.</w:t>
      </w:r>
    </w:p>
    <w:bookmarkEnd w:id="57"/>
    <w:bookmarkStart w:id="75" w:name="ereferences"/>
    <w:p>
      <w:pPr>
        <w:pStyle w:val="Heading1"/>
      </w:pPr>
      <w:r>
        <w:t xml:space="preserve">eReferences</w:t>
      </w:r>
    </w:p>
    <w:bookmarkStart w:id="74" w:name="refs"/>
    <w:bookmarkStart w:id="59" w:name="ref-schuemie2014interpreting"/>
    <w:p>
      <w:pPr>
        <w:pStyle w:val="Bibliography"/>
      </w:pPr>
      <w:r>
        <w:t xml:space="preserve">1.</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58">
        <w:r>
          <w:rPr>
            <w:rStyle w:val="Hyperlink"/>
          </w:rPr>
          <w:t xml:space="preserve">10.1002/sim.5925</w:t>
        </w:r>
      </w:hyperlink>
    </w:p>
    <w:bookmarkEnd w:id="59"/>
    <w:bookmarkStart w:id="61" w:name="ref-schuemie2018empirical"/>
    <w:p>
      <w:pPr>
        <w:pStyle w:val="Bibliography"/>
      </w:pPr>
      <w:r>
        <w:t xml:space="preserve">2.</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60">
        <w:r>
          <w:rPr>
            <w:rStyle w:val="Hyperlink"/>
          </w:rPr>
          <w:t xml:space="preserve">10.1073/pnas.1708282114</w:t>
        </w:r>
      </w:hyperlink>
    </w:p>
    <w:bookmarkEnd w:id="61"/>
    <w:bookmarkStart w:id="63" w:name="ref-fieller1954interval"/>
    <w:p>
      <w:pPr>
        <w:pStyle w:val="Bibliography"/>
      </w:pPr>
      <w:r>
        <w:t xml:space="preserve">3.</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62">
        <w:r>
          <w:rPr>
            <w:rStyle w:val="Hyperlink"/>
          </w:rPr>
          <w:t xml:space="preserve">10.1111/j.2517-6161.1954.tb00159.x</w:t>
        </w:r>
      </w:hyperlink>
    </w:p>
    <w:bookmarkEnd w:id="63"/>
    <w:bookmarkStart w:id="65" w:name="ref-vanderweele2017evalue"/>
    <w:p>
      <w:pPr>
        <w:pStyle w:val="Bibliography"/>
      </w:pPr>
      <w:r>
        <w:t xml:space="preserve">4.</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64">
        <w:r>
          <w:rPr>
            <w:rStyle w:val="Hyperlink"/>
          </w:rPr>
          <w:t xml:space="preserve">10.7326/M16-2607</w:t>
        </w:r>
      </w:hyperlink>
    </w:p>
    <w:bookmarkEnd w:id="65"/>
    <w:bookmarkStart w:id="67" w:name="ref-cashin2025target"/>
    <w:p>
      <w:pPr>
        <w:pStyle w:val="Bibliography"/>
      </w:pPr>
      <w:r>
        <w:t xml:space="preserve">5.</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JAMA</w:t>
      </w:r>
      <w:r>
        <w:t xml:space="preserve">. 2025;334(12):1084-1093. doi:</w:t>
      </w:r>
      <w:hyperlink r:id="rId66">
        <w:r>
          <w:rPr>
            <w:rStyle w:val="Hyperlink"/>
          </w:rPr>
          <w:t xml:space="preserve">10.1001/jama.2025.13350</w:t>
        </w:r>
      </w:hyperlink>
    </w:p>
    <w:bookmarkEnd w:id="67"/>
    <w:bookmarkStart w:id="69" w:name="ref-vanderlaan2012ltmle"/>
    <w:p>
      <w:pPr>
        <w:pStyle w:val="Bibliography"/>
      </w:pPr>
      <w:r>
        <w:t xml:space="preserve">6.</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68">
        <w:r>
          <w:rPr>
            <w:rStyle w:val="Hyperlink"/>
          </w:rPr>
          <w:t xml:space="preserve">10.1515/1557-4679.1370</w:t>
        </w:r>
      </w:hyperlink>
    </w:p>
    <w:bookmarkEnd w:id="69"/>
    <w:bookmarkStart w:id="71" w:name="ref-johnson2023mimic"/>
    <w:p>
      <w:pPr>
        <w:pStyle w:val="Bibliography"/>
      </w:pPr>
      <w:r>
        <w:t xml:space="preserve">7.</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70">
        <w:r>
          <w:rPr>
            <w:rStyle w:val="Hyperlink"/>
          </w:rPr>
          <w:t xml:space="preserve">10.1038/s41597-022-01899-x</w:t>
        </w:r>
      </w:hyperlink>
    </w:p>
    <w:bookmarkEnd w:id="71"/>
    <w:bookmarkStart w:id="73" w:name="ref-langan2018recordpe"/>
    <w:p>
      <w:pPr>
        <w:pStyle w:val="Bibliography"/>
      </w:pPr>
      <w:r>
        <w:t xml:space="preserve">8.</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72">
        <w:r>
          <w:rPr>
            <w:rStyle w:val="Hyperlink"/>
          </w:rPr>
          <w:t xml:space="preserve">10.1136/bmj.k3532</w:t>
        </w:r>
      </w:hyperlink>
    </w:p>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28" Target="media/rId28.png" /><Relationship Type="http://schemas.openxmlformats.org/officeDocument/2006/relationships/image" Id="rId52" Target="media/rId52.png" /><Relationship Type="http://schemas.openxmlformats.org/officeDocument/2006/relationships/hyperlink" Id="rId66" Target="https://doi.org/10.1001/jama.2025.13350" TargetMode="External" /><Relationship Type="http://schemas.openxmlformats.org/officeDocument/2006/relationships/hyperlink" Id="rId58" Target="https://doi.org/10.1002/sim.5925" TargetMode="External" /><Relationship Type="http://schemas.openxmlformats.org/officeDocument/2006/relationships/hyperlink" Id="rId70" Target="https://doi.org/10.1038/s41597-022-01899-x" TargetMode="External" /><Relationship Type="http://schemas.openxmlformats.org/officeDocument/2006/relationships/hyperlink" Id="rId60" Target="https://doi.org/10.1073/pnas.1708282114" TargetMode="External" /><Relationship Type="http://schemas.openxmlformats.org/officeDocument/2006/relationships/hyperlink" Id="rId62" Target="https://doi.org/10.1111/j.2517-6161.1954.tb00159.x" TargetMode="External" /><Relationship Type="http://schemas.openxmlformats.org/officeDocument/2006/relationships/hyperlink" Id="rId72" Target="https://doi.org/10.1136/bmj.k3532" TargetMode="External" /><Relationship Type="http://schemas.openxmlformats.org/officeDocument/2006/relationships/hyperlink" Id="rId68" Target="https://doi.org/10.1515/1557-4679.1370" TargetMode="External" /><Relationship Type="http://schemas.openxmlformats.org/officeDocument/2006/relationships/hyperlink" Id="rId64"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01/jama.2025.13350" TargetMode="External" /><Relationship Type="http://schemas.openxmlformats.org/officeDocument/2006/relationships/hyperlink" Id="rId58" Target="https://doi.org/10.1002/sim.5925" TargetMode="External" /><Relationship Type="http://schemas.openxmlformats.org/officeDocument/2006/relationships/hyperlink" Id="rId70" Target="https://doi.org/10.1038/s41597-022-01899-x" TargetMode="External" /><Relationship Type="http://schemas.openxmlformats.org/officeDocument/2006/relationships/hyperlink" Id="rId60" Target="https://doi.org/10.1073/pnas.1708282114" TargetMode="External" /><Relationship Type="http://schemas.openxmlformats.org/officeDocument/2006/relationships/hyperlink" Id="rId62" Target="https://doi.org/10.1111/j.2517-6161.1954.tb00159.x" TargetMode="External" /><Relationship Type="http://schemas.openxmlformats.org/officeDocument/2006/relationships/hyperlink" Id="rId72" Target="https://doi.org/10.1136/bmj.k3532" TargetMode="External" /><Relationship Type="http://schemas.openxmlformats.org/officeDocument/2006/relationships/hyperlink" Id="rId68" Target="https://doi.org/10.1515/1557-4679.1370" TargetMode="External" /><Relationship Type="http://schemas.openxmlformats.org/officeDocument/2006/relationships/hyperlink" Id="rId64"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Quantifying Systematic Bias in Observational Causal Estimates Using Negative Controls: The Bias Fraction</dc:title>
  <dc:creator>Zeng Zhechun, MD, MPH; Wang Jinwen, MD, PhD; Zuo Huijuan, MD, MPH; Shu Lixia, PhD</dc:creator>
  <cp:keywords/>
  <dcterms:created xsi:type="dcterms:W3CDTF">2026-08-18T10:55:55Z</dcterms:created>
  <dcterms:modified xsi:type="dcterms:W3CDTF">2026-08-18T10:55:55Z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american-medical-association.csl</vt:lpwstr>
  </property>
  <property fmtid="{D5CDD505-2E9C-101B-9397-08002B2CF9AE}" pid="7" name="date">
    <vt:lpwstr>2026-08-14</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