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Appendix: Quantifying Systematic Bias in Observational Causal Estimates Using Negative Controls: The Bias Attribution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2026-08-27</w:t>
      </w:r>
    </w:p>
    <w:p>
      <w:pPr>
        <w:pStyle w:val="FirstParagraph"/>
      </w:pPr>
      <w:r>
        <w:rPr>
          <w:vertAlign w:val="superscript"/>
        </w:rPr>
        <w:t xml:space="preserve">1</w:t>
      </w:r>
      <w:r>
        <w:t xml:space="preserve"> </w:t>
      </w:r>
      <w:r>
        <w:t xml:space="preserve">Beijing Anzhen Hospital, Capital Medical University, Beijing,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t xml:space="preserve">This supplementary appendix provides the methodological detail, full lookup table, and complete case-study estimation output that support the main manuscript. All numbers are reproduced from the single JSON file</w:t>
      </w:r>
      <w:r>
        <w:t xml:space="preserve"> </w:t>
      </w:r>
      <w:r>
        <w:rPr>
          <w:rStyle w:val="VerbatimChar"/>
        </w:rPr>
        <w:t xml:space="preserve">output/tables/v39_all_numbers.json</w:t>
      </w:r>
      <w:r>
        <w:t xml:space="preserve"> </w:t>
      </w:r>
      <w:r>
        <w:t xml:space="preserve">generated by the analysis pipeline, which is shared with the companion interactive explainer.</w:t>
      </w:r>
    </w:p>
    <w:p>
      <w:r>
        <w:pict>
          <v:rect style="width:0;height:1.5pt" o:hralign="center" o:hrstd="t" o:hr="t"/>
        </w:pict>
      </w:r>
    </w:p>
    <w:bookmarkStart w:id="14" w:name="s1.-extended-methods"/>
    <w:p>
      <w:pPr>
        <w:pStyle w:val="Heading2"/>
      </w:pPr>
      <w:r>
        <w:t xml:space="preserve">S1. Extended methods</w:t>
      </w:r>
    </w:p>
    <w:bookmarkStart w:id="9" w:name="s1.1-full-simulation-design"/>
    <w:p>
      <w:pPr>
        <w:pStyle w:val="Heading3"/>
      </w:pPr>
      <w:r>
        <w:t xml:space="preserve">S1.1 Full simulation design</w:t>
      </w:r>
    </w:p>
    <w:p>
      <w:pPr>
        <w:pStyle w:val="FirstParagraph"/>
      </w:pPr>
      <w:r>
        <w:t xml:space="preserve">The simulation crossed five factors in a full factorial design, yielding 960 conditions. Each condition was replicated 1000 times for a total of 960,000 repetitions. The factors and levels were:</w:t>
      </w:r>
    </w:p>
    <w:p>
      <w:pPr>
        <w:pStyle w:val="Compact"/>
        <w:numPr>
          <w:ilvl w:val="0"/>
          <w:numId w:val="1001"/>
        </w:numPr>
      </w:pPr>
      <w:r>
        <w:t xml:space="preserve">True effect on the log relative risk scale, ψ, with 10 levels from -0.40 to -0.01.</w:t>
      </w:r>
    </w:p>
    <w:p>
      <w:pPr>
        <w:pStyle w:val="Compact"/>
        <w:numPr>
          <w:ilvl w:val="0"/>
          <w:numId w:val="1001"/>
        </w:numPr>
      </w:pPr>
      <w:r>
        <w:t xml:space="preserve">Systematic bias center, μ_B, with 8 levels from -0.40 to -0.05.</w:t>
      </w:r>
    </w:p>
    <w:p>
      <w:pPr>
        <w:pStyle w:val="Compact"/>
        <w:numPr>
          <w:ilvl w:val="0"/>
          <w:numId w:val="1001"/>
        </w:numPr>
      </w:pPr>
      <w:r>
        <w:t xml:space="preserve">Standard error of the target estimate, σψ, with 2 levels (0.06, 0.10).</w:t>
      </w:r>
    </w:p>
    <w:p>
      <w:pPr>
        <w:pStyle w:val="Compact"/>
        <w:numPr>
          <w:ilvl w:val="0"/>
          <w:numId w:val="1001"/>
        </w:numPr>
      </w:pPr>
      <w:r>
        <w:t xml:space="preserve">Number of negative controls, K, with 3 levels (12, 25, 50).</w:t>
      </w:r>
    </w:p>
    <w:p>
      <w:pPr>
        <w:pStyle w:val="Compact"/>
        <w:numPr>
          <w:ilvl w:val="0"/>
          <w:numId w:val="1001"/>
        </w:numPr>
      </w:pPr>
      <w:r>
        <w:t xml:space="preserve">Exchangeability violation, with 2 levels (0, 0.3, where 0.3 denotes a 30% violation rate).</w:t>
      </w:r>
    </w:p>
    <w:p>
      <w:pPr>
        <w:pStyle w:val="FirstParagraph"/>
      </w:pPr>
      <w:r>
        <w:t xml:space="preserve">The data-generating process was a logistic regression in which each negative-control estimate was drawn as Y_k ~ N(μ_B, σ_B^2 + s_k^2), with the target estimate generated under the analogous model. By construction, each repetition carried a known truth BAF_{true} in [0, 1], an estimated BAF̂, and a calibrated P-value. The design allocated 864,000 interior repetitions (excluding the ψ = -0.01 boundary level) and 96,000 boundary repetitions. The truth composition was 52.5% bias-dominated, 28.7% mixed, and 18.8% effect-dominated.</w:t>
      </w:r>
    </w:p>
    <w:bookmarkEnd w:id="9"/>
    <w:bookmarkStart w:id="10" w:name="X8d2b4a4d67146e369c32f36b121a2673ecb226b"/>
    <w:p>
      <w:pPr>
        <w:pStyle w:val="Heading3"/>
      </w:pPr>
      <w:r>
        <w:t xml:space="preserve">S1.2 Bias Attribution Fraction definition and interval construction</w:t>
      </w:r>
    </w:p>
    <w:p>
      <w:pPr>
        <w:pStyle w:val="FirstParagraph"/>
      </w:pPr>
      <w:r>
        <w:t xml:space="preserve">The Bias Attribution Fraction is BAF = |μ̂_B| / (|μ̂_B| + |ψ̃|), where μ̂_B is the estimated center of the empirical null and ψ̃ is the calibrated log relative risk. Because BAF is a ratio of two jointly estimated quantities, the delta method is unstable when ψ̃ is near zero. The credible interval was therefore constructed by propagating uncertainty rather than approximating it: a set of draws of μ_B was generated from the fitted systematic error model, and each draw was passed through the same function BAF = |μ_B| / (|μ_B| + |Y - μ_B|), with the observed target estimate Y held at its observed value. The 2.5% and 97.5% empirical quantiles of the resulting BAF distribution formed the interval, and the point estimate was the median of that same distribution, so an estimate always lies inside the interval reported for it. In the simulation the draws were posterior draws from the systematic error model Y_k ~ N(μ_B, σ_B^2 + s_k^2), fitted by a Gibbs sampler with priors μ_B ~ N(0, 1) and σ_B^2 ~ InverseGamma(0.5, 0.05); in the case study they were nonparametric bootstrap resamples of the negative-control panel, with the empirical null refitted within each resample. Both constructions yield a distribution for BAF itself, and a bootstrap percentile distribution can be read as an approximation to a posterior under an uninformative prior, so a single term, credible interval, is used for both.</w:t>
      </w:r>
    </w:p>
    <w:bookmarkEnd w:id="10"/>
    <w:bookmarkStart w:id="11" w:name="X82221103bb1f1c4c94d0931ffaf9063f00ed67b"/>
    <w:p>
      <w:pPr>
        <w:pStyle w:val="Heading3"/>
      </w:pPr>
      <w:r>
        <w:t xml:space="preserve">S1.3 Negative-control selection for the case study</w:t>
      </w:r>
    </w:p>
    <w:p>
      <w:pPr>
        <w:pStyle w:val="FirstParagraph"/>
      </w:pPr>
      <w:r>
        <w:t xml:space="preserve">For the beta-blocker target trial emulation, 12 negative-control outcomes were drawn from the OHDSI standard negative-control panel for cardiovascular studies, restricted to outcomes with sufficient event counts and predicted insensitivity to the exposures of interest. All 12 selected controls were directionally protective (all_protective = TRUE), with calibrated log relative risks ranging from -0.531 to -0.002 and a Shapiro-Wilk test of the empirical null residuals yielding p = 0.168, consistent with approximate normality of the null.</w:t>
      </w:r>
    </w:p>
    <w:bookmarkEnd w:id="11"/>
    <w:bookmarkStart w:id="12" w:name="X45c95b010ecc8ac072b52912260798928f2ec58"/>
    <w:p>
      <w:pPr>
        <w:pStyle w:val="Heading3"/>
      </w:pPr>
      <w:r>
        <w:t xml:space="preserve">S1.4 Construction and calibration of the BAF credible interval</w:t>
      </w:r>
    </w:p>
    <w:p>
      <w:pPr>
        <w:pStyle w:val="FirstParagraph"/>
      </w:pPr>
      <w:r>
        <w:t xml:space="preserve">BAF is a ratio whose denominator is itself the difference between two estimated quantities, so its uncertainty cannot be inherited from a standard error in the usual way. As ψ̃ approaches 0 the ratio becomes unstable, and the instability runs in one direction: the denominator shrinks, so BAF is pushed toward 1, while the upper end of the BAF scale is a hard boundary at exactly 1. An interval built on a normal approximation for BAF̂ would be symmetric on a scale that is bounded and asymmetric near its end, and would put mass outside [0, 1]. We therefore propagate uncertainty instead of approximating it, as described in S1.2.</w:t>
      </w:r>
    </w:p>
    <w:p>
      <w:pPr>
        <w:pStyle w:val="BodyText"/>
      </w:pPr>
      <w:r>
        <w:t xml:space="preserve">Holding the observed effect estimate fixed is a deliberate choice: the interval answers how much of the calibrated signal is bias given the effect estimate that was obtained, not a joint statement about the effect estimate and the empirical null. In the simulation the number of retained joint posterior draws was modest (M = 300, from 400 Gibbs iterations with 100 discarded as warm-up), which is too few to locate the 2.5th and 97.5th percentiles precisely and is therefore itself a source of interval instability.</w:t>
      </w:r>
    </w:p>
    <w:p>
      <w:pPr>
        <w:pStyle w:val="BodyText"/>
      </w:pPr>
      <w:r>
        <w:t xml:space="preserve">We call the result a credible interval, not a confidence interval, because it is a percentile range of a distribution for the quantity being estimated, not the output of a procedure constructed to cover the true value in 95% of repeated samples. No sampling distribution is inverted, so the interval carries no guarantee of frequentist coverage. The distinction is not terminological: in the simulation, where BAF_true is known by construction, the interval contained it in 71.1% of repetitions, below the nominal 95%, and coverage was lower among narrower intervals (58.5%) than among wider ones (83.8%). One reason is visible in the construction itself: the interval omits the sampling variability of the effect estimate, a second source of error in BAF̂. Reported as a credible interval with its coverage stated, this is an honest statement that the propagated distribution is too narrow rather than a failure of the method.</w:t>
      </w:r>
    </w:p>
    <w:p>
      <w:pPr>
        <w:pStyle w:val="BodyText"/>
      </w:pPr>
      <w:r>
        <w:t xml:space="preserve">Each interval is summarised by its half-width, (BAF_hi − BAF_lo)/2, and not by its two bounds. BAF is bounded, so the bounds are truncated at 0 and 1 and carry information about location as well as precision; the half-width extracts the precision component in BAF units, on the same bounded scale as the estimate itself, which is what lets the lookup table of Step 2 classify an estimate jointly by where it falls on the BAF scale and by how wide its interval is, splitting the half-width at its median across the simulation (0.130) and returning the higher of the two stratum-specific probabilities. The half-width is not a standard error: because the bounds are truncated, it is half of the [0, 1] scale that the interval occupies, and near either end of the scale it is attenuated by that truncation.</w:t>
      </w:r>
    </w:p>
    <w:bookmarkEnd w:id="12"/>
    <w:bookmarkStart w:id="13" w:name="X9c4b3d64691c72951021069244b866783623fb3"/>
    <w:p>
      <w:pPr>
        <w:pStyle w:val="Heading3"/>
      </w:pPr>
      <w:r>
        <w:t xml:space="preserve">S1.5 Justification of the simulation factor ranges</w:t>
      </w:r>
    </w:p>
    <w:p>
      <w:pPr>
        <w:pStyle w:val="FirstParagraph"/>
      </w:pPr>
      <w:r>
        <w:t xml:space="preserve">Factor levels were not chosen to represent a survey of cardiovascular observational research. Each level was anchored either to a quantity measured in the present case study or to a published estimate of adherence-related bias, as follows.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Factor</w:t>
            </w:r>
          </w:p>
        </w:tc>
        <w:tc>
          <w:tcPr/>
          <w:p>
            <w:pPr>
              <w:pStyle w:val="Compact"/>
            </w:pPr>
            <w:r>
              <w:t xml:space="preserve">Levels</w:t>
            </w:r>
          </w:p>
        </w:tc>
        <w:tc>
          <w:tcPr/>
          <w:p>
            <w:pPr>
              <w:pStyle w:val="Compact"/>
            </w:pPr>
            <w:r>
              <w:t xml:space="preserve">Values</w:t>
            </w:r>
          </w:p>
        </w:tc>
        <w:tc>
          <w:tcPr/>
          <w:p>
            <w:pPr>
              <w:pStyle w:val="Compact"/>
            </w:pPr>
            <w:r>
              <w:t xml:space="preserve">Justification</w:t>
            </w:r>
          </w:p>
        </w:tc>
        <w:tc>
          <w:tcPr/>
          <w:p>
            <w:pPr>
              <w:pStyle w:val="Compact"/>
            </w:pPr>
            <w:r>
              <w:t xml:space="preserve">Source</w:t>
            </w:r>
          </w:p>
        </w:tc>
      </w:tr>
      <w:tr>
        <w:tc>
          <w:tcPr/>
          <w:p>
            <w:pPr>
              <w:pStyle w:val="Compact"/>
            </w:pPr>
            <w:r>
              <w:t xml:space="preserve">True effect, ψ</w:t>
            </w:r>
          </w:p>
        </w:tc>
        <w:tc>
          <w:tcPr/>
          <w:p>
            <w:pPr>
              <w:pStyle w:val="Compact"/>
            </w:pPr>
            <w:r>
              <w:t xml:space="preserve">10</w:t>
            </w:r>
          </w:p>
        </w:tc>
        <w:tc>
          <w:tcPr/>
          <w:p>
            <w:pPr>
              <w:pStyle w:val="Compact"/>
            </w:pPr>
            <w:r>
              <w:t xml:space="preserve">−0.01 to −0.40</w:t>
            </w:r>
          </w:p>
        </w:tc>
        <w:tc>
          <w:tcPr/>
          <w:p>
            <w:pPr>
              <w:pStyle w:val="Compact"/>
            </w:pPr>
            <w:r>
              <w:t xml:space="preserve">Spans marginal to large protective effects on the log relative-risk scale (RR, 0.99 to 0.67) and brackets the beta-blocker estimate observed in the case study (ln RR, −0.18)</w:t>
            </w:r>
          </w:p>
        </w:tc>
        <w:tc>
          <w:tcPr/>
          <w:p>
            <w:pPr>
              <w:pStyle w:val="Compact"/>
            </w:pPr>
            <w:r>
              <w:t xml:space="preserve">Present case study</w:t>
            </w:r>
          </w:p>
        </w:tc>
      </w:tr>
      <w:tr>
        <w:tc>
          <w:tcPr/>
          <w:p>
            <w:pPr>
              <w:pStyle w:val="Compact"/>
            </w:pPr>
            <w:r>
              <w:t xml:space="preserve">Bias center, μB</w:t>
            </w:r>
          </w:p>
        </w:tc>
        <w:tc>
          <w:tcPr/>
          <w:p>
            <w:pPr>
              <w:pStyle w:val="Compact"/>
            </w:pPr>
            <w:r>
              <w:t xml:space="preserve">8</w:t>
            </w:r>
          </w:p>
        </w:tc>
        <w:tc>
          <w:tcPr/>
          <w:p>
            <w:pPr>
              <w:pStyle w:val="Compact"/>
            </w:pPr>
            <w:r>
              <w:t xml:space="preserve">−0.05 to −0.40</w:t>
            </w:r>
          </w:p>
        </w:tc>
        <w:tc>
          <w:tcPr/>
          <w:p>
            <w:pPr>
              <w:pStyle w:val="Compact"/>
            </w:pPr>
            <w:r>
              <w:t xml:space="preserve">(RR, 0.95 to 0.67). Approaches, without reaching, the healthy-adherer effect reported for adherence-related exposures (odds ratio, 0.56; ln, −0.58) and brackets the empirical null fitted to the case-study panel (μ̂B, −0.19)</w:t>
            </w:r>
          </w:p>
        </w:tc>
        <w:tc>
          <w:tcPr/>
          <w:p>
            <w:pPr>
              <w:pStyle w:val="Compact"/>
            </w:pPr>
            <w:r>
              <w:t xml:space="preserve">Simpson 2006; present case study</w:t>
            </w:r>
          </w:p>
        </w:tc>
      </w:tr>
      <w:tr>
        <w:tc>
          <w:tcPr/>
          <w:p>
            <w:pPr>
              <w:pStyle w:val="Compact"/>
            </w:pPr>
            <w:r>
              <w:t xml:space="preserve">Standard error of the target estimate, σψ</w:t>
            </w:r>
          </w:p>
        </w:tc>
        <w:tc>
          <w:tcPr/>
          <w:p>
            <w:pPr>
              <w:pStyle w:val="Compact"/>
            </w:pPr>
            <w:r>
              <w:t xml:space="preserve">2</w:t>
            </w:r>
          </w:p>
        </w:tc>
        <w:tc>
          <w:tcPr/>
          <w:p>
            <w:pPr>
              <w:pStyle w:val="Compact"/>
            </w:pPr>
            <w:r>
              <w:t xml:space="preserve">0.06, 0.10</w:t>
            </w:r>
          </w:p>
        </w:tc>
        <w:tc>
          <w:tcPr/>
          <w:p>
            <w:pPr>
              <w:pStyle w:val="Compact"/>
            </w:pPr>
            <w:r>
              <w:t xml:space="preserve">Closely matches the standard errors of the two case-study estimates (0.056 and 0.068), the smaller falling marginally below the lower grid level</w:t>
            </w:r>
          </w:p>
        </w:tc>
        <w:tc>
          <w:tcPr/>
          <w:p>
            <w:pPr>
              <w:pStyle w:val="Compact"/>
            </w:pPr>
            <w:r>
              <w:t xml:space="preserve">Present case study</w:t>
            </w:r>
          </w:p>
        </w:tc>
      </w:tr>
      <w:tr>
        <w:tc>
          <w:tcPr/>
          <w:p>
            <w:pPr>
              <w:pStyle w:val="Compact"/>
            </w:pPr>
            <w:r>
              <w:t xml:space="preserve">Number of negative controls, K</w:t>
            </w:r>
          </w:p>
        </w:tc>
        <w:tc>
          <w:tcPr/>
          <w:p>
            <w:pPr>
              <w:pStyle w:val="Compact"/>
            </w:pPr>
            <w:r>
              <w:t xml:space="preserve">3</w:t>
            </w:r>
          </w:p>
        </w:tc>
        <w:tc>
          <w:tcPr/>
          <w:p>
            <w:pPr>
              <w:pStyle w:val="Compact"/>
            </w:pPr>
            <w:r>
              <w:t xml:space="preserve">12, 25, 50</w:t>
            </w:r>
          </w:p>
        </w:tc>
        <w:tc>
          <w:tcPr/>
          <w:p>
            <w:pPr>
              <w:pStyle w:val="Compact"/>
            </w:pPr>
            <w:r>
              <w:t xml:space="preserve">12 is the number of controls in the cardiovascular panel available in MIMIC-IV; 25 is a moderately larger panel; 50 tests whether estimator performance keeps improving or plateaus once the panel far exceeds the size typically assembled in practice</w:t>
            </w:r>
          </w:p>
        </w:tc>
        <w:tc>
          <w:tcPr/>
          <w:p>
            <w:pPr>
              <w:pStyle w:val="Compact"/>
            </w:pPr>
            <w:r>
              <w:t xml:space="preserve">Present case study; Schuemie 2018</w:t>
            </w:r>
          </w:p>
        </w:tc>
      </w:tr>
      <w:tr>
        <w:tc>
          <w:tcPr/>
          <w:p>
            <w:pPr>
              <w:pStyle w:val="Compact"/>
            </w:pPr>
            <w:r>
              <w:t xml:space="preserve">Exchangeability violation</w:t>
            </w:r>
          </w:p>
        </w:tc>
        <w:tc>
          <w:tcPr/>
          <w:p>
            <w:pPr>
              <w:pStyle w:val="Compact"/>
            </w:pPr>
            <w:r>
              <w:t xml:space="preserve">2</w:t>
            </w:r>
          </w:p>
        </w:tc>
        <w:tc>
          <w:tcPr/>
          <w:p>
            <w:pPr>
              <w:pStyle w:val="Compact"/>
            </w:pPr>
            <w:r>
              <w:t xml:space="preserve">0, 0.3</w:t>
            </w:r>
          </w:p>
        </w:tc>
        <w:tc>
          <w:tcPr/>
          <w:p>
            <w:pPr>
              <w:pStyle w:val="Compact"/>
            </w:pPr>
            <w:r>
              <w:t xml:space="preserve">0 corresponds to an assumption that holds; 0.3 shifts 30% of controls by +0.15 (RR, 1.16), a deliberately arbitrary perturbation chosen to break the assumption rather than to reproduce any empirical estimate</w:t>
            </w:r>
          </w:p>
        </w:tc>
        <w:tc>
          <w:tcPr/>
          <w:p>
            <w:pPr>
              <w:pStyle w:val="Compact"/>
            </w:pPr>
            <w:r>
              <w:t xml:space="preserve">Design choice</w:t>
            </w:r>
          </w:p>
        </w:tc>
      </w:tr>
    </w:tbl>
    <w:p>
      <w:pPr>
        <w:pStyle w:val="BodyText"/>
      </w:pPr>
      <w:r>
        <w:t xml:space="preserve">Three respects in which the grid does not bracket the case study should be read as limitations of the simulation, all of which make it more favorable to the estimator than the case study itself. First, the between-control standard deviation was held fixed at 0.05, below the 0.068 fitted to the case-study panel. Second, control standard errors were drawn from a uniform distribution on 0.03 to 0.12, whereas the observed controls ranged from 0.025 to 0.302 with 3 controls above 0.24. Third, the guideline-directed medical therapy estimate (ln RR, −0.38) lies between grid levels, within the ψ grid whose most extreme value is −0.40.</w:t>
      </w:r>
    </w:p>
    <w:p>
      <w:r>
        <w:pict>
          <v:rect style="width:0;height:1.5pt" o:hralign="center" o:hrstd="t" o:hr="t"/>
        </w:pict>
      </w:r>
    </w:p>
    <w:bookmarkEnd w:id="13"/>
    <w:bookmarkEnd w:id="14"/>
    <w:bookmarkStart w:id="15" w:name="X821b2ccb0e8346b5714448eb76a3511eb7bc5fa"/>
    <w:p>
      <w:pPr>
        <w:pStyle w:val="Heading2"/>
      </w:pPr>
      <w:r>
        <w:t xml:space="preserve">S2. Part I supplementary: Bland-Altman agreement</w:t>
      </w:r>
    </w:p>
    <w:p>
      <w:pPr>
        <w:pStyle w:val="FirstParagraph"/>
      </w:pPr>
      <w:r>
        <w:t xml:space="preserve">The interior analysis (primary) excludes the ψ = -0.01 boundary level to avoid near-boundary pathologies. The full analysis includes it. Both are reported below.</w:t>
      </w:r>
    </w:p>
    <w:p>
      <w:pPr>
        <w:pStyle w:val="TableCaption"/>
      </w:pPr>
      <w:r>
        <w:t xml:space="preserve">Table S1. Bland-Altman agreement of BAFhat as an estimator of BAFtrue.</w:t>
      </w:r>
    </w:p>
    <w:tbl>
      <w:tblPr>
        <w:tblStyle w:val="Table"/>
        <w:tblW w:type="pct" w:w="5000"/>
        <w:tblLayout w:type="fixed"/>
        <w:tblLook w:firstRow="1" w:lastRow="0" w:firstColumn="0" w:lastColumn="0" w:noHBand="0" w:noVBand="0" w:val="0020"/>
        <w:tblCaption w:val="Table S1. Bland-Altman agreement of BAFhat as an estimator of BAFtrue."/>
      </w:tblPr>
      <w:tblGrid>
        <w:gridCol w:w="1502"/>
        <w:gridCol w:w="477"/>
        <w:gridCol w:w="1843"/>
        <w:gridCol w:w="546"/>
        <w:gridCol w:w="546"/>
        <w:gridCol w:w="614"/>
        <w:gridCol w:w="409"/>
        <w:gridCol w:w="1160"/>
        <w:gridCol w:w="409"/>
        <w:gridCol w:w="409"/>
      </w:tblGrid>
      <w:tr>
        <w:trPr>
          <w:tblHeader w:val="on"/>
        </w:trPr>
        <w:tc>
          <w:tcPr/>
          <w:p>
            <w:pPr>
              <w:pStyle w:val="Compact"/>
              <w:jc w:val="left"/>
            </w:pPr>
            <w:r>
              <w:t xml:space="preserve">Analysis</w:t>
            </w:r>
          </w:p>
        </w:tc>
        <w:tc>
          <w:tcPr/>
          <w:p>
            <w:pPr>
              <w:pStyle w:val="Compact"/>
              <w:jc w:val="right"/>
            </w:pPr>
            <w:r>
              <w:t xml:space="preserve">N</w:t>
            </w:r>
          </w:p>
        </w:tc>
        <w:tc>
          <w:tcPr/>
          <w:p>
            <w:pPr>
              <w:pStyle w:val="Compact"/>
              <w:jc w:val="right"/>
            </w:pPr>
            <w:r>
              <w:t xml:space="preserve">Mean.diff..BAFhat.BAFtrue.</w:t>
            </w:r>
          </w:p>
        </w:tc>
        <w:tc>
          <w:tcPr/>
          <w:p>
            <w:pPr>
              <w:pStyle w:val="Compact"/>
              <w:jc w:val="right"/>
            </w:pPr>
            <w:r>
              <w:t xml:space="preserve">SD.diff</w:t>
            </w:r>
          </w:p>
        </w:tc>
        <w:tc>
          <w:tcPr/>
          <w:p>
            <w:pPr>
              <w:pStyle w:val="Compact"/>
              <w:jc w:val="right"/>
            </w:pPr>
            <w:r>
              <w:t xml:space="preserve">LoA.low</w:t>
            </w:r>
          </w:p>
        </w:tc>
        <w:tc>
          <w:tcPr/>
          <w:p>
            <w:pPr>
              <w:pStyle w:val="Compact"/>
              <w:jc w:val="right"/>
            </w:pPr>
            <w:r>
              <w:t xml:space="preserve">LoA.high</w:t>
            </w:r>
          </w:p>
        </w:tc>
        <w:tc>
          <w:tcPr/>
          <w:p>
            <w:pPr>
              <w:pStyle w:val="Compact"/>
              <w:jc w:val="right"/>
            </w:pPr>
            <w:r>
              <w:t xml:space="preserve">CCC</w:t>
            </w:r>
          </w:p>
        </w:tc>
        <w:tc>
          <w:tcPr/>
          <w:p>
            <w:pPr>
              <w:pStyle w:val="Compact"/>
              <w:jc w:val="right"/>
            </w:pPr>
            <w:r>
              <w:t xml:space="preserve">Prop..bias.slope</w:t>
            </w:r>
          </w:p>
        </w:tc>
        <w:tc>
          <w:tcPr/>
          <w:p>
            <w:pPr>
              <w:pStyle w:val="Compact"/>
              <w:jc w:val="right"/>
            </w:pPr>
            <w:r>
              <w:t xml:space="preserve">MAE</w:t>
            </w:r>
          </w:p>
        </w:tc>
        <w:tc>
          <w:tcPr/>
          <w:p>
            <w:pPr>
              <w:pStyle w:val="Compact"/>
              <w:jc w:val="right"/>
            </w:pPr>
            <w:r>
              <w:t xml:space="preserve">RMSE</w:t>
            </w:r>
          </w:p>
        </w:tc>
      </w:tr>
      <w:tr>
        <w:tc>
          <w:tcPr/>
          <w:p>
            <w:pPr>
              <w:pStyle w:val="Compact"/>
              <w:jc w:val="left"/>
            </w:pPr>
            <w:r>
              <w:t xml:space="preserve">Interior (primary)</w:t>
            </w:r>
          </w:p>
        </w:tc>
        <w:tc>
          <w:tcPr/>
          <w:p>
            <w:pPr>
              <w:pStyle w:val="Compact"/>
              <w:jc w:val="right"/>
            </w:pPr>
            <w:r>
              <w:t xml:space="preserve">864000</w:t>
            </w:r>
          </w:p>
        </w:tc>
        <w:tc>
          <w:tcPr/>
          <w:p>
            <w:pPr>
              <w:pStyle w:val="Compact"/>
              <w:jc w:val="right"/>
            </w:pPr>
            <w:r>
              <w:t xml:space="preserve">-0.049</w:t>
            </w:r>
          </w:p>
        </w:tc>
        <w:tc>
          <w:tcPr/>
          <w:p>
            <w:pPr>
              <w:pStyle w:val="Compact"/>
              <w:jc w:val="right"/>
            </w:pPr>
            <w:r>
              <w:t xml:space="preserve">0.118</w:t>
            </w:r>
          </w:p>
        </w:tc>
        <w:tc>
          <w:tcPr/>
          <w:p>
            <w:pPr>
              <w:pStyle w:val="Compact"/>
              <w:jc w:val="right"/>
            </w:pPr>
            <w:r>
              <w:t xml:space="preserve">-0.280</w:t>
            </w:r>
          </w:p>
        </w:tc>
        <w:tc>
          <w:tcPr/>
          <w:p>
            <w:pPr>
              <w:pStyle w:val="Compact"/>
              <w:jc w:val="right"/>
            </w:pPr>
            <w:r>
              <w:t xml:space="preserve">0.182</w:t>
            </w:r>
          </w:p>
        </w:tc>
        <w:tc>
          <w:tcPr/>
          <w:p>
            <w:pPr>
              <w:pStyle w:val="Compact"/>
              <w:jc w:val="right"/>
            </w:pPr>
            <w:r>
              <w:t xml:space="preserve">0.815</w:t>
            </w:r>
          </w:p>
        </w:tc>
        <w:tc>
          <w:tcPr/>
          <w:p>
            <w:pPr>
              <w:pStyle w:val="Compact"/>
              <w:jc w:val="right"/>
            </w:pPr>
            <w:r>
              <w:t xml:space="preserve">-0.0588</w:t>
            </w:r>
          </w:p>
        </w:tc>
        <w:tc>
          <w:tcPr/>
          <w:p>
            <w:pPr>
              <w:pStyle w:val="Compact"/>
              <w:jc w:val="right"/>
            </w:pPr>
            <w:r>
              <w:t xml:space="preserve">0.098</w:t>
            </w:r>
          </w:p>
        </w:tc>
        <w:tc>
          <w:tcPr/>
          <w:p>
            <w:pPr>
              <w:pStyle w:val="Compact"/>
              <w:jc w:val="right"/>
            </w:pPr>
            <w:r>
              <w:t xml:space="preserve">0.128</w:t>
            </w:r>
          </w:p>
        </w:tc>
      </w:tr>
      <w:tr>
        <w:tc>
          <w:tcPr/>
          <w:p>
            <w:pPr>
              <w:pStyle w:val="Compact"/>
              <w:jc w:val="left"/>
            </w:pPr>
            <w:r>
              <w:t xml:space="preserve">Full (incl. boundary)</w:t>
            </w:r>
          </w:p>
        </w:tc>
        <w:tc>
          <w:tcPr/>
          <w:p>
            <w:pPr>
              <w:pStyle w:val="Compact"/>
              <w:jc w:val="right"/>
            </w:pPr>
            <w:r>
              <w:t xml:space="preserve">960000</w:t>
            </w:r>
          </w:p>
        </w:tc>
        <w:tc>
          <w:tcPr/>
          <w:p>
            <w:pPr>
              <w:pStyle w:val="Compact"/>
              <w:jc w:val="right"/>
            </w:pPr>
            <w:r>
              <w:t xml:space="preserve">-0.069</w:t>
            </w:r>
          </w:p>
        </w:tc>
        <w:tc>
          <w:tcPr/>
          <w:p>
            <w:pPr>
              <w:pStyle w:val="Compact"/>
              <w:jc w:val="right"/>
            </w:pPr>
            <w:r>
              <w:t xml:space="preserve">0.139</w:t>
            </w:r>
          </w:p>
        </w:tc>
        <w:tc>
          <w:tcPr/>
          <w:p>
            <w:pPr>
              <w:pStyle w:val="Compact"/>
              <w:jc w:val="right"/>
            </w:pPr>
            <w:r>
              <w:t xml:space="preserve">-0.341</w:t>
            </w:r>
          </w:p>
        </w:tc>
        <w:tc>
          <w:tcPr/>
          <w:p>
            <w:pPr>
              <w:pStyle w:val="Compact"/>
              <w:jc w:val="right"/>
            </w:pPr>
            <w:r>
              <w:t xml:space="preserve">0.203</w:t>
            </w:r>
          </w:p>
        </w:tc>
        <w:tc>
          <w:tcPr/>
          <w:p>
            <w:pPr>
              <w:pStyle w:val="Compact"/>
              <w:jc w:val="right"/>
            </w:pPr>
            <w:r>
              <w:t xml:space="preserve">0.781</w:t>
            </w:r>
          </w:p>
        </w:tc>
        <w:tc>
          <w:tcPr/>
          <w:p>
            <w:pPr>
              <w:pStyle w:val="Compact"/>
              <w:jc w:val="right"/>
            </w:pPr>
            <w:r>
              <w:t xml:space="preserve">-0.1814</w:t>
            </w:r>
          </w:p>
        </w:tc>
        <w:tc>
          <w:tcPr/>
          <w:p>
            <w:pPr>
              <w:pStyle w:val="Compact"/>
              <w:jc w:val="right"/>
            </w:pPr>
            <w:r>
              <w:t xml:space="preserve">0.113</w:t>
            </w:r>
          </w:p>
        </w:tc>
        <w:tc>
          <w:tcPr/>
          <w:p>
            <w:pPr>
              <w:pStyle w:val="Compact"/>
              <w:jc w:val="right"/>
            </w:pPr>
            <w:r>
              <w:t xml:space="preserve">0.155</w:t>
            </w:r>
          </w:p>
        </w:tc>
      </w:tr>
    </w:tbl>
    <w:p>
      <w:pPr>
        <w:pStyle w:val="BodyText"/>
      </w:pPr>
      <w:r>
        <w:t xml:space="preserve">The worst single-condition mean signed difference among the 864 interior conditions was 0.321. The proportional-bias slope regression rejected the null of no proportional bias in both analyses (interior slope -0.0588, 95% CI -0.0601 to -0.0576; full slope -0.1814, 95% CI -0.1826 to -0.1802). The estimator systematically underestimates BAF_{true}, and the underestimation grows with the magnitude of BAF_{true}.</w:t>
      </w:r>
    </w:p>
    <w:p>
      <w:r>
        <w:pict>
          <v:rect style="width:0;height:1.5pt" o:hralign="center" o:hrstd="t" o:hr="t"/>
        </w:pict>
      </w:r>
    </w:p>
    <w:bookmarkEnd w:id="15"/>
    <w:bookmarkStart w:id="24" w:name="X4d3b6fe2dc8767703846271d3597a4d554a06cb"/>
    <w:p>
      <w:pPr>
        <w:pStyle w:val="Heading2"/>
      </w:pPr>
      <w:r>
        <w:t xml:space="preserve">S3. Part II supplementary: decision-rule detail</w:t>
      </w:r>
    </w:p>
    <w:bookmarkStart w:id="16" w:name="s3.1-full-12-bucket-lookup-table"/>
    <w:p>
      <w:pPr>
        <w:pStyle w:val="Heading3"/>
      </w:pPr>
      <w:r>
        <w:t xml:space="preserve">S3.1 Full 12-bucket lookup table</w:t>
      </w:r>
    </w:p>
    <w:p>
      <w:pPr>
        <w:pStyle w:val="FirstParagraph"/>
      </w:pPr>
      <w:r>
        <w:t xml:space="preserve">Each bucket reports the count of repetitions with narrow and wide credible intervals, the probability of being bias-dominated under the narrow reading, the wide reading, and the conservative max(narrow, wide) reading, together with the verdict zone.</w:t>
      </w:r>
    </w:p>
    <w:p>
      <w:pPr>
        <w:pStyle w:val="TableCaption"/>
      </w:pPr>
      <w:r>
        <w:t xml:space="preserve">Table S2. Twelve-bucket equal-frequency lookup table mapping BAFhat x interval width to probability of being bias-dominated.</w:t>
      </w:r>
    </w:p>
    <w:tbl>
      <w:tblPr>
        <w:tblStyle w:val="Table"/>
        <w:tblW w:type="pct" w:w="5000"/>
        <w:tblLayout w:type="fixed"/>
        <w:tblLook w:firstRow="1" w:lastRow="0" w:firstColumn="0" w:lastColumn="0" w:noHBand="0" w:noVBand="0" w:val="0020"/>
        <w:tblCaption w:val="Table S2. Twelve-bucket equal-frequency lookup table mapping BAFhat x interval width to probability of being bias-dominated."/>
      </w:tblPr>
      <w:tblGrid>
        <w:gridCol w:w="348"/>
        <w:gridCol w:w="957"/>
        <w:gridCol w:w="783"/>
        <w:gridCol w:w="609"/>
        <w:gridCol w:w="957"/>
        <w:gridCol w:w="783"/>
        <w:gridCol w:w="870"/>
        <w:gridCol w:w="2610"/>
      </w:tblGrid>
      <w:tr>
        <w:trPr>
          <w:tblHeader w:val="on"/>
        </w:trPr>
        <w:tc>
          <w:tcPr/>
          <w:p>
            <w:pPr>
              <w:pStyle w:val="Compact"/>
              <w:jc w:val="right"/>
            </w:pPr>
            <w:r>
              <w:t xml:space="preserve">Bin</w:t>
            </w:r>
          </w:p>
        </w:tc>
        <w:tc>
          <w:tcPr/>
          <w:p>
            <w:pPr>
              <w:pStyle w:val="Compact"/>
              <w:jc w:val="right"/>
            </w:pPr>
            <w:r>
              <w:t xml:space="preserve">BAF.centre</w:t>
            </w:r>
          </w:p>
        </w:tc>
        <w:tc>
          <w:tcPr/>
          <w:p>
            <w:pPr>
              <w:pStyle w:val="Compact"/>
              <w:jc w:val="right"/>
            </w:pPr>
            <w:r>
              <w:t xml:space="preserve">n.narrow</w:t>
            </w:r>
          </w:p>
        </w:tc>
        <w:tc>
          <w:tcPr/>
          <w:p>
            <w:pPr>
              <w:pStyle w:val="Compact"/>
              <w:jc w:val="right"/>
            </w:pPr>
            <w:r>
              <w:t xml:space="preserve">n.wide</w:t>
            </w:r>
          </w:p>
        </w:tc>
        <w:tc>
          <w:tcPr/>
          <w:p>
            <w:pPr>
              <w:pStyle w:val="Compact"/>
              <w:jc w:val="left"/>
            </w:pPr>
            <w:r>
              <w:t xml:space="preserve">pBD.narrow</w:t>
            </w:r>
          </w:p>
        </w:tc>
        <w:tc>
          <w:tcPr/>
          <w:p>
            <w:pPr>
              <w:pStyle w:val="Compact"/>
              <w:jc w:val="left"/>
            </w:pPr>
            <w:r>
              <w:t xml:space="preserve">pBD.wide</w:t>
            </w:r>
          </w:p>
        </w:tc>
        <w:tc>
          <w:tcPr/>
          <w:p>
            <w:pPr>
              <w:pStyle w:val="Compact"/>
              <w:jc w:val="left"/>
            </w:pPr>
            <w:r>
              <w:t xml:space="preserve">pBD.cons.</w:t>
            </w:r>
          </w:p>
        </w:tc>
        <w:tc>
          <w:tcPr/>
          <w:p>
            <w:pPr>
              <w:pStyle w:val="Compact"/>
              <w:jc w:val="left"/>
            </w:pPr>
            <w:r>
              <w:t xml:space="preserve">Verdict</w:t>
            </w:r>
          </w:p>
        </w:tc>
      </w:tr>
      <w:tr>
        <w:tc>
          <w:tcPr/>
          <w:p>
            <w:pPr>
              <w:pStyle w:val="Compact"/>
              <w:jc w:val="right"/>
            </w:pPr>
            <w:r>
              <w:t xml:space="preserve">1</w:t>
            </w:r>
          </w:p>
        </w:tc>
        <w:tc>
          <w:tcPr/>
          <w:p>
            <w:pPr>
              <w:pStyle w:val="Compact"/>
              <w:jc w:val="right"/>
            </w:pPr>
            <w:r>
              <w:t xml:space="preserve">0.093</w:t>
            </w:r>
          </w:p>
        </w:tc>
        <w:tc>
          <w:tcPr/>
          <w:p>
            <w:pPr>
              <w:pStyle w:val="Compact"/>
              <w:jc w:val="right"/>
            </w:pPr>
            <w:r>
              <w:t xml:space="preserve">51357</w:t>
            </w:r>
          </w:p>
        </w:tc>
        <w:tc>
          <w:tcPr/>
          <w:p>
            <w:pPr>
              <w:pStyle w:val="Compact"/>
              <w:jc w:val="right"/>
            </w:pPr>
            <w:r>
              <w:t xml:space="preserve">28643</w:t>
            </w:r>
          </w:p>
        </w:tc>
        <w:tc>
          <w:tcPr/>
          <w:p>
            <w:pPr>
              <w:pStyle w:val="Compact"/>
              <w:jc w:val="left"/>
            </w:pPr>
            <w:r>
              <w:t xml:space="preserve">0.62%</w:t>
            </w:r>
          </w:p>
        </w:tc>
        <w:tc>
          <w:tcPr/>
          <w:p>
            <w:pPr>
              <w:pStyle w:val="Compact"/>
              <w:jc w:val="left"/>
            </w:pPr>
            <w:r>
              <w:t xml:space="preserve">3.57%</w:t>
            </w:r>
          </w:p>
        </w:tc>
        <w:tc>
          <w:tcPr/>
          <w:p>
            <w:pPr>
              <w:pStyle w:val="Compact"/>
              <w:jc w:val="left"/>
            </w:pPr>
            <w:r>
              <w:t xml:space="preserve">3.57%</w:t>
            </w:r>
          </w:p>
        </w:tc>
        <w:tc>
          <w:tcPr/>
          <w:p>
            <w:pPr>
              <w:pStyle w:val="Compact"/>
              <w:jc w:val="left"/>
            </w:pPr>
            <w:r>
              <w:t xml:space="preserve">usable as effect evidence</w:t>
            </w:r>
          </w:p>
        </w:tc>
      </w:tr>
      <w:tr>
        <w:tc>
          <w:tcPr/>
          <w:p>
            <w:pPr>
              <w:pStyle w:val="Compact"/>
              <w:jc w:val="right"/>
            </w:pPr>
            <w:r>
              <w:t xml:space="preserve">2</w:t>
            </w:r>
          </w:p>
        </w:tc>
        <w:tc>
          <w:tcPr/>
          <w:p>
            <w:pPr>
              <w:pStyle w:val="Compact"/>
              <w:jc w:val="right"/>
            </w:pPr>
            <w:r>
              <w:t xml:space="preserve">0.183</w:t>
            </w:r>
          </w:p>
        </w:tc>
        <w:tc>
          <w:tcPr/>
          <w:p>
            <w:pPr>
              <w:pStyle w:val="Compact"/>
              <w:jc w:val="right"/>
            </w:pPr>
            <w:r>
              <w:t xml:space="preserve">28134</w:t>
            </w:r>
          </w:p>
        </w:tc>
        <w:tc>
          <w:tcPr/>
          <w:p>
            <w:pPr>
              <w:pStyle w:val="Compact"/>
              <w:jc w:val="right"/>
            </w:pPr>
            <w:r>
              <w:t xml:space="preserve">51866</w:t>
            </w:r>
          </w:p>
        </w:tc>
        <w:tc>
          <w:tcPr/>
          <w:p>
            <w:pPr>
              <w:pStyle w:val="Compact"/>
              <w:jc w:val="left"/>
            </w:pPr>
            <w:r>
              <w:t xml:space="preserve">1.10%</w:t>
            </w:r>
          </w:p>
        </w:tc>
        <w:tc>
          <w:tcPr/>
          <w:p>
            <w:pPr>
              <w:pStyle w:val="Compact"/>
              <w:jc w:val="left"/>
            </w:pPr>
            <w:r>
              <w:t xml:space="preserve">7.26%</w:t>
            </w:r>
          </w:p>
        </w:tc>
        <w:tc>
          <w:tcPr/>
          <w:p>
            <w:pPr>
              <w:pStyle w:val="Compact"/>
              <w:jc w:val="left"/>
            </w:pPr>
            <w:r>
              <w:t xml:space="preserve">7.26%</w:t>
            </w:r>
          </w:p>
        </w:tc>
        <w:tc>
          <w:tcPr/>
          <w:p>
            <w:pPr>
              <w:pStyle w:val="Compact"/>
              <w:jc w:val="left"/>
            </w:pPr>
            <w:r>
              <w:t xml:space="preserve">usable as effect evidence</w:t>
            </w:r>
          </w:p>
        </w:tc>
      </w:tr>
      <w:tr>
        <w:tc>
          <w:tcPr/>
          <w:p>
            <w:pPr>
              <w:pStyle w:val="Compact"/>
              <w:jc w:val="right"/>
            </w:pPr>
            <w:r>
              <w:t xml:space="preserve">3</w:t>
            </w:r>
          </w:p>
        </w:tc>
        <w:tc>
          <w:tcPr/>
          <w:p>
            <w:pPr>
              <w:pStyle w:val="Compact"/>
              <w:jc w:val="right"/>
            </w:pPr>
            <w:r>
              <w:t xml:space="preserve">0.265</w:t>
            </w:r>
          </w:p>
        </w:tc>
        <w:tc>
          <w:tcPr/>
          <w:p>
            <w:pPr>
              <w:pStyle w:val="Compact"/>
              <w:jc w:val="right"/>
            </w:pPr>
            <w:r>
              <w:t xml:space="preserve">33897</w:t>
            </w:r>
          </w:p>
        </w:tc>
        <w:tc>
          <w:tcPr/>
          <w:p>
            <w:pPr>
              <w:pStyle w:val="Compact"/>
              <w:jc w:val="right"/>
            </w:pPr>
            <w:r>
              <w:t xml:space="preserve">46103</w:t>
            </w:r>
          </w:p>
        </w:tc>
        <w:tc>
          <w:tcPr/>
          <w:p>
            <w:pPr>
              <w:pStyle w:val="Compact"/>
              <w:jc w:val="left"/>
            </w:pPr>
            <w:r>
              <w:t xml:space="preserve">4.29%</w:t>
            </w:r>
          </w:p>
        </w:tc>
        <w:tc>
          <w:tcPr/>
          <w:p>
            <w:pPr>
              <w:pStyle w:val="Compact"/>
              <w:jc w:val="left"/>
            </w:pPr>
            <w:r>
              <w:t xml:space="preserve">13.86%</w:t>
            </w:r>
          </w:p>
        </w:tc>
        <w:tc>
          <w:tcPr/>
          <w:p>
            <w:pPr>
              <w:pStyle w:val="Compact"/>
              <w:jc w:val="left"/>
            </w:pPr>
            <w:r>
              <w:t xml:space="preserve">13.86%</w:t>
            </w:r>
          </w:p>
        </w:tc>
        <w:tc>
          <w:tcPr/>
          <w:p>
            <w:pPr>
              <w:pStyle w:val="Compact"/>
              <w:jc w:val="left"/>
            </w:pPr>
            <w:r>
              <w:t xml:space="preserve">usable as effect evidence</w:t>
            </w:r>
          </w:p>
        </w:tc>
      </w:tr>
      <w:tr>
        <w:tc>
          <w:tcPr/>
          <w:p>
            <w:pPr>
              <w:pStyle w:val="Compact"/>
              <w:jc w:val="right"/>
            </w:pPr>
            <w:r>
              <w:t xml:space="preserve">4</w:t>
            </w:r>
          </w:p>
        </w:tc>
        <w:tc>
          <w:tcPr/>
          <w:p>
            <w:pPr>
              <w:pStyle w:val="Compact"/>
              <w:jc w:val="right"/>
            </w:pPr>
            <w:r>
              <w:t xml:space="preserve">0.334</w:t>
            </w:r>
          </w:p>
        </w:tc>
        <w:tc>
          <w:tcPr/>
          <w:p>
            <w:pPr>
              <w:pStyle w:val="Compact"/>
              <w:jc w:val="right"/>
            </w:pPr>
            <w:r>
              <w:t xml:space="preserve">39551</w:t>
            </w:r>
          </w:p>
        </w:tc>
        <w:tc>
          <w:tcPr/>
          <w:p>
            <w:pPr>
              <w:pStyle w:val="Compact"/>
              <w:jc w:val="right"/>
            </w:pPr>
            <w:r>
              <w:t xml:space="preserve">40449</w:t>
            </w:r>
          </w:p>
        </w:tc>
        <w:tc>
          <w:tcPr/>
          <w:p>
            <w:pPr>
              <w:pStyle w:val="Compact"/>
              <w:jc w:val="left"/>
            </w:pPr>
            <w:r>
              <w:t xml:space="preserve">11.14%</w:t>
            </w:r>
          </w:p>
        </w:tc>
        <w:tc>
          <w:tcPr/>
          <w:p>
            <w:pPr>
              <w:pStyle w:val="Compact"/>
              <w:jc w:val="left"/>
            </w:pPr>
            <w:r>
              <w:t xml:space="preserve">23.90%</w:t>
            </w:r>
          </w:p>
        </w:tc>
        <w:tc>
          <w:tcPr/>
          <w:p>
            <w:pPr>
              <w:pStyle w:val="Compact"/>
              <w:jc w:val="left"/>
            </w:pPr>
            <w:r>
              <w:t xml:space="preserve">23.90%</w:t>
            </w:r>
          </w:p>
        </w:tc>
        <w:tc>
          <w:tcPr/>
          <w:p>
            <w:pPr>
              <w:pStyle w:val="Compact"/>
              <w:jc w:val="left"/>
            </w:pPr>
            <w:r>
              <w:t xml:space="preserve">mixed, hypothesis-generating</w:t>
            </w:r>
          </w:p>
        </w:tc>
      </w:tr>
      <w:tr>
        <w:tc>
          <w:tcPr/>
          <w:p>
            <w:pPr>
              <w:pStyle w:val="Compact"/>
              <w:jc w:val="right"/>
            </w:pPr>
            <w:r>
              <w:t xml:space="preserve">5</w:t>
            </w:r>
          </w:p>
        </w:tc>
        <w:tc>
          <w:tcPr/>
          <w:p>
            <w:pPr>
              <w:pStyle w:val="Compact"/>
              <w:jc w:val="right"/>
            </w:pPr>
            <w:r>
              <w:t xml:space="preserve">0.391</w:t>
            </w:r>
          </w:p>
        </w:tc>
        <w:tc>
          <w:tcPr/>
          <w:p>
            <w:pPr>
              <w:pStyle w:val="Compact"/>
              <w:jc w:val="right"/>
            </w:pPr>
            <w:r>
              <w:t xml:space="preserve">43137</w:t>
            </w:r>
          </w:p>
        </w:tc>
        <w:tc>
          <w:tcPr/>
          <w:p>
            <w:pPr>
              <w:pStyle w:val="Compact"/>
              <w:jc w:val="right"/>
            </w:pPr>
            <w:r>
              <w:t xml:space="preserve">36863</w:t>
            </w:r>
          </w:p>
        </w:tc>
        <w:tc>
          <w:tcPr/>
          <w:p>
            <w:pPr>
              <w:pStyle w:val="Compact"/>
              <w:jc w:val="left"/>
            </w:pPr>
            <w:r>
              <w:t xml:space="preserve">24.49%</w:t>
            </w:r>
          </w:p>
        </w:tc>
        <w:tc>
          <w:tcPr/>
          <w:p>
            <w:pPr>
              <w:pStyle w:val="Compact"/>
              <w:jc w:val="left"/>
            </w:pPr>
            <w:r>
              <w:t xml:space="preserve">36.13%</w:t>
            </w:r>
          </w:p>
        </w:tc>
        <w:tc>
          <w:tcPr/>
          <w:p>
            <w:pPr>
              <w:pStyle w:val="Compact"/>
              <w:jc w:val="left"/>
            </w:pPr>
            <w:r>
              <w:t xml:space="preserve">36.13%</w:t>
            </w:r>
          </w:p>
        </w:tc>
        <w:tc>
          <w:tcPr/>
          <w:p>
            <w:pPr>
              <w:pStyle w:val="Compact"/>
              <w:jc w:val="left"/>
            </w:pPr>
            <w:r>
              <w:t xml:space="preserve">mixed, hypothesis-generating</w:t>
            </w:r>
          </w:p>
        </w:tc>
      </w:tr>
      <w:tr>
        <w:tc>
          <w:tcPr/>
          <w:p>
            <w:pPr>
              <w:pStyle w:val="Compact"/>
              <w:jc w:val="right"/>
            </w:pPr>
            <w:r>
              <w:t xml:space="preserve">6</w:t>
            </w:r>
          </w:p>
        </w:tc>
        <w:tc>
          <w:tcPr/>
          <w:p>
            <w:pPr>
              <w:pStyle w:val="Compact"/>
              <w:jc w:val="right"/>
            </w:pPr>
            <w:r>
              <w:t xml:space="preserve">0.440</w:t>
            </w:r>
          </w:p>
        </w:tc>
        <w:tc>
          <w:tcPr/>
          <w:p>
            <w:pPr>
              <w:pStyle w:val="Compact"/>
              <w:jc w:val="right"/>
            </w:pPr>
            <w:r>
              <w:t xml:space="preserve">46294</w:t>
            </w:r>
          </w:p>
        </w:tc>
        <w:tc>
          <w:tcPr/>
          <w:p>
            <w:pPr>
              <w:pStyle w:val="Compact"/>
              <w:jc w:val="right"/>
            </w:pPr>
            <w:r>
              <w:t xml:space="preserve">33706</w:t>
            </w:r>
          </w:p>
        </w:tc>
        <w:tc>
          <w:tcPr/>
          <w:p>
            <w:pPr>
              <w:pStyle w:val="Compact"/>
              <w:jc w:val="left"/>
            </w:pPr>
            <w:r>
              <w:t xml:space="preserve">43.78%</w:t>
            </w:r>
          </w:p>
        </w:tc>
        <w:tc>
          <w:tcPr/>
          <w:p>
            <w:pPr>
              <w:pStyle w:val="Compact"/>
              <w:jc w:val="left"/>
            </w:pPr>
            <w:r>
              <w:t xml:space="preserve">50.19%</w:t>
            </w:r>
          </w:p>
        </w:tc>
        <w:tc>
          <w:tcPr/>
          <w:p>
            <w:pPr>
              <w:pStyle w:val="Compact"/>
              <w:jc w:val="left"/>
            </w:pPr>
            <w:r>
              <w:t xml:space="preserve">50.19%</w:t>
            </w:r>
          </w:p>
        </w:tc>
        <w:tc>
          <w:tcPr/>
          <w:p>
            <w:pPr>
              <w:pStyle w:val="Compact"/>
              <w:jc w:val="left"/>
            </w:pPr>
            <w:r>
              <w:t xml:space="preserve">competitive, no verdict</w:t>
            </w:r>
          </w:p>
        </w:tc>
      </w:tr>
      <w:tr>
        <w:tc>
          <w:tcPr/>
          <w:p>
            <w:pPr>
              <w:pStyle w:val="Compact"/>
              <w:jc w:val="right"/>
            </w:pPr>
            <w:r>
              <w:t xml:space="preserve">7</w:t>
            </w:r>
          </w:p>
        </w:tc>
        <w:tc>
          <w:tcPr/>
          <w:p>
            <w:pPr>
              <w:pStyle w:val="Compact"/>
              <w:jc w:val="right"/>
            </w:pPr>
            <w:r>
              <w:t xml:space="preserve">0.488</w:t>
            </w:r>
          </w:p>
        </w:tc>
        <w:tc>
          <w:tcPr/>
          <w:p>
            <w:pPr>
              <w:pStyle w:val="Compact"/>
              <w:jc w:val="right"/>
            </w:pPr>
            <w:r>
              <w:t xml:space="preserve">46124</w:t>
            </w:r>
          </w:p>
        </w:tc>
        <w:tc>
          <w:tcPr/>
          <w:p>
            <w:pPr>
              <w:pStyle w:val="Compact"/>
              <w:jc w:val="right"/>
            </w:pPr>
            <w:r>
              <w:t xml:space="preserve">33876</w:t>
            </w:r>
          </w:p>
        </w:tc>
        <w:tc>
          <w:tcPr/>
          <w:p>
            <w:pPr>
              <w:pStyle w:val="Compact"/>
              <w:jc w:val="left"/>
            </w:pPr>
            <w:r>
              <w:t xml:space="preserve">62.97%</w:t>
            </w:r>
          </w:p>
        </w:tc>
        <w:tc>
          <w:tcPr/>
          <w:p>
            <w:pPr>
              <w:pStyle w:val="Compact"/>
              <w:jc w:val="left"/>
            </w:pPr>
            <w:r>
              <w:t xml:space="preserve">64.82%</w:t>
            </w:r>
          </w:p>
        </w:tc>
        <w:tc>
          <w:tcPr/>
          <w:p>
            <w:pPr>
              <w:pStyle w:val="Compact"/>
              <w:jc w:val="left"/>
            </w:pPr>
            <w:r>
              <w:t xml:space="preserve">64.82%</w:t>
            </w:r>
          </w:p>
        </w:tc>
        <w:tc>
          <w:tcPr/>
          <w:p>
            <w:pPr>
              <w:pStyle w:val="Compact"/>
              <w:jc w:val="left"/>
            </w:pPr>
            <w:r>
              <w:t xml:space="preserve">competitive, no verdict</w:t>
            </w:r>
          </w:p>
        </w:tc>
      </w:tr>
      <w:tr>
        <w:tc>
          <w:tcPr/>
          <w:p>
            <w:pPr>
              <w:pStyle w:val="Compact"/>
              <w:jc w:val="right"/>
            </w:pPr>
            <w:r>
              <w:t xml:space="preserve">8</w:t>
            </w:r>
          </w:p>
        </w:tc>
        <w:tc>
          <w:tcPr/>
          <w:p>
            <w:pPr>
              <w:pStyle w:val="Compact"/>
              <w:jc w:val="right"/>
            </w:pPr>
            <w:r>
              <w:t xml:space="preserve">0.539</w:t>
            </w:r>
          </w:p>
        </w:tc>
        <w:tc>
          <w:tcPr/>
          <w:p>
            <w:pPr>
              <w:pStyle w:val="Compact"/>
              <w:jc w:val="right"/>
            </w:pPr>
            <w:r>
              <w:t xml:space="preserve">43674</w:t>
            </w:r>
          </w:p>
        </w:tc>
        <w:tc>
          <w:tcPr/>
          <w:p>
            <w:pPr>
              <w:pStyle w:val="Compact"/>
              <w:jc w:val="right"/>
            </w:pPr>
            <w:r>
              <w:t xml:space="preserve">36326</w:t>
            </w:r>
          </w:p>
        </w:tc>
        <w:tc>
          <w:tcPr/>
          <w:p>
            <w:pPr>
              <w:pStyle w:val="Compact"/>
              <w:jc w:val="left"/>
            </w:pPr>
            <w:r>
              <w:t xml:space="preserve">81.21%</w:t>
            </w:r>
          </w:p>
        </w:tc>
        <w:tc>
          <w:tcPr/>
          <w:p>
            <w:pPr>
              <w:pStyle w:val="Compact"/>
              <w:jc w:val="left"/>
            </w:pPr>
            <w:r>
              <w:t xml:space="preserve">76.80%</w:t>
            </w:r>
          </w:p>
        </w:tc>
        <w:tc>
          <w:tcPr/>
          <w:p>
            <w:pPr>
              <w:pStyle w:val="Compact"/>
              <w:jc w:val="left"/>
            </w:pPr>
            <w:r>
              <w:t xml:space="preserve">81.21%</w:t>
            </w:r>
          </w:p>
        </w:tc>
        <w:tc>
          <w:tcPr/>
          <w:p>
            <w:pPr>
              <w:pStyle w:val="Compact"/>
              <w:jc w:val="left"/>
            </w:pPr>
            <w:r>
              <w:t xml:space="preserve">not usable as effect evidence</w:t>
            </w:r>
          </w:p>
        </w:tc>
      </w:tr>
      <w:tr>
        <w:tc>
          <w:tcPr/>
          <w:p>
            <w:pPr>
              <w:pStyle w:val="Compact"/>
              <w:jc w:val="right"/>
            </w:pPr>
            <w:r>
              <w:t xml:space="preserve">9</w:t>
            </w:r>
          </w:p>
        </w:tc>
        <w:tc>
          <w:tcPr/>
          <w:p>
            <w:pPr>
              <w:pStyle w:val="Compact"/>
              <w:jc w:val="right"/>
            </w:pPr>
            <w:r>
              <w:t xml:space="preserve">0.599</w:t>
            </w:r>
          </w:p>
        </w:tc>
        <w:tc>
          <w:tcPr/>
          <w:p>
            <w:pPr>
              <w:pStyle w:val="Compact"/>
              <w:jc w:val="right"/>
            </w:pPr>
            <w:r>
              <w:t xml:space="preserve">39441</w:t>
            </w:r>
          </w:p>
        </w:tc>
        <w:tc>
          <w:tcPr/>
          <w:p>
            <w:pPr>
              <w:pStyle w:val="Compact"/>
              <w:jc w:val="right"/>
            </w:pPr>
            <w:r>
              <w:t xml:space="preserve">40559</w:t>
            </w:r>
          </w:p>
        </w:tc>
        <w:tc>
          <w:tcPr/>
          <w:p>
            <w:pPr>
              <w:pStyle w:val="Compact"/>
              <w:jc w:val="left"/>
            </w:pPr>
            <w:r>
              <w:t xml:space="preserve">92.83%</w:t>
            </w:r>
          </w:p>
        </w:tc>
        <w:tc>
          <w:tcPr/>
          <w:p>
            <w:pPr>
              <w:pStyle w:val="Compact"/>
              <w:jc w:val="left"/>
            </w:pPr>
            <w:r>
              <w:t xml:space="preserve">85.60%</w:t>
            </w:r>
          </w:p>
        </w:tc>
        <w:tc>
          <w:tcPr/>
          <w:p>
            <w:pPr>
              <w:pStyle w:val="Compact"/>
              <w:jc w:val="left"/>
            </w:pPr>
            <w:r>
              <w:t xml:space="preserve">92.83%</w:t>
            </w:r>
          </w:p>
        </w:tc>
        <w:tc>
          <w:tcPr/>
          <w:p>
            <w:pPr>
              <w:pStyle w:val="Compact"/>
              <w:jc w:val="left"/>
            </w:pPr>
            <w:r>
              <w:t xml:space="preserve">not usable as effect evidence</w:t>
            </w:r>
          </w:p>
        </w:tc>
      </w:tr>
      <w:tr>
        <w:tc>
          <w:tcPr/>
          <w:p>
            <w:pPr>
              <w:pStyle w:val="Compact"/>
              <w:jc w:val="right"/>
            </w:pPr>
            <w:r>
              <w:t xml:space="preserve">10</w:t>
            </w:r>
          </w:p>
        </w:tc>
        <w:tc>
          <w:tcPr/>
          <w:p>
            <w:pPr>
              <w:pStyle w:val="Compact"/>
              <w:jc w:val="right"/>
            </w:pPr>
            <w:r>
              <w:t xml:space="preserve">0.673</w:t>
            </w:r>
          </w:p>
        </w:tc>
        <w:tc>
          <w:tcPr/>
          <w:p>
            <w:pPr>
              <w:pStyle w:val="Compact"/>
              <w:jc w:val="right"/>
            </w:pPr>
            <w:r>
              <w:t xml:space="preserve">35022</w:t>
            </w:r>
          </w:p>
        </w:tc>
        <w:tc>
          <w:tcPr/>
          <w:p>
            <w:pPr>
              <w:pStyle w:val="Compact"/>
              <w:jc w:val="right"/>
            </w:pPr>
            <w:r>
              <w:t xml:space="preserve">44978</w:t>
            </w:r>
          </w:p>
        </w:tc>
        <w:tc>
          <w:tcPr/>
          <w:p>
            <w:pPr>
              <w:pStyle w:val="Compact"/>
              <w:jc w:val="left"/>
            </w:pPr>
            <w:r>
              <w:t xml:space="preserve">97.61%</w:t>
            </w:r>
          </w:p>
        </w:tc>
        <w:tc>
          <w:tcPr/>
          <w:p>
            <w:pPr>
              <w:pStyle w:val="Compact"/>
              <w:jc w:val="left"/>
            </w:pPr>
            <w:r>
              <w:t xml:space="preserve">90.22%</w:t>
            </w:r>
          </w:p>
        </w:tc>
        <w:tc>
          <w:tcPr/>
          <w:p>
            <w:pPr>
              <w:pStyle w:val="Compact"/>
              <w:jc w:val="left"/>
            </w:pPr>
            <w:r>
              <w:t xml:space="preserve">97.61%</w:t>
            </w:r>
          </w:p>
        </w:tc>
        <w:tc>
          <w:tcPr/>
          <w:p>
            <w:pPr>
              <w:pStyle w:val="Compact"/>
              <w:jc w:val="left"/>
            </w:pPr>
            <w:r>
              <w:t xml:space="preserve">not usable as effect evidence</w:t>
            </w:r>
          </w:p>
        </w:tc>
      </w:tr>
      <w:tr>
        <w:tc>
          <w:tcPr/>
          <w:p>
            <w:pPr>
              <w:pStyle w:val="Compact"/>
              <w:jc w:val="right"/>
            </w:pPr>
            <w:r>
              <w:t xml:space="preserve">11</w:t>
            </w:r>
          </w:p>
        </w:tc>
        <w:tc>
          <w:tcPr/>
          <w:p>
            <w:pPr>
              <w:pStyle w:val="Compact"/>
              <w:jc w:val="right"/>
            </w:pPr>
            <w:r>
              <w:t xml:space="preserve">0.767</w:t>
            </w:r>
          </w:p>
        </w:tc>
        <w:tc>
          <w:tcPr/>
          <w:p>
            <w:pPr>
              <w:pStyle w:val="Compact"/>
              <w:jc w:val="right"/>
            </w:pPr>
            <w:r>
              <w:t xml:space="preserve">29231</w:t>
            </w:r>
          </w:p>
        </w:tc>
        <w:tc>
          <w:tcPr/>
          <w:p>
            <w:pPr>
              <w:pStyle w:val="Compact"/>
              <w:jc w:val="right"/>
            </w:pPr>
            <w:r>
              <w:t xml:space="preserve">50769</w:t>
            </w:r>
          </w:p>
        </w:tc>
        <w:tc>
          <w:tcPr/>
          <w:p>
            <w:pPr>
              <w:pStyle w:val="Compact"/>
              <w:jc w:val="left"/>
            </w:pPr>
            <w:r>
              <w:t xml:space="preserve">99.36%</w:t>
            </w:r>
          </w:p>
        </w:tc>
        <w:tc>
          <w:tcPr/>
          <w:p>
            <w:pPr>
              <w:pStyle w:val="Compact"/>
              <w:jc w:val="left"/>
            </w:pPr>
            <w:r>
              <w:t xml:space="preserve">93.02%</w:t>
            </w:r>
          </w:p>
        </w:tc>
        <w:tc>
          <w:tcPr/>
          <w:p>
            <w:pPr>
              <w:pStyle w:val="Compact"/>
              <w:jc w:val="left"/>
            </w:pPr>
            <w:r>
              <w:t xml:space="preserve">99.36%</w:t>
            </w:r>
          </w:p>
        </w:tc>
        <w:tc>
          <w:tcPr/>
          <w:p>
            <w:pPr>
              <w:pStyle w:val="Compact"/>
              <w:jc w:val="left"/>
            </w:pPr>
            <w:r>
              <w:t xml:space="preserve">not usable as effect evidence</w:t>
            </w:r>
          </w:p>
        </w:tc>
      </w:tr>
      <w:tr>
        <w:tc>
          <w:tcPr/>
          <w:p>
            <w:pPr>
              <w:pStyle w:val="Compact"/>
              <w:jc w:val="right"/>
            </w:pPr>
            <w:r>
              <w:t xml:space="preserve">12</w:t>
            </w:r>
          </w:p>
        </w:tc>
        <w:tc>
          <w:tcPr/>
          <w:p>
            <w:pPr>
              <w:pStyle w:val="Compact"/>
              <w:jc w:val="right"/>
            </w:pPr>
            <w:r>
              <w:t xml:space="preserve">0.886</w:t>
            </w:r>
          </w:p>
        </w:tc>
        <w:tc>
          <w:tcPr/>
          <w:p>
            <w:pPr>
              <w:pStyle w:val="Compact"/>
              <w:jc w:val="right"/>
            </w:pPr>
            <w:r>
              <w:t xml:space="preserve">44138</w:t>
            </w:r>
          </w:p>
        </w:tc>
        <w:tc>
          <w:tcPr/>
          <w:p>
            <w:pPr>
              <w:pStyle w:val="Compact"/>
              <w:jc w:val="right"/>
            </w:pPr>
            <w:r>
              <w:t xml:space="preserve">35862</w:t>
            </w:r>
          </w:p>
        </w:tc>
        <w:tc>
          <w:tcPr/>
          <w:p>
            <w:pPr>
              <w:pStyle w:val="Compact"/>
              <w:jc w:val="left"/>
            </w:pPr>
            <w:r>
              <w:t xml:space="preserve">99.69%</w:t>
            </w:r>
          </w:p>
        </w:tc>
        <w:tc>
          <w:tcPr/>
          <w:p>
            <w:pPr>
              <w:pStyle w:val="Compact"/>
              <w:jc w:val="left"/>
            </w:pPr>
            <w:r>
              <w:t xml:space="preserve">97.18%</w:t>
            </w:r>
          </w:p>
        </w:tc>
        <w:tc>
          <w:tcPr/>
          <w:p>
            <w:pPr>
              <w:pStyle w:val="Compact"/>
              <w:jc w:val="left"/>
            </w:pPr>
            <w:r>
              <w:t xml:space="preserve">99.69%</w:t>
            </w:r>
          </w:p>
        </w:tc>
        <w:tc>
          <w:tcPr/>
          <w:p>
            <w:pPr>
              <w:pStyle w:val="Compact"/>
              <w:jc w:val="left"/>
            </w:pPr>
            <w:r>
              <w:t xml:space="preserve">not usable as effect evidence</w:t>
            </w:r>
          </w:p>
        </w:tc>
      </w:tr>
    </w:tbl>
    <w:bookmarkEnd w:id="16"/>
    <w:bookmarkStart w:id="17" w:name="s3.2-three-readings-of-the-lookup"/>
    <w:p>
      <w:pPr>
        <w:pStyle w:val="Heading3"/>
      </w:pPr>
      <w:r>
        <w:t xml:space="preserve">S3.2 Three readings of the lookup</w:t>
      </w:r>
    </w:p>
    <w:p>
      <w:pPr>
        <w:pStyle w:val="FirstParagraph"/>
      </w:pPr>
      <w:r>
        <w:t xml:space="preserve">The lookup supports a pooled reading (CI width ignored), a width-specific reading, and the conservative max(narrow, wide) reading used in the manuscript.</w:t>
      </w:r>
    </w:p>
    <w:p>
      <w:pPr>
        <w:pStyle w:val="TableCaption"/>
      </w:pPr>
      <w:r>
        <w:t xml:space="preserve">Table S3. Comparison of three readings of the lookup table. Sens ED, share of truly effect-dominated repetitions declared usable; Sens BD, share of truly bias-dominated repetitions withheld.</w:t>
      </w:r>
    </w:p>
    <w:tbl>
      <w:tblPr>
        <w:tblStyle w:val="Table"/>
        <w:tblW w:type="pct" w:w="5000"/>
        <w:tblLayout w:type="fixed"/>
        <w:tblLook w:firstRow="1" w:lastRow="0" w:firstColumn="0" w:lastColumn="0" w:noHBand="0" w:noVBand="0" w:val="0020"/>
        <w:tblCaption w:val="Table S3. Comparison of three readings of the lookup table. Sens ED, share of truly effect-dominated repetitions declared usable; Sens BD, share of truly bias-dominated repetitions withheld."/>
      </w:tblPr>
      <w:tblGrid>
        <w:gridCol w:w="3102"/>
        <w:gridCol w:w="1306"/>
        <w:gridCol w:w="1551"/>
        <w:gridCol w:w="979"/>
        <w:gridCol w:w="979"/>
      </w:tblGrid>
      <w:tr>
        <w:trPr>
          <w:tblHeader w:val="on"/>
        </w:trPr>
        <w:tc>
          <w:tcPr/>
          <w:p>
            <w:pPr>
              <w:pStyle w:val="Compact"/>
              <w:jc w:val="left"/>
            </w:pPr>
            <w:r>
              <w:t xml:space="preserve">Reading</w:t>
            </w:r>
          </w:p>
        </w:tc>
        <w:tc>
          <w:tcPr/>
          <w:p>
            <w:pPr>
              <w:pStyle w:val="Compact"/>
              <w:jc w:val="left"/>
            </w:pPr>
            <w:r>
              <w:t xml:space="preserve">Misuse.rate….</w:t>
            </w:r>
          </w:p>
        </w:tc>
        <w:tc>
          <w:tcPr/>
          <w:p>
            <w:pPr>
              <w:pStyle w:val="Compact"/>
              <w:jc w:val="left"/>
            </w:pPr>
            <w:r>
              <w:t xml:space="preserve">Declare.usable….</w:t>
            </w:r>
          </w:p>
        </w:tc>
        <w:tc>
          <w:tcPr/>
          <w:p>
            <w:pPr>
              <w:pStyle w:val="Compact"/>
              <w:jc w:val="left"/>
            </w:pPr>
            <w:r>
              <w:t xml:space="preserve">Sens.ED….</w:t>
            </w:r>
          </w:p>
        </w:tc>
        <w:tc>
          <w:tcPr/>
          <w:p>
            <w:pPr>
              <w:pStyle w:val="Compact"/>
              <w:jc w:val="left"/>
            </w:pPr>
            <w:r>
              <w:t xml:space="preserve">Sens.BD….</w:t>
            </w:r>
          </w:p>
        </w:tc>
      </w:tr>
      <w:tr>
        <w:tc>
          <w:tcPr/>
          <w:p>
            <w:pPr>
              <w:pStyle w:val="Compact"/>
              <w:jc w:val="left"/>
            </w:pPr>
            <w:r>
              <w:t xml:space="preserve">pooled probability (CI width ignored)</w:t>
            </w:r>
          </w:p>
        </w:tc>
        <w:tc>
          <w:tcPr/>
          <w:p>
            <w:pPr>
              <w:pStyle w:val="Compact"/>
              <w:jc w:val="left"/>
            </w:pPr>
            <w:r>
              <w:t xml:space="preserve">2.90</w:t>
            </w:r>
          </w:p>
        </w:tc>
        <w:tc>
          <w:tcPr/>
          <w:p>
            <w:pPr>
              <w:pStyle w:val="Compact"/>
              <w:jc w:val="left"/>
            </w:pPr>
            <w:r>
              <w:t xml:space="preserve">21.5</w:t>
            </w:r>
          </w:p>
        </w:tc>
        <w:tc>
          <w:tcPr/>
          <w:p>
            <w:pPr>
              <w:pStyle w:val="Compact"/>
              <w:jc w:val="left"/>
            </w:pPr>
            <w:r>
              <w:t xml:space="preserve">81.2</w:t>
            </w:r>
          </w:p>
        </w:tc>
        <w:tc>
          <w:tcPr/>
          <w:p>
            <w:pPr>
              <w:pStyle w:val="Compact"/>
              <w:jc w:val="left"/>
            </w:pPr>
            <w:r>
              <w:t xml:space="preserve">98.8</w:t>
            </w:r>
          </w:p>
        </w:tc>
      </w:tr>
      <w:tr>
        <w:tc>
          <w:tcPr/>
          <w:p>
            <w:pPr>
              <w:pStyle w:val="Compact"/>
              <w:jc w:val="left"/>
            </w:pPr>
            <w:r>
              <w:t xml:space="preserve">width-specific probability</w:t>
            </w:r>
          </w:p>
        </w:tc>
        <w:tc>
          <w:tcPr/>
          <w:p>
            <w:pPr>
              <w:pStyle w:val="Compact"/>
              <w:jc w:val="left"/>
            </w:pPr>
            <w:r>
              <w:t xml:space="preserve">4.09</w:t>
            </w:r>
          </w:p>
        </w:tc>
        <w:tc>
          <w:tcPr/>
          <w:p>
            <w:pPr>
              <w:pStyle w:val="Compact"/>
              <w:jc w:val="left"/>
            </w:pPr>
            <w:r>
              <w:t xml:space="preserve">25.5</w:t>
            </w:r>
          </w:p>
        </w:tc>
        <w:tc>
          <w:tcPr/>
          <w:p>
            <w:pPr>
              <w:pStyle w:val="Compact"/>
              <w:jc w:val="left"/>
            </w:pPr>
            <w:r>
              <w:t xml:space="preserve">83.7</w:t>
            </w:r>
          </w:p>
        </w:tc>
        <w:tc>
          <w:tcPr/>
          <w:p>
            <w:pPr>
              <w:pStyle w:val="Compact"/>
              <w:jc w:val="left"/>
            </w:pPr>
            <w:r>
              <w:t xml:space="preserve">98.0</w:t>
            </w:r>
          </w:p>
        </w:tc>
      </w:tr>
      <w:tr>
        <w:tc>
          <w:tcPr/>
          <w:p>
            <w:pPr>
              <w:pStyle w:val="Compact"/>
              <w:jc w:val="left"/>
            </w:pPr>
            <w:r>
              <w:t xml:space="preserve">conservative max(narrow, wide)</w:t>
            </w:r>
          </w:p>
        </w:tc>
        <w:tc>
          <w:tcPr/>
          <w:p>
            <w:pPr>
              <w:pStyle w:val="Compact"/>
              <w:jc w:val="left"/>
            </w:pPr>
            <w:r>
              <w:t xml:space="preserve">2.90</w:t>
            </w:r>
          </w:p>
        </w:tc>
        <w:tc>
          <w:tcPr/>
          <w:p>
            <w:pPr>
              <w:pStyle w:val="Compact"/>
              <w:jc w:val="left"/>
            </w:pPr>
            <w:r>
              <w:t xml:space="preserve">21.5</w:t>
            </w:r>
          </w:p>
        </w:tc>
        <w:tc>
          <w:tcPr/>
          <w:p>
            <w:pPr>
              <w:pStyle w:val="Compact"/>
              <w:jc w:val="left"/>
            </w:pPr>
            <w:r>
              <w:t xml:space="preserve">81.2</w:t>
            </w:r>
          </w:p>
        </w:tc>
        <w:tc>
          <w:tcPr/>
          <w:p>
            <w:pPr>
              <w:pStyle w:val="Compact"/>
              <w:jc w:val="left"/>
            </w:pPr>
            <w:r>
              <w:t xml:space="preserve">98.8</w:t>
            </w:r>
          </w:p>
        </w:tc>
      </w:tr>
    </w:tbl>
    <w:p>
      <w:pPr>
        <w:pStyle w:val="BodyText"/>
      </w:pPr>
      <w:r>
        <w:t xml:space="preserve">The conservative reading changed 8.94% of verdicts relative to the pooled reading and 0.00% relative to the width-specific reading; the maximum absolute within-bin probability gap was 0.128, and adding CI half-width moved the AUC by only 0.00007.</w:t>
      </w:r>
    </w:p>
    <w:bookmarkEnd w:id="17"/>
    <w:bookmarkStart w:id="18" w:name="s3.3-nested-strategy-comparison"/>
    <w:p>
      <w:pPr>
        <w:pStyle w:val="Heading3"/>
      </w:pPr>
      <w:r>
        <w:t xml:space="preserve">S3.3 Nested strategy comparison</w:t>
      </w:r>
    </w:p>
    <w:p>
      <w:pPr>
        <w:pStyle w:val="FirstParagraph"/>
      </w:pPr>
      <w:r>
        <w:t xml:space="preserve">Strategies R0 through R4 add one component at a time; C1 and C2 are stand-alone comparators that do not use the calibrated P-value. Every rule is scored twice, once from each viewpoint of Table 4 in the main text, so Table S4 reports eight operating characteristics per rule. The two readings are not mirror images because truth has three levels and the mixed zone is negative in both.</w:t>
      </w:r>
    </w:p>
    <w:p>
      <w:pPr>
        <w:pStyle w:val="TableCaption"/>
      </w:pPr>
      <w:r>
        <w:t xml:space="preserve">Table S4. Nested strategy comparison, read from two viewpoints. In the effect-dominated view (ED) a positive call is to declare a repetition usable and a positive truth is to be truly effect-dominated; in the bias-dominated view (BD) a positive call is to withhold and a positive truth is to be truly bias-dominated. Sens, share of truly positive repetitions the rule called positive; Spec, share of truly negative repetitions the rule called negative; PPV, share of repetitions the rule called positive that were truly positive; NPV, share the rule called negative that were truly negative. The misuse rate reported in Table 4 of the main text is 100 minus NPV in the BD view. Truth has three levels (effect-dominated 18.8%, mixed 28.7%, bias-dominated 52.5%), and the mixed zone is negative in both views, so the views are not mirror images and no pair of columns sums to 100.</w:t>
      </w:r>
    </w:p>
    <w:tbl>
      <w:tblPr>
        <w:tblStyle w:val="Table"/>
        <w:tblW w:type="pct" w:w="5000"/>
        <w:tblLayout w:type="fixed"/>
        <w:tblLook w:firstRow="1" w:lastRow="0" w:firstColumn="0" w:lastColumn="0" w:noHBand="0" w:noVBand="0" w:val="0020"/>
        <w:tblCaption w:val="Table S4. Nested strategy comparison, read from two viewpoints. In the effect-dominated view (ED) a positive call is to declare a repetition usable and a positive truth is to be truly effect-dominated; in the bias-dominated view (BD) a positive call is to withhold and a positive truth is to be truly bias-dominated. Sens, share of truly positive repetitions the rule called positive; Spec, share of truly negative repetitions the rule called negative; PPV, share of repetitions the rule called positive that were truly positive; NPV, share the rule called negative that were truly negative. The misuse rate reported in Table 4 of the main text is 100 minus NPV in the BD view. Truth has three levels (effect-dominated 18.8%, mixed 28.7%, bias-dominated 52.5%), and the mixed zone is negative in both views, so the views are not mirror images and no pair of columns sums to 100."/>
      </w:tblPr>
      <w:tblGrid>
        <w:gridCol w:w="3453"/>
        <w:gridCol w:w="713"/>
        <w:gridCol w:w="487"/>
        <w:gridCol w:w="487"/>
        <w:gridCol w:w="450"/>
        <w:gridCol w:w="450"/>
        <w:gridCol w:w="487"/>
        <w:gridCol w:w="487"/>
        <w:gridCol w:w="450"/>
        <w:gridCol w:w="450"/>
      </w:tblGrid>
      <w:tr>
        <w:trPr>
          <w:tblHeader w:val="on"/>
        </w:trPr>
        <w:tc>
          <w:tcPr/>
          <w:p>
            <w:pPr>
              <w:pStyle w:val="Compact"/>
              <w:jc w:val="left"/>
            </w:pPr>
            <w:r>
              <w:t xml:space="preserve">Strategy</w:t>
            </w:r>
          </w:p>
        </w:tc>
        <w:tc>
          <w:tcPr/>
          <w:p>
            <w:pPr>
              <w:pStyle w:val="Compact"/>
              <w:jc w:val="right"/>
            </w:pPr>
            <w:r>
              <w:t xml:space="preserve">Declare usable (%)</w:t>
            </w:r>
          </w:p>
        </w:tc>
        <w:tc>
          <w:tcPr/>
          <w:p>
            <w:pPr>
              <w:pStyle w:val="Compact"/>
              <w:jc w:val="right"/>
            </w:pPr>
            <w:r>
              <w:t xml:space="preserve">Sens, ED (%)</w:t>
            </w:r>
          </w:p>
        </w:tc>
        <w:tc>
          <w:tcPr/>
          <w:p>
            <w:pPr>
              <w:pStyle w:val="Compact"/>
              <w:jc w:val="right"/>
            </w:pPr>
            <w:r>
              <w:t xml:space="preserve">Spec, ED (%)</w:t>
            </w:r>
          </w:p>
        </w:tc>
        <w:tc>
          <w:tcPr/>
          <w:p>
            <w:pPr>
              <w:pStyle w:val="Compact"/>
              <w:jc w:val="right"/>
            </w:pPr>
            <w:r>
              <w:t xml:space="preserve">PPV, ED (%)</w:t>
            </w:r>
          </w:p>
        </w:tc>
        <w:tc>
          <w:tcPr/>
          <w:p>
            <w:pPr>
              <w:pStyle w:val="Compact"/>
              <w:jc w:val="right"/>
            </w:pPr>
            <w:r>
              <w:t xml:space="preserve">NPV, ED (%)</w:t>
            </w:r>
          </w:p>
        </w:tc>
        <w:tc>
          <w:tcPr/>
          <w:p>
            <w:pPr>
              <w:pStyle w:val="Compact"/>
              <w:jc w:val="right"/>
            </w:pPr>
            <w:r>
              <w:t xml:space="preserve">Sens, BD (%)</w:t>
            </w:r>
          </w:p>
        </w:tc>
        <w:tc>
          <w:tcPr/>
          <w:p>
            <w:pPr>
              <w:pStyle w:val="Compact"/>
              <w:jc w:val="right"/>
            </w:pPr>
            <w:r>
              <w:t xml:space="preserve">Spec, BD (%)</w:t>
            </w:r>
          </w:p>
        </w:tc>
        <w:tc>
          <w:tcPr/>
          <w:p>
            <w:pPr>
              <w:pStyle w:val="Compact"/>
              <w:jc w:val="right"/>
            </w:pPr>
            <w:r>
              <w:t xml:space="preserve">PPV, BD (%)</w:t>
            </w:r>
          </w:p>
        </w:tc>
        <w:tc>
          <w:tcPr/>
          <w:p>
            <w:pPr>
              <w:pStyle w:val="Compact"/>
              <w:jc w:val="right"/>
            </w:pPr>
            <w:r>
              <w:t xml:space="preserve">NPV, BD (%)</w:t>
            </w:r>
          </w:p>
        </w:tc>
      </w:tr>
      <w:tr>
        <w:tc>
          <w:tcPr/>
          <w:p>
            <w:pPr>
              <w:pStyle w:val="Compact"/>
              <w:jc w:val="left"/>
            </w:pPr>
            <w:r>
              <w:t xml:space="preserve">R0 uncalibrated P &lt; .05 (no bias correction)</w:t>
            </w:r>
          </w:p>
        </w:tc>
        <w:tc>
          <w:tcPr/>
          <w:p>
            <w:pPr>
              <w:pStyle w:val="Compact"/>
              <w:jc w:val="right"/>
            </w:pPr>
            <w:r>
              <w:t xml:space="preserve">91.7</w:t>
            </w:r>
          </w:p>
        </w:tc>
        <w:tc>
          <w:tcPr/>
          <w:p>
            <w:pPr>
              <w:pStyle w:val="Compact"/>
              <w:jc w:val="right"/>
            </w:pPr>
            <w:r>
              <w:t xml:space="preserve">94.6</w:t>
            </w:r>
          </w:p>
        </w:tc>
        <w:tc>
          <w:tcPr/>
          <w:p>
            <w:pPr>
              <w:pStyle w:val="Compact"/>
              <w:jc w:val="right"/>
            </w:pPr>
            <w:r>
              <w:t xml:space="preserve">9.0</w:t>
            </w:r>
          </w:p>
        </w:tc>
        <w:tc>
          <w:tcPr/>
          <w:p>
            <w:pPr>
              <w:pStyle w:val="Compact"/>
              <w:jc w:val="right"/>
            </w:pPr>
            <w:r>
              <w:t xml:space="preserve">19.4</w:t>
            </w:r>
          </w:p>
        </w:tc>
        <w:tc>
          <w:tcPr/>
          <w:p>
            <w:pPr>
              <w:pStyle w:val="Compact"/>
              <w:jc w:val="right"/>
            </w:pPr>
            <w:r>
              <w:t xml:space="preserve">87.9</w:t>
            </w:r>
          </w:p>
        </w:tc>
        <w:tc>
          <w:tcPr/>
          <w:p>
            <w:pPr>
              <w:pStyle w:val="Compact"/>
              <w:jc w:val="right"/>
            </w:pPr>
            <w:r>
              <w:t xml:space="preserve">9.5</w:t>
            </w:r>
          </w:p>
        </w:tc>
        <w:tc>
          <w:tcPr/>
          <w:p>
            <w:pPr>
              <w:pStyle w:val="Compact"/>
              <w:jc w:val="right"/>
            </w:pPr>
            <w:r>
              <w:t xml:space="preserve">93.0</w:t>
            </w:r>
          </w:p>
        </w:tc>
        <w:tc>
          <w:tcPr/>
          <w:p>
            <w:pPr>
              <w:pStyle w:val="Compact"/>
              <w:jc w:val="right"/>
            </w:pPr>
            <w:r>
              <w:t xml:space="preserve">59.9</w:t>
            </w:r>
          </w:p>
        </w:tc>
        <w:tc>
          <w:tcPr/>
          <w:p>
            <w:pPr>
              <w:pStyle w:val="Compact"/>
              <w:jc w:val="right"/>
            </w:pPr>
            <w:r>
              <w:t xml:space="preserve">48.2</w:t>
            </w:r>
          </w:p>
        </w:tc>
      </w:tr>
      <w:tr>
        <w:tc>
          <w:tcPr/>
          <w:p>
            <w:pPr>
              <w:pStyle w:val="Compact"/>
              <w:jc w:val="left"/>
            </w:pPr>
            <w:r>
              <w:t xml:space="preserve">R1 calibrated P &lt; .05 (layer 1 only)</w:t>
            </w:r>
          </w:p>
        </w:tc>
        <w:tc>
          <w:tcPr/>
          <w:p>
            <w:pPr>
              <w:pStyle w:val="Compact"/>
              <w:jc w:val="right"/>
            </w:pPr>
            <w:r>
              <w:t xml:space="preserve">61.9</w:t>
            </w:r>
          </w:p>
        </w:tc>
        <w:tc>
          <w:tcPr/>
          <w:p>
            <w:pPr>
              <w:pStyle w:val="Compact"/>
              <w:jc w:val="right"/>
            </w:pPr>
            <w:r>
              <w:t xml:space="preserve">88.1</w:t>
            </w:r>
          </w:p>
        </w:tc>
        <w:tc>
          <w:tcPr/>
          <w:p>
            <w:pPr>
              <w:pStyle w:val="Compact"/>
              <w:jc w:val="right"/>
            </w:pPr>
            <w:r>
              <w:t xml:space="preserve">44.2</w:t>
            </w:r>
          </w:p>
        </w:tc>
        <w:tc>
          <w:tcPr/>
          <w:p>
            <w:pPr>
              <w:pStyle w:val="Compact"/>
              <w:jc w:val="right"/>
            </w:pPr>
            <w:r>
              <w:t xml:space="preserve">26.7</w:t>
            </w:r>
          </w:p>
        </w:tc>
        <w:tc>
          <w:tcPr/>
          <w:p>
            <w:pPr>
              <w:pStyle w:val="Compact"/>
              <w:jc w:val="right"/>
            </w:pPr>
            <w:r>
              <w:t xml:space="preserve">94.2</w:t>
            </w:r>
          </w:p>
        </w:tc>
        <w:tc>
          <w:tcPr/>
          <w:p>
            <w:pPr>
              <w:pStyle w:val="Compact"/>
              <w:jc w:val="right"/>
            </w:pPr>
            <w:r>
              <w:t xml:space="preserve">57.5</w:t>
            </w:r>
          </w:p>
        </w:tc>
        <w:tc>
          <w:tcPr/>
          <w:p>
            <w:pPr>
              <w:pStyle w:val="Compact"/>
              <w:jc w:val="right"/>
            </w:pPr>
            <w:r>
              <w:t xml:space="preserve">83.3</w:t>
            </w:r>
          </w:p>
        </w:tc>
        <w:tc>
          <w:tcPr/>
          <w:p>
            <w:pPr>
              <w:pStyle w:val="Compact"/>
              <w:jc w:val="right"/>
            </w:pPr>
            <w:r>
              <w:t xml:space="preserve">79.2</w:t>
            </w:r>
          </w:p>
        </w:tc>
        <w:tc>
          <w:tcPr/>
          <w:p>
            <w:pPr>
              <w:pStyle w:val="Compact"/>
              <w:jc w:val="right"/>
            </w:pPr>
            <w:r>
              <w:t xml:space="preserve">64.0</w:t>
            </w:r>
          </w:p>
        </w:tc>
      </w:tr>
      <w:tr>
        <w:tc>
          <w:tcPr/>
          <w:p>
            <w:pPr>
              <w:pStyle w:val="Compact"/>
              <w:jc w:val="left"/>
            </w:pPr>
            <w:r>
              <w:t xml:space="preserve">R2 layer 1, plus BAF point estimate below 0.5, the bias-dominated threshold</w:t>
            </w:r>
          </w:p>
        </w:tc>
        <w:tc>
          <w:tcPr/>
          <w:p>
            <w:pPr>
              <w:pStyle w:val="Compact"/>
              <w:jc w:val="right"/>
            </w:pPr>
            <w:r>
              <w:t xml:space="preserve">47.2</w:t>
            </w:r>
          </w:p>
        </w:tc>
        <w:tc>
          <w:tcPr/>
          <w:p>
            <w:pPr>
              <w:pStyle w:val="Compact"/>
              <w:jc w:val="right"/>
            </w:pPr>
            <w:r>
              <w:t xml:space="preserve">88.1</w:t>
            </w:r>
          </w:p>
        </w:tc>
        <w:tc>
          <w:tcPr/>
          <w:p>
            <w:pPr>
              <w:pStyle w:val="Compact"/>
              <w:jc w:val="right"/>
            </w:pPr>
            <w:r>
              <w:t xml:space="preserve">62.2</w:t>
            </w:r>
          </w:p>
        </w:tc>
        <w:tc>
          <w:tcPr/>
          <w:p>
            <w:pPr>
              <w:pStyle w:val="Compact"/>
              <w:jc w:val="right"/>
            </w:pPr>
            <w:r>
              <w:t xml:space="preserve">35.0</w:t>
            </w:r>
          </w:p>
        </w:tc>
        <w:tc>
          <w:tcPr/>
          <w:p>
            <w:pPr>
              <w:pStyle w:val="Compact"/>
              <w:jc w:val="right"/>
            </w:pPr>
            <w:r>
              <w:t xml:space="preserve">95.8</w:t>
            </w:r>
          </w:p>
        </w:tc>
        <w:tc>
          <w:tcPr/>
          <w:p>
            <w:pPr>
              <w:pStyle w:val="Compact"/>
              <w:jc w:val="right"/>
            </w:pPr>
            <w:r>
              <w:t xml:space="preserve">81.8</w:t>
            </w:r>
          </w:p>
        </w:tc>
        <w:tc>
          <w:tcPr/>
          <w:p>
            <w:pPr>
              <w:pStyle w:val="Compact"/>
              <w:jc w:val="right"/>
            </w:pPr>
            <w:r>
              <w:t xml:space="preserve">79.3</w:t>
            </w:r>
          </w:p>
        </w:tc>
        <w:tc>
          <w:tcPr/>
          <w:p>
            <w:pPr>
              <w:pStyle w:val="Compact"/>
              <w:jc w:val="right"/>
            </w:pPr>
            <w:r>
              <w:t xml:space="preserve">81.4</w:t>
            </w:r>
          </w:p>
        </w:tc>
        <w:tc>
          <w:tcPr/>
          <w:p>
            <w:pPr>
              <w:pStyle w:val="Compact"/>
              <w:jc w:val="right"/>
            </w:pPr>
            <w:r>
              <w:t xml:space="preserve">79.8</w:t>
            </w:r>
          </w:p>
        </w:tc>
      </w:tr>
      <w:tr>
        <w:tc>
          <w:tcPr/>
          <w:p>
            <w:pPr>
              <w:pStyle w:val="Compact"/>
              <w:jc w:val="left"/>
            </w:pPr>
            <w:r>
              <w:t xml:space="preserve">R3 layer 1, plus the whole credible interval of BAF below 0.5, the bias-dominated threshold</w:t>
            </w:r>
          </w:p>
        </w:tc>
        <w:tc>
          <w:tcPr/>
          <w:p>
            <w:pPr>
              <w:pStyle w:val="Compact"/>
              <w:jc w:val="right"/>
            </w:pPr>
            <w:r>
              <w:t xml:space="preserve">29.9</w:t>
            </w:r>
          </w:p>
        </w:tc>
        <w:tc>
          <w:tcPr/>
          <w:p>
            <w:pPr>
              <w:pStyle w:val="Compact"/>
              <w:jc w:val="right"/>
            </w:pPr>
            <w:r>
              <w:t xml:space="preserve">81.2</w:t>
            </w:r>
          </w:p>
        </w:tc>
        <w:tc>
          <w:tcPr/>
          <w:p>
            <w:pPr>
              <w:pStyle w:val="Compact"/>
              <w:jc w:val="right"/>
            </w:pPr>
            <w:r>
              <w:t xml:space="preserve">82.0</w:t>
            </w:r>
          </w:p>
        </w:tc>
        <w:tc>
          <w:tcPr/>
          <w:p>
            <w:pPr>
              <w:pStyle w:val="Compact"/>
              <w:jc w:val="right"/>
            </w:pPr>
            <w:r>
              <w:t xml:space="preserve">51.0</w:t>
            </w:r>
          </w:p>
        </w:tc>
        <w:tc>
          <w:tcPr/>
          <w:p>
            <w:pPr>
              <w:pStyle w:val="Compact"/>
              <w:jc w:val="right"/>
            </w:pPr>
            <w:r>
              <w:t xml:space="preserve">95.0</w:t>
            </w:r>
          </w:p>
        </w:tc>
        <w:tc>
          <w:tcPr/>
          <w:p>
            <w:pPr>
              <w:pStyle w:val="Compact"/>
              <w:jc w:val="right"/>
            </w:pPr>
            <w:r>
              <w:t xml:space="preserve">95.8</w:t>
            </w:r>
          </w:p>
        </w:tc>
        <w:tc>
          <w:tcPr/>
          <w:p>
            <w:pPr>
              <w:pStyle w:val="Compact"/>
              <w:jc w:val="right"/>
            </w:pPr>
            <w:r>
              <w:t xml:space="preserve">58.2</w:t>
            </w:r>
          </w:p>
        </w:tc>
        <w:tc>
          <w:tcPr/>
          <w:p>
            <w:pPr>
              <w:pStyle w:val="Compact"/>
              <w:jc w:val="right"/>
            </w:pPr>
            <w:r>
              <w:t xml:space="preserve">71.7</w:t>
            </w:r>
          </w:p>
        </w:tc>
        <w:tc>
          <w:tcPr/>
          <w:p>
            <w:pPr>
              <w:pStyle w:val="Compact"/>
              <w:jc w:val="right"/>
            </w:pPr>
            <w:r>
              <w:t xml:space="preserve">92.6</w:t>
            </w:r>
          </w:p>
        </w:tc>
      </w:tr>
      <w:tr>
        <w:tc>
          <w:tcPr/>
          <w:p>
            <w:pPr>
              <w:pStyle w:val="Compact"/>
              <w:jc w:val="left"/>
            </w:pPr>
            <w:r>
              <w:t xml:space="preserve">R4 layer 1, plus probability of bias dominance below 15%</w:t>
            </w:r>
          </w:p>
        </w:tc>
        <w:tc>
          <w:tcPr/>
          <w:p>
            <w:pPr>
              <w:pStyle w:val="Compact"/>
              <w:jc w:val="right"/>
            </w:pPr>
            <w:r>
              <w:t xml:space="preserve">21.5</w:t>
            </w:r>
          </w:p>
        </w:tc>
        <w:tc>
          <w:tcPr/>
          <w:p>
            <w:pPr>
              <w:pStyle w:val="Compact"/>
              <w:jc w:val="right"/>
            </w:pPr>
            <w:r>
              <w:t xml:space="preserve">81.2</w:t>
            </w:r>
          </w:p>
        </w:tc>
        <w:tc>
          <w:tcPr/>
          <w:p>
            <w:pPr>
              <w:pStyle w:val="Compact"/>
              <w:jc w:val="right"/>
            </w:pPr>
            <w:r>
              <w:t xml:space="preserve">92.3</w:t>
            </w:r>
          </w:p>
        </w:tc>
        <w:tc>
          <w:tcPr/>
          <w:p>
            <w:pPr>
              <w:pStyle w:val="Compact"/>
              <w:jc w:val="right"/>
            </w:pPr>
            <w:r>
              <w:t xml:space="preserve">70.9</w:t>
            </w:r>
          </w:p>
        </w:tc>
        <w:tc>
          <w:tcPr/>
          <w:p>
            <w:pPr>
              <w:pStyle w:val="Compact"/>
              <w:jc w:val="right"/>
            </w:pPr>
            <w:r>
              <w:t xml:space="preserve">95.5</w:t>
            </w:r>
          </w:p>
        </w:tc>
        <w:tc>
          <w:tcPr/>
          <w:p>
            <w:pPr>
              <w:pStyle w:val="Compact"/>
              <w:jc w:val="right"/>
            </w:pPr>
            <w:r>
              <w:t xml:space="preserve">98.8</w:t>
            </w:r>
          </w:p>
        </w:tc>
        <w:tc>
          <w:tcPr/>
          <w:p>
            <w:pPr>
              <w:pStyle w:val="Compact"/>
              <w:jc w:val="right"/>
            </w:pPr>
            <w:r>
              <w:t xml:space="preserve">43.9</w:t>
            </w:r>
          </w:p>
        </w:tc>
        <w:tc>
          <w:tcPr/>
          <w:p>
            <w:pPr>
              <w:pStyle w:val="Compact"/>
              <w:jc w:val="right"/>
            </w:pPr>
            <w:r>
              <w:t xml:space="preserve">66.0</w:t>
            </w:r>
          </w:p>
        </w:tc>
        <w:tc>
          <w:tcPr/>
          <w:p>
            <w:pPr>
              <w:pStyle w:val="Compact"/>
              <w:jc w:val="right"/>
            </w:pPr>
            <w:r>
              <w:t xml:space="preserve">97.1</w:t>
            </w:r>
          </w:p>
        </w:tc>
      </w:tr>
      <w:tr>
        <w:tc>
          <w:tcPr/>
          <w:p>
            <w:pPr>
              <w:pStyle w:val="Compact"/>
              <w:jc w:val="left"/>
            </w:pPr>
            <w:r>
              <w:t xml:space="preserve">C1 BAF point estimate below 0.5, the bias-dominated threshold, no layer 1</w:t>
            </w:r>
          </w:p>
        </w:tc>
        <w:tc>
          <w:tcPr/>
          <w:p>
            <w:pPr>
              <w:pStyle w:val="Compact"/>
              <w:jc w:val="right"/>
            </w:pPr>
            <w:r>
              <w:t xml:space="preserve">56.2</w:t>
            </w:r>
          </w:p>
        </w:tc>
        <w:tc>
          <w:tcPr/>
          <w:p>
            <w:pPr>
              <w:pStyle w:val="Compact"/>
              <w:jc w:val="right"/>
            </w:pPr>
            <w:r>
              <w:t xml:space="preserve">98.7</w:t>
            </w:r>
          </w:p>
        </w:tc>
        <w:tc>
          <w:tcPr/>
          <w:p>
            <w:pPr>
              <w:pStyle w:val="Compact"/>
              <w:jc w:val="right"/>
            </w:pPr>
            <w:r>
              <w:t xml:space="preserve">53.6</w:t>
            </w:r>
          </w:p>
        </w:tc>
        <w:tc>
          <w:tcPr/>
          <w:p>
            <w:pPr>
              <w:pStyle w:val="Compact"/>
              <w:jc w:val="right"/>
            </w:pPr>
            <w:r>
              <w:t xml:space="preserve">32.9</w:t>
            </w:r>
          </w:p>
        </w:tc>
        <w:tc>
          <w:tcPr/>
          <w:p>
            <w:pPr>
              <w:pStyle w:val="Compact"/>
              <w:jc w:val="right"/>
            </w:pPr>
            <w:r>
              <w:t xml:space="preserve">99.5</w:t>
            </w:r>
          </w:p>
        </w:tc>
        <w:tc>
          <w:tcPr/>
          <w:p>
            <w:pPr>
              <w:pStyle w:val="Compact"/>
              <w:jc w:val="right"/>
            </w:pPr>
            <w:r>
              <w:t xml:space="preserve">75.2</w:t>
            </w:r>
          </w:p>
        </w:tc>
        <w:tc>
          <w:tcPr/>
          <w:p>
            <w:pPr>
              <w:pStyle w:val="Compact"/>
              <w:jc w:val="right"/>
            </w:pPr>
            <w:r>
              <w:t xml:space="preserve">90.9</w:t>
            </w:r>
          </w:p>
        </w:tc>
        <w:tc>
          <w:tcPr/>
          <w:p>
            <w:pPr>
              <w:pStyle w:val="Compact"/>
              <w:jc w:val="right"/>
            </w:pPr>
            <w:r>
              <w:t xml:space="preserve">90.1</w:t>
            </w:r>
          </w:p>
        </w:tc>
        <w:tc>
          <w:tcPr/>
          <w:p>
            <w:pPr>
              <w:pStyle w:val="Compact"/>
              <w:jc w:val="right"/>
            </w:pPr>
            <w:r>
              <w:t xml:space="preserve">76.8</w:t>
            </w:r>
          </w:p>
        </w:tc>
      </w:tr>
      <w:tr>
        <w:tc>
          <w:tcPr/>
          <w:p>
            <w:pPr>
              <w:pStyle w:val="Compact"/>
              <w:jc w:val="left"/>
            </w:pPr>
            <w:r>
              <w:t xml:space="preserve">C2 the whole credible interval of BAF below 0.5, the bias-dominated threshold, no layer 1</w:t>
            </w:r>
          </w:p>
        </w:tc>
        <w:tc>
          <w:tcPr/>
          <w:p>
            <w:pPr>
              <w:pStyle w:val="Compact"/>
              <w:jc w:val="right"/>
            </w:pPr>
            <w:r>
              <w:t xml:space="preserve">31.9</w:t>
            </w:r>
          </w:p>
        </w:tc>
        <w:tc>
          <w:tcPr/>
          <w:p>
            <w:pPr>
              <w:pStyle w:val="Compact"/>
              <w:jc w:val="right"/>
            </w:pPr>
            <w:r>
              <w:t xml:space="preserve">85.3</w:t>
            </w:r>
          </w:p>
        </w:tc>
        <w:tc>
          <w:tcPr/>
          <w:p>
            <w:pPr>
              <w:pStyle w:val="Compact"/>
              <w:jc w:val="right"/>
            </w:pPr>
            <w:r>
              <w:t xml:space="preserve">80.4</w:t>
            </w:r>
          </w:p>
        </w:tc>
        <w:tc>
          <w:tcPr/>
          <w:p>
            <w:pPr>
              <w:pStyle w:val="Compact"/>
              <w:jc w:val="right"/>
            </w:pPr>
            <w:r>
              <w:t xml:space="preserve">50.1</w:t>
            </w:r>
          </w:p>
        </w:tc>
        <w:tc>
          <w:tcPr/>
          <w:p>
            <w:pPr>
              <w:pStyle w:val="Compact"/>
              <w:jc w:val="right"/>
            </w:pPr>
            <w:r>
              <w:t xml:space="preserve">96.0</w:t>
            </w:r>
          </w:p>
        </w:tc>
        <w:tc>
          <w:tcPr/>
          <w:p>
            <w:pPr>
              <w:pStyle w:val="Compact"/>
              <w:jc w:val="right"/>
            </w:pPr>
            <w:r>
              <w:t xml:space="preserve">94.8</w:t>
            </w:r>
          </w:p>
        </w:tc>
        <w:tc>
          <w:tcPr/>
          <w:p>
            <w:pPr>
              <w:pStyle w:val="Compact"/>
              <w:jc w:val="right"/>
            </w:pPr>
            <w:r>
              <w:t xml:space="preserve">61.4</w:t>
            </w:r>
          </w:p>
        </w:tc>
        <w:tc>
          <w:tcPr/>
          <w:p>
            <w:pPr>
              <w:pStyle w:val="Compact"/>
              <w:jc w:val="right"/>
            </w:pPr>
            <w:r>
              <w:t xml:space="preserve">73.1</w:t>
            </w:r>
          </w:p>
        </w:tc>
        <w:tc>
          <w:tcPr/>
          <w:p>
            <w:pPr>
              <w:pStyle w:val="Compact"/>
              <w:jc w:val="right"/>
            </w:pPr>
            <w:r>
              <w:t xml:space="preserve">91.4</w:t>
            </w:r>
          </w:p>
        </w:tc>
      </w:tr>
    </w:tbl>
    <w:bookmarkEnd w:id="18"/>
    <w:bookmarkStart w:id="19" w:name="s3.4-decision-flow-by-stage"/>
    <w:p>
      <w:pPr>
        <w:pStyle w:val="Heading3"/>
      </w:pPr>
      <w:r>
        <w:t xml:space="preserve">S3.4 Decision flow by stage</w:t>
      </w:r>
    </w:p>
    <w:p>
      <w:pPr>
        <w:pStyle w:val="TableCaption"/>
      </w:pPr>
      <w:r>
        <w:t xml:space="preserve">Table S5. Decision flow across layers of the rule.</w:t>
      </w:r>
    </w:p>
    <w:tbl>
      <w:tblPr>
        <w:tblStyle w:val="Table"/>
        <w:tblW w:type="pct" w:w="5000"/>
        <w:tblLayout w:type="fixed"/>
        <w:tblLook w:firstRow="1" w:lastRow="0" w:firstColumn="0" w:lastColumn="0" w:noHBand="0" w:noVBand="0" w:val="0020"/>
        <w:tblCaption w:val="Table S5. Decision flow across layers of the rule."/>
      </w:tblPr>
      <w:tblGrid>
        <w:gridCol w:w="3855"/>
        <w:gridCol w:w="729"/>
        <w:gridCol w:w="1980"/>
        <w:gridCol w:w="1354"/>
      </w:tblGrid>
      <w:tr>
        <w:trPr>
          <w:tblHeader w:val="on"/>
        </w:trPr>
        <w:tc>
          <w:tcPr/>
          <w:p>
            <w:pPr>
              <w:pStyle w:val="Compact"/>
              <w:jc w:val="left"/>
            </w:pPr>
            <w:r>
              <w:t xml:space="preserve">Stage</w:t>
            </w:r>
          </w:p>
        </w:tc>
        <w:tc>
          <w:tcPr/>
          <w:p>
            <w:pPr>
              <w:pStyle w:val="Compact"/>
              <w:jc w:val="right"/>
            </w:pPr>
            <w:r>
              <w:t xml:space="preserve">N</w:t>
            </w:r>
          </w:p>
        </w:tc>
        <w:tc>
          <w:tcPr/>
          <w:p>
            <w:pPr>
              <w:pStyle w:val="Compact"/>
              <w:jc w:val="right"/>
            </w:pPr>
            <w:r>
              <w:t xml:space="preserve">Bias.dominated..n.</w:t>
            </w:r>
          </w:p>
        </w:tc>
        <w:tc>
          <w:tcPr/>
          <w:p>
            <w:pPr>
              <w:pStyle w:val="Compact"/>
              <w:jc w:val="left"/>
            </w:pPr>
            <w:r>
              <w:t xml:space="preserve">BD.share….</w:t>
            </w:r>
          </w:p>
        </w:tc>
      </w:tr>
      <w:tr>
        <w:tc>
          <w:tcPr/>
          <w:p>
            <w:pPr>
              <w:pStyle w:val="Compact"/>
              <w:jc w:val="left"/>
            </w:pPr>
            <w:r>
              <w:t xml:space="preserve">all repetitions</w:t>
            </w:r>
          </w:p>
        </w:tc>
        <w:tc>
          <w:tcPr/>
          <w:p>
            <w:pPr>
              <w:pStyle w:val="Compact"/>
              <w:jc w:val="right"/>
            </w:pPr>
            <w:r>
              <w:t xml:space="preserve">960000</w:t>
            </w:r>
          </w:p>
        </w:tc>
        <w:tc>
          <w:tcPr/>
          <w:p>
            <w:pPr>
              <w:pStyle w:val="Compact"/>
              <w:jc w:val="right"/>
            </w:pPr>
            <w:r>
              <w:t xml:space="preserve">504000</w:t>
            </w:r>
          </w:p>
        </w:tc>
        <w:tc>
          <w:tcPr/>
          <w:p>
            <w:pPr>
              <w:pStyle w:val="Compact"/>
              <w:jc w:val="left"/>
            </w:pPr>
            <w:r>
              <w:t xml:space="preserve">52.5</w:t>
            </w:r>
          </w:p>
        </w:tc>
      </w:tr>
      <w:tr>
        <w:tc>
          <w:tcPr/>
          <w:p>
            <w:pPr>
              <w:pStyle w:val="Compact"/>
              <w:jc w:val="left"/>
            </w:pPr>
            <w:r>
              <w:t xml:space="preserve">layer 1 pass (calibrated p &lt; .05)</w:t>
            </w:r>
          </w:p>
        </w:tc>
        <w:tc>
          <w:tcPr/>
          <w:p>
            <w:pPr>
              <w:pStyle w:val="Compact"/>
              <w:jc w:val="right"/>
            </w:pPr>
            <w:r>
              <w:t xml:space="preserve">593963</w:t>
            </w:r>
          </w:p>
        </w:tc>
        <w:tc>
          <w:tcPr/>
          <w:p>
            <w:pPr>
              <w:pStyle w:val="Compact"/>
              <w:jc w:val="right"/>
            </w:pPr>
            <w:r>
              <w:t xml:space="preserve">214023</w:t>
            </w:r>
          </w:p>
        </w:tc>
        <w:tc>
          <w:tcPr/>
          <w:p>
            <w:pPr>
              <w:pStyle w:val="Compact"/>
              <w:jc w:val="left"/>
            </w:pPr>
            <w:r>
              <w:t xml:space="preserve">36.0</w:t>
            </w:r>
          </w:p>
        </w:tc>
      </w:tr>
      <w:tr>
        <w:tc>
          <w:tcPr/>
          <w:p>
            <w:pPr>
              <w:pStyle w:val="Compact"/>
              <w:jc w:val="left"/>
            </w:pPr>
            <w:r>
              <w:t xml:space="preserve">layer 1 pass and usable verdict</w:t>
            </w:r>
          </w:p>
        </w:tc>
        <w:tc>
          <w:tcPr/>
          <w:p>
            <w:pPr>
              <w:pStyle w:val="Compact"/>
              <w:jc w:val="right"/>
            </w:pPr>
            <w:r>
              <w:t xml:space="preserve">205971</w:t>
            </w:r>
          </w:p>
        </w:tc>
        <w:tc>
          <w:tcPr/>
          <w:p>
            <w:pPr>
              <w:pStyle w:val="Compact"/>
              <w:jc w:val="right"/>
            </w:pPr>
            <w:r>
              <w:t xml:space="preserve">5978</w:t>
            </w:r>
          </w:p>
        </w:tc>
        <w:tc>
          <w:tcPr/>
          <w:p>
            <w:pPr>
              <w:pStyle w:val="Compact"/>
              <w:jc w:val="left"/>
            </w:pPr>
            <w:r>
              <w:t xml:space="preserve">2.9</w:t>
            </w:r>
          </w:p>
        </w:tc>
      </w:tr>
      <w:tr>
        <w:tc>
          <w:tcPr/>
          <w:p>
            <w:pPr>
              <w:pStyle w:val="Compact"/>
              <w:jc w:val="left"/>
            </w:pPr>
            <w:r>
              <w:t xml:space="preserve">layer 1 pass and mixed verdict</w:t>
            </w:r>
          </w:p>
        </w:tc>
        <w:tc>
          <w:tcPr/>
          <w:p>
            <w:pPr>
              <w:pStyle w:val="Compact"/>
              <w:jc w:val="right"/>
            </w:pPr>
            <w:r>
              <w:t xml:space="preserve">133931</w:t>
            </w:r>
          </w:p>
        </w:tc>
        <w:tc>
          <w:tcPr/>
          <w:p>
            <w:pPr>
              <w:pStyle w:val="Compact"/>
              <w:jc w:val="right"/>
            </w:pPr>
            <w:r>
              <w:t xml:space="preserve">27164</w:t>
            </w:r>
          </w:p>
        </w:tc>
        <w:tc>
          <w:tcPr/>
          <w:p>
            <w:pPr>
              <w:pStyle w:val="Compact"/>
              <w:jc w:val="left"/>
            </w:pPr>
            <w:r>
              <w:t xml:space="preserve">20.3</w:t>
            </w:r>
          </w:p>
        </w:tc>
      </w:tr>
      <w:tr>
        <w:tc>
          <w:tcPr/>
          <w:p>
            <w:pPr>
              <w:pStyle w:val="Compact"/>
              <w:jc w:val="left"/>
            </w:pPr>
            <w:r>
              <w:t xml:space="preserve">layer 1 pass and competitive verdict</w:t>
            </w:r>
          </w:p>
        </w:tc>
        <w:tc>
          <w:tcPr/>
          <w:p>
            <w:pPr>
              <w:pStyle w:val="Compact"/>
              <w:jc w:val="right"/>
            </w:pPr>
            <w:r>
              <w:t xml:space="preserve">129128</w:t>
            </w:r>
          </w:p>
        </w:tc>
        <w:tc>
          <w:tcPr/>
          <w:p>
            <w:pPr>
              <w:pStyle w:val="Compact"/>
              <w:jc w:val="right"/>
            </w:pPr>
            <w:r>
              <w:t xml:space="preserve">69650</w:t>
            </w:r>
          </w:p>
        </w:tc>
        <w:tc>
          <w:tcPr/>
          <w:p>
            <w:pPr>
              <w:pStyle w:val="Compact"/>
              <w:jc w:val="left"/>
            </w:pPr>
            <w:r>
              <w:t xml:space="preserve">53.9</w:t>
            </w:r>
          </w:p>
        </w:tc>
      </w:tr>
      <w:tr>
        <w:tc>
          <w:tcPr/>
          <w:p>
            <w:pPr>
              <w:pStyle w:val="Compact"/>
              <w:jc w:val="left"/>
            </w:pPr>
            <w:r>
              <w:t xml:space="preserve">layer 1 pass and not-usable verdict</w:t>
            </w:r>
          </w:p>
        </w:tc>
        <w:tc>
          <w:tcPr/>
          <w:p>
            <w:pPr>
              <w:pStyle w:val="Compact"/>
              <w:jc w:val="right"/>
            </w:pPr>
            <w:r>
              <w:t xml:space="preserve">124933</w:t>
            </w:r>
          </w:p>
        </w:tc>
        <w:tc>
          <w:tcPr/>
          <w:p>
            <w:pPr>
              <w:pStyle w:val="Compact"/>
              <w:jc w:val="right"/>
            </w:pPr>
            <w:r>
              <w:t xml:space="preserve">111231</w:t>
            </w:r>
          </w:p>
        </w:tc>
        <w:tc>
          <w:tcPr/>
          <w:p>
            <w:pPr>
              <w:pStyle w:val="Compact"/>
              <w:jc w:val="left"/>
            </w:pPr>
            <w:r>
              <w:t xml:space="preserve">89.0</w:t>
            </w:r>
          </w:p>
        </w:tc>
      </w:tr>
    </w:tbl>
    <w:bookmarkEnd w:id="19"/>
    <w:bookmarkStart w:id="20" w:name="Xd78e56bb12f9e2371ec2c22f32e99345cf1f2a5"/>
    <w:p>
      <w:pPr>
        <w:pStyle w:val="Heading3"/>
      </w:pPr>
      <w:r>
        <w:t xml:space="preserve">S3.5 Verdict versus truth (3 by 3 confusion)</w:t>
      </w:r>
    </w:p>
    <w:p>
      <w:pPr>
        <w:pStyle w:val="TableCaption"/>
      </w:pPr>
      <w:r>
        <w:t xml:space="preserve">Table S6. Confusion matrix of assigned verdict zone against simulated truth.</w:t>
      </w:r>
    </w:p>
    <w:tbl>
      <w:tblPr>
        <w:tblStyle w:val="Table"/>
        <w:tblW w:type="auto" w:w="0"/>
        <w:tblLook w:firstRow="1" w:lastRow="0" w:firstColumn="0" w:lastColumn="0" w:noHBand="0" w:noVBand="0" w:val="0020"/>
        <w:tblCaption w:val="Table S6. Confusion matrix of assigned verdict zone against simulated truth."/>
      </w:tblPr>
      <w:tblGrid>
        <w:gridCol w:w="1584"/>
        <w:gridCol w:w="1584"/>
        <w:gridCol w:w="1584"/>
        <w:gridCol w:w="1584"/>
        <w:gridCol w:w="1584"/>
      </w:tblGrid>
      <w:tr>
        <w:trPr>
          <w:tblHeader w:val="on"/>
        </w:trPr>
        <w:tc>
          <w:tcPr/>
          <w:p>
            <w:pPr>
              <w:pStyle w:val="Compact"/>
              <w:jc w:val="left"/>
            </w:pPr>
            <w:r>
              <w:t xml:space="preserve">Truth</w:t>
            </w:r>
          </w:p>
        </w:tc>
        <w:tc>
          <w:tcPr/>
          <w:p>
            <w:pPr>
              <w:pStyle w:val="Compact"/>
              <w:jc w:val="right"/>
            </w:pPr>
            <w:r>
              <w:t xml:space="preserve">bias.dominated</w:t>
            </w:r>
          </w:p>
        </w:tc>
        <w:tc>
          <w:tcPr/>
          <w:p>
            <w:pPr>
              <w:pStyle w:val="Compact"/>
              <w:jc w:val="right"/>
            </w:pPr>
            <w:r>
              <w:t xml:space="preserve">mixed</w:t>
            </w:r>
          </w:p>
        </w:tc>
        <w:tc>
          <w:tcPr/>
          <w:p>
            <w:pPr>
              <w:pStyle w:val="Compact"/>
              <w:jc w:val="right"/>
            </w:pPr>
            <w:r>
              <w:t xml:space="preserve">effect.dominated</w:t>
            </w:r>
          </w:p>
        </w:tc>
        <w:tc>
          <w:tcPr/>
          <w:p>
            <w:pPr>
              <w:pStyle w:val="Compact"/>
              <w:jc w:val="right"/>
            </w:pPr>
            <w:r>
              <w:t xml:space="preserve">Row.total</w:t>
            </w:r>
          </w:p>
        </w:tc>
      </w:tr>
      <w:tr>
        <w:tc>
          <w:tcPr/>
          <w:p>
            <w:pPr>
              <w:pStyle w:val="Compact"/>
              <w:jc w:val="left"/>
            </w:pPr>
            <w:r>
              <w:t xml:space="preserve">bias-dominated</w:t>
            </w:r>
          </w:p>
        </w:tc>
        <w:tc>
          <w:tcPr/>
          <w:p>
            <w:pPr>
              <w:pStyle w:val="Compact"/>
              <w:jc w:val="right"/>
            </w:pPr>
            <w:r>
              <w:t xml:space="preserve">211831</w:t>
            </w:r>
          </w:p>
        </w:tc>
        <w:tc>
          <w:tcPr/>
          <w:p>
            <w:pPr>
              <w:pStyle w:val="Compact"/>
              <w:jc w:val="right"/>
            </w:pPr>
            <w:r>
              <w:t xml:space="preserve">265826</w:t>
            </w:r>
          </w:p>
        </w:tc>
        <w:tc>
          <w:tcPr/>
          <w:p>
            <w:pPr>
              <w:pStyle w:val="Compact"/>
              <w:jc w:val="right"/>
            </w:pPr>
            <w:r>
              <w:t xml:space="preserve">26343</w:t>
            </w:r>
          </w:p>
        </w:tc>
        <w:tc>
          <w:tcPr/>
          <w:p>
            <w:pPr>
              <w:pStyle w:val="Compact"/>
              <w:jc w:val="right"/>
            </w:pPr>
            <w:r>
              <w:t xml:space="preserve">504000</w:t>
            </w:r>
          </w:p>
        </w:tc>
      </w:tr>
      <w:tr>
        <w:tc>
          <w:tcPr/>
          <w:p>
            <w:pPr>
              <w:pStyle w:val="Compact"/>
              <w:jc w:val="left"/>
            </w:pPr>
            <w:r>
              <w:t xml:space="preserve">effect-dominated</w:t>
            </w:r>
          </w:p>
        </w:tc>
        <w:tc>
          <w:tcPr/>
          <w:p>
            <w:pPr>
              <w:pStyle w:val="Compact"/>
              <w:jc w:val="right"/>
            </w:pPr>
            <w:r>
              <w:t xml:space="preserve">149</w:t>
            </w:r>
          </w:p>
        </w:tc>
        <w:tc>
          <w:tcPr/>
          <w:p>
            <w:pPr>
              <w:pStyle w:val="Compact"/>
              <w:jc w:val="right"/>
            </w:pPr>
            <w:r>
              <w:t xml:space="preserve">26293</w:t>
            </w:r>
          </w:p>
        </w:tc>
        <w:tc>
          <w:tcPr/>
          <w:p>
            <w:pPr>
              <w:pStyle w:val="Compact"/>
              <w:jc w:val="right"/>
            </w:pPr>
            <w:r>
              <w:t xml:space="preserve">153558</w:t>
            </w:r>
          </w:p>
        </w:tc>
        <w:tc>
          <w:tcPr/>
          <w:p>
            <w:pPr>
              <w:pStyle w:val="Compact"/>
              <w:jc w:val="right"/>
            </w:pPr>
            <w:r>
              <w:t xml:space="preserve">180000</w:t>
            </w:r>
          </w:p>
        </w:tc>
      </w:tr>
      <w:tr>
        <w:tc>
          <w:tcPr/>
          <w:p>
            <w:pPr>
              <w:pStyle w:val="Compact"/>
              <w:jc w:val="left"/>
            </w:pPr>
            <w:r>
              <w:t xml:space="preserve">mixed</w:t>
            </w:r>
          </w:p>
        </w:tc>
        <w:tc>
          <w:tcPr/>
          <w:p>
            <w:pPr>
              <w:pStyle w:val="Compact"/>
              <w:jc w:val="right"/>
            </w:pPr>
            <w:r>
              <w:t xml:space="preserve">5273</w:t>
            </w:r>
          </w:p>
        </w:tc>
        <w:tc>
          <w:tcPr/>
          <w:p>
            <w:pPr>
              <w:pStyle w:val="Compact"/>
              <w:jc w:val="right"/>
            </w:pPr>
            <w:r>
              <w:t xml:space="preserve">144191</w:t>
            </w:r>
          </w:p>
        </w:tc>
        <w:tc>
          <w:tcPr/>
          <w:p>
            <w:pPr>
              <w:pStyle w:val="Compact"/>
              <w:jc w:val="right"/>
            </w:pPr>
            <w:r>
              <w:t xml:space="preserve">126536</w:t>
            </w:r>
          </w:p>
        </w:tc>
        <w:tc>
          <w:tcPr/>
          <w:p>
            <w:pPr>
              <w:pStyle w:val="Compact"/>
              <w:jc w:val="right"/>
            </w:pPr>
            <w:r>
              <w:t xml:space="preserve">276000</w:t>
            </w:r>
          </w:p>
        </w:tc>
      </w:tr>
    </w:tbl>
    <w:p>
      <w:pPr>
        <w:pStyle w:val="BodyText"/>
      </w:pPr>
      <w:r>
        <w:t xml:space="preserve">Zone accuracy was 53.1% overall, 42.0% among bias-dominated, 52.2% among mixed, and 85.3% among effect-dominated repetitions.</w:t>
      </w:r>
    </w:p>
    <w:bookmarkEnd w:id="20"/>
    <w:bookmarkStart w:id="21" w:name="s3.6-subgroup-robustness"/>
    <w:p>
      <w:pPr>
        <w:pStyle w:val="Heading3"/>
      </w:pPr>
      <w:r>
        <w:t xml:space="preserve">S3.6 Subgroup robustness</w:t>
      </w:r>
    </w:p>
    <w:p>
      <w:pPr>
        <w:pStyle w:val="TableCaption"/>
      </w:pPr>
      <w:r>
        <w:t xml:space="preserve">Table S7. Misuse rate across 7 pre-specified subgroups.</w:t>
      </w:r>
    </w:p>
    <w:tbl>
      <w:tblPr>
        <w:tblStyle w:val="Table"/>
        <w:tblW w:type="pct" w:w="5000"/>
        <w:tblLayout w:type="fixed"/>
        <w:tblLook w:firstRow="1" w:lastRow="0" w:firstColumn="0" w:lastColumn="0" w:noHBand="0" w:noVBand="0" w:val="0020"/>
        <w:tblCaption w:val="Table S7. Misuse rate across 7 pre-specified subgroups."/>
      </w:tblPr>
      <w:tblGrid>
        <w:gridCol w:w="1856"/>
        <w:gridCol w:w="433"/>
        <w:gridCol w:w="990"/>
        <w:gridCol w:w="1113"/>
        <w:gridCol w:w="1175"/>
        <w:gridCol w:w="1237"/>
        <w:gridCol w:w="1113"/>
      </w:tblGrid>
      <w:tr>
        <w:trPr>
          <w:tblHeader w:val="on"/>
        </w:trPr>
        <w:tc>
          <w:tcPr/>
          <w:p>
            <w:pPr>
              <w:pStyle w:val="Compact"/>
              <w:jc w:val="left"/>
            </w:pPr>
            <w:r>
              <w:t xml:space="preserve">Subgroup</w:t>
            </w:r>
          </w:p>
        </w:tc>
        <w:tc>
          <w:tcPr/>
          <w:p>
            <w:pPr>
              <w:pStyle w:val="Compact"/>
              <w:jc w:val="right"/>
            </w:pPr>
            <w:r>
              <w:t xml:space="preserve">N</w:t>
            </w:r>
          </w:p>
        </w:tc>
        <w:tc>
          <w:tcPr/>
          <w:p>
            <w:pPr>
              <w:pStyle w:val="Compact"/>
              <w:jc w:val="left"/>
            </w:pPr>
            <w:r>
              <w:t xml:space="preserve">Layer1.pass….</w:t>
            </w:r>
          </w:p>
        </w:tc>
        <w:tc>
          <w:tcPr/>
          <w:p>
            <w:pPr>
              <w:pStyle w:val="Compact"/>
              <w:jc w:val="left"/>
            </w:pPr>
            <w:r>
              <w:t xml:space="preserve">BD.among.pass….</w:t>
            </w:r>
          </w:p>
        </w:tc>
        <w:tc>
          <w:tcPr/>
          <w:p>
            <w:pPr>
              <w:pStyle w:val="Compact"/>
              <w:jc w:val="left"/>
            </w:pPr>
            <w:r>
              <w:t xml:space="preserve">Declare.usable….</w:t>
            </w:r>
          </w:p>
        </w:tc>
        <w:tc>
          <w:tcPr/>
          <w:p>
            <w:pPr>
              <w:pStyle w:val="Compact"/>
              <w:jc w:val="left"/>
            </w:pPr>
            <w:r>
              <w:t xml:space="preserve">BD.among.usable….</w:t>
            </w:r>
          </w:p>
        </w:tc>
        <w:tc>
          <w:tcPr/>
          <w:p>
            <w:pPr>
              <w:pStyle w:val="Compact"/>
              <w:jc w:val="right"/>
            </w:pPr>
            <w:r>
              <w:t xml:space="preserve">Median.half.width</w:t>
            </w:r>
          </w:p>
        </w:tc>
      </w:tr>
      <w:tr>
        <w:tc>
          <w:tcPr/>
          <w:p>
            <w:pPr>
              <w:pStyle w:val="Compact"/>
              <w:jc w:val="left"/>
            </w:pPr>
            <w:r>
              <w:t xml:space="preserve">K = 12 negative controls</w:t>
            </w:r>
          </w:p>
        </w:tc>
        <w:tc>
          <w:tcPr/>
          <w:p>
            <w:pPr>
              <w:pStyle w:val="Compact"/>
              <w:jc w:val="right"/>
            </w:pPr>
            <w:r>
              <w:t xml:space="preserve">320000</w:t>
            </w:r>
          </w:p>
        </w:tc>
        <w:tc>
          <w:tcPr/>
          <w:p>
            <w:pPr>
              <w:pStyle w:val="Compact"/>
              <w:jc w:val="left"/>
            </w:pPr>
            <w:r>
              <w:t xml:space="preserve">62.4</w:t>
            </w:r>
          </w:p>
        </w:tc>
        <w:tc>
          <w:tcPr/>
          <w:p>
            <w:pPr>
              <w:pStyle w:val="Compact"/>
              <w:jc w:val="left"/>
            </w:pPr>
            <w:r>
              <w:t xml:space="preserve">36.4</w:t>
            </w:r>
          </w:p>
        </w:tc>
        <w:tc>
          <w:tcPr/>
          <w:p>
            <w:pPr>
              <w:pStyle w:val="Compact"/>
              <w:jc w:val="left"/>
            </w:pPr>
            <w:r>
              <w:t xml:space="preserve">21.9</w:t>
            </w:r>
          </w:p>
        </w:tc>
        <w:tc>
          <w:tcPr/>
          <w:p>
            <w:pPr>
              <w:pStyle w:val="Compact"/>
              <w:jc w:val="left"/>
            </w:pPr>
            <w:r>
              <w:t xml:space="preserve">3.54</w:t>
            </w:r>
          </w:p>
        </w:tc>
        <w:tc>
          <w:tcPr/>
          <w:p>
            <w:pPr>
              <w:pStyle w:val="Compact"/>
              <w:jc w:val="right"/>
            </w:pPr>
            <w:r>
              <w:t xml:space="preserve">0.193</w:t>
            </w:r>
          </w:p>
        </w:tc>
      </w:tr>
      <w:tr>
        <w:tc>
          <w:tcPr/>
          <w:p>
            <w:pPr>
              <w:pStyle w:val="Compact"/>
              <w:jc w:val="left"/>
            </w:pPr>
            <w:r>
              <w:t xml:space="preserve">K = 25 negative controls</w:t>
            </w:r>
          </w:p>
        </w:tc>
        <w:tc>
          <w:tcPr/>
          <w:p>
            <w:pPr>
              <w:pStyle w:val="Compact"/>
              <w:jc w:val="right"/>
            </w:pPr>
            <w:r>
              <w:t xml:space="preserve">320000</w:t>
            </w:r>
          </w:p>
        </w:tc>
        <w:tc>
          <w:tcPr/>
          <w:p>
            <w:pPr>
              <w:pStyle w:val="Compact"/>
              <w:jc w:val="left"/>
            </w:pPr>
            <w:r>
              <w:t xml:space="preserve">61.8</w:t>
            </w:r>
          </w:p>
        </w:tc>
        <w:tc>
          <w:tcPr/>
          <w:p>
            <w:pPr>
              <w:pStyle w:val="Compact"/>
              <w:jc w:val="left"/>
            </w:pPr>
            <w:r>
              <w:t xml:space="preserve">35.9</w:t>
            </w:r>
          </w:p>
        </w:tc>
        <w:tc>
          <w:tcPr/>
          <w:p>
            <w:pPr>
              <w:pStyle w:val="Compact"/>
              <w:jc w:val="left"/>
            </w:pPr>
            <w:r>
              <w:t xml:space="preserve">21.5</w:t>
            </w:r>
          </w:p>
        </w:tc>
        <w:tc>
          <w:tcPr/>
          <w:p>
            <w:pPr>
              <w:pStyle w:val="Compact"/>
              <w:jc w:val="left"/>
            </w:pPr>
            <w:r>
              <w:t xml:space="preserve">2.83</w:t>
            </w:r>
          </w:p>
        </w:tc>
        <w:tc>
          <w:tcPr/>
          <w:p>
            <w:pPr>
              <w:pStyle w:val="Compact"/>
              <w:jc w:val="right"/>
            </w:pPr>
            <w:r>
              <w:t xml:space="preserve">0.121</w:t>
            </w:r>
          </w:p>
        </w:tc>
      </w:tr>
      <w:tr>
        <w:tc>
          <w:tcPr/>
          <w:p>
            <w:pPr>
              <w:pStyle w:val="Compact"/>
              <w:jc w:val="left"/>
            </w:pPr>
            <w:r>
              <w:t xml:space="preserve">K = 50 negative controls</w:t>
            </w:r>
          </w:p>
        </w:tc>
        <w:tc>
          <w:tcPr/>
          <w:p>
            <w:pPr>
              <w:pStyle w:val="Compact"/>
              <w:jc w:val="right"/>
            </w:pPr>
            <w:r>
              <w:t xml:space="preserve">320000</w:t>
            </w:r>
          </w:p>
        </w:tc>
        <w:tc>
          <w:tcPr/>
          <w:p>
            <w:pPr>
              <w:pStyle w:val="Compact"/>
              <w:jc w:val="left"/>
            </w:pPr>
            <w:r>
              <w:t xml:space="preserve">61.4</w:t>
            </w:r>
          </w:p>
        </w:tc>
        <w:tc>
          <w:tcPr/>
          <w:p>
            <w:pPr>
              <w:pStyle w:val="Compact"/>
              <w:jc w:val="left"/>
            </w:pPr>
            <w:r>
              <w:t xml:space="preserve">35.8</w:t>
            </w:r>
          </w:p>
        </w:tc>
        <w:tc>
          <w:tcPr/>
          <w:p>
            <w:pPr>
              <w:pStyle w:val="Compact"/>
              <w:jc w:val="left"/>
            </w:pPr>
            <w:r>
              <w:t xml:space="preserve">20.9</w:t>
            </w:r>
          </w:p>
        </w:tc>
        <w:tc>
          <w:tcPr/>
          <w:p>
            <w:pPr>
              <w:pStyle w:val="Compact"/>
              <w:jc w:val="left"/>
            </w:pPr>
            <w:r>
              <w:t xml:space="preserve">2.31</w:t>
            </w:r>
          </w:p>
        </w:tc>
        <w:tc>
          <w:tcPr/>
          <w:p>
            <w:pPr>
              <w:pStyle w:val="Compact"/>
              <w:jc w:val="right"/>
            </w:pPr>
            <w:r>
              <w:t xml:space="preserve">0.081</w:t>
            </w:r>
          </w:p>
        </w:tc>
      </w:tr>
      <w:tr>
        <w:tc>
          <w:tcPr/>
          <w:p>
            <w:pPr>
              <w:pStyle w:val="Compact"/>
              <w:jc w:val="left"/>
            </w:pPr>
            <w:r>
              <w:t xml:space="preserve">bias exchangeability held</w:t>
            </w:r>
          </w:p>
        </w:tc>
        <w:tc>
          <w:tcPr/>
          <w:p>
            <w:pPr>
              <w:pStyle w:val="Compact"/>
              <w:jc w:val="right"/>
            </w:pPr>
            <w:r>
              <w:t xml:space="preserve">480000</w:t>
            </w:r>
          </w:p>
        </w:tc>
        <w:tc>
          <w:tcPr/>
          <w:p>
            <w:pPr>
              <w:pStyle w:val="Compact"/>
              <w:jc w:val="left"/>
            </w:pPr>
            <w:r>
              <w:t xml:space="preserve">60.5</w:t>
            </w:r>
          </w:p>
        </w:tc>
        <w:tc>
          <w:tcPr/>
          <w:p>
            <w:pPr>
              <w:pStyle w:val="Compact"/>
              <w:jc w:val="left"/>
            </w:pPr>
            <w:r>
              <w:t xml:space="preserve">35.5</w:t>
            </w:r>
          </w:p>
        </w:tc>
        <w:tc>
          <w:tcPr/>
          <w:p>
            <w:pPr>
              <w:pStyle w:val="Compact"/>
              <w:jc w:val="left"/>
            </w:pPr>
            <w:r>
              <w:t xml:space="preserve">15.9</w:t>
            </w:r>
          </w:p>
        </w:tc>
        <w:tc>
          <w:tcPr/>
          <w:p>
            <w:pPr>
              <w:pStyle w:val="Compact"/>
              <w:jc w:val="left"/>
            </w:pPr>
            <w:r>
              <w:t xml:space="preserve">0.91</w:t>
            </w:r>
          </w:p>
        </w:tc>
        <w:tc>
          <w:tcPr/>
          <w:p>
            <w:pPr>
              <w:pStyle w:val="Compact"/>
              <w:jc w:val="right"/>
            </w:pPr>
            <w:r>
              <w:t xml:space="preserve">0.123</w:t>
            </w:r>
          </w:p>
        </w:tc>
      </w:tr>
      <w:tr>
        <w:tc>
          <w:tcPr/>
          <w:p>
            <w:pPr>
              <w:pStyle w:val="Compact"/>
              <w:jc w:val="left"/>
            </w:pPr>
            <w:r>
              <w:t xml:space="preserve">30% exchangeability violation</w:t>
            </w:r>
          </w:p>
        </w:tc>
        <w:tc>
          <w:tcPr/>
          <w:p>
            <w:pPr>
              <w:pStyle w:val="Compact"/>
              <w:jc w:val="right"/>
            </w:pPr>
            <w:r>
              <w:t xml:space="preserve">480000</w:t>
            </w:r>
          </w:p>
        </w:tc>
        <w:tc>
          <w:tcPr/>
          <w:p>
            <w:pPr>
              <w:pStyle w:val="Compact"/>
              <w:jc w:val="left"/>
            </w:pPr>
            <w:r>
              <w:t xml:space="preserve">63.2</w:t>
            </w:r>
          </w:p>
        </w:tc>
        <w:tc>
          <w:tcPr/>
          <w:p>
            <w:pPr>
              <w:pStyle w:val="Compact"/>
              <w:jc w:val="left"/>
            </w:pPr>
            <w:r>
              <w:t xml:space="preserve">36.6</w:t>
            </w:r>
          </w:p>
        </w:tc>
        <w:tc>
          <w:tcPr/>
          <w:p>
            <w:pPr>
              <w:pStyle w:val="Compact"/>
              <w:jc w:val="left"/>
            </w:pPr>
            <w:r>
              <w:t xml:space="preserve">27.0</w:t>
            </w:r>
          </w:p>
        </w:tc>
        <w:tc>
          <w:tcPr/>
          <w:p>
            <w:pPr>
              <w:pStyle w:val="Compact"/>
              <w:jc w:val="left"/>
            </w:pPr>
            <w:r>
              <w:t xml:space="preserve">4.08</w:t>
            </w:r>
          </w:p>
        </w:tc>
        <w:tc>
          <w:tcPr/>
          <w:p>
            <w:pPr>
              <w:pStyle w:val="Compact"/>
              <w:jc w:val="right"/>
            </w:pPr>
            <w:r>
              <w:t xml:space="preserve">0.137</w:t>
            </w:r>
          </w:p>
        </w:tc>
      </w:tr>
      <w:tr>
        <w:tc>
          <w:tcPr/>
          <w:p>
            <w:pPr>
              <w:pStyle w:val="Compact"/>
              <w:jc w:val="left"/>
            </w:pPr>
            <w:r>
              <w:t xml:space="preserve">sigma_ps = 0.06</w:t>
            </w:r>
          </w:p>
        </w:tc>
        <w:tc>
          <w:tcPr/>
          <w:p>
            <w:pPr>
              <w:pStyle w:val="Compact"/>
              <w:jc w:val="right"/>
            </w:pPr>
            <w:r>
              <w:t xml:space="preserve">480000</w:t>
            </w:r>
          </w:p>
        </w:tc>
        <w:tc>
          <w:tcPr/>
          <w:p>
            <w:pPr>
              <w:pStyle w:val="Compact"/>
              <w:jc w:val="left"/>
            </w:pPr>
            <w:r>
              <w:t xml:space="preserve">69.9</w:t>
            </w:r>
          </w:p>
        </w:tc>
        <w:tc>
          <w:tcPr/>
          <w:p>
            <w:pPr>
              <w:pStyle w:val="Compact"/>
              <w:jc w:val="left"/>
            </w:pPr>
            <w:r>
              <w:t xml:space="preserve">38.4</w:t>
            </w:r>
          </w:p>
        </w:tc>
        <w:tc>
          <w:tcPr/>
          <w:p>
            <w:pPr>
              <w:pStyle w:val="Compact"/>
              <w:jc w:val="left"/>
            </w:pPr>
            <w:r>
              <w:t xml:space="preserve">22.6</w:t>
            </w:r>
          </w:p>
        </w:tc>
        <w:tc>
          <w:tcPr/>
          <w:p>
            <w:pPr>
              <w:pStyle w:val="Compact"/>
              <w:jc w:val="left"/>
            </w:pPr>
            <w:r>
              <w:t xml:space="preserve">2.07</w:t>
            </w:r>
          </w:p>
        </w:tc>
        <w:tc>
          <w:tcPr/>
          <w:p>
            <w:pPr>
              <w:pStyle w:val="Compact"/>
              <w:jc w:val="right"/>
            </w:pPr>
            <w:r>
              <w:t xml:space="preserve">0.132</w:t>
            </w:r>
          </w:p>
        </w:tc>
      </w:tr>
      <w:tr>
        <w:tc>
          <w:tcPr/>
          <w:p>
            <w:pPr>
              <w:pStyle w:val="Compact"/>
              <w:jc w:val="left"/>
            </w:pPr>
            <w:r>
              <w:t xml:space="preserve">sigma_ps = 0.10</w:t>
            </w:r>
          </w:p>
        </w:tc>
        <w:tc>
          <w:tcPr/>
          <w:p>
            <w:pPr>
              <w:pStyle w:val="Compact"/>
              <w:jc w:val="right"/>
            </w:pPr>
            <w:r>
              <w:t xml:space="preserve">480000</w:t>
            </w:r>
          </w:p>
        </w:tc>
        <w:tc>
          <w:tcPr/>
          <w:p>
            <w:pPr>
              <w:pStyle w:val="Compact"/>
              <w:jc w:val="left"/>
            </w:pPr>
            <w:r>
              <w:t xml:space="preserve">53.8</w:t>
            </w:r>
          </w:p>
        </w:tc>
        <w:tc>
          <w:tcPr/>
          <w:p>
            <w:pPr>
              <w:pStyle w:val="Compact"/>
              <w:jc w:val="left"/>
            </w:pPr>
            <w:r>
              <w:t xml:space="preserve">32.9</w:t>
            </w:r>
          </w:p>
        </w:tc>
        <w:tc>
          <w:tcPr/>
          <w:p>
            <w:pPr>
              <w:pStyle w:val="Compact"/>
              <w:jc w:val="left"/>
            </w:pPr>
            <w:r>
              <w:t xml:space="preserve">20.4</w:t>
            </w:r>
          </w:p>
        </w:tc>
        <w:tc>
          <w:tcPr/>
          <w:p>
            <w:pPr>
              <w:pStyle w:val="Compact"/>
              <w:jc w:val="left"/>
            </w:pPr>
            <w:r>
              <w:t xml:space="preserve">3.82</w:t>
            </w:r>
          </w:p>
        </w:tc>
        <w:tc>
          <w:tcPr/>
          <w:p>
            <w:pPr>
              <w:pStyle w:val="Compact"/>
              <w:jc w:val="right"/>
            </w:pPr>
            <w:r>
              <w:t xml:space="preserve">0.128</w:t>
            </w:r>
          </w:p>
        </w:tc>
      </w:tr>
    </w:tbl>
    <w:bookmarkEnd w:id="21"/>
    <w:bookmarkStart w:id="22" w:name="s3.7-discrimination"/>
    <w:p>
      <w:pPr>
        <w:pStyle w:val="Heading3"/>
      </w:pPr>
      <w:r>
        <w:t xml:space="preserve">S3.7 Discrimination</w:t>
      </w:r>
    </w:p>
    <w:p>
      <w:pPr>
        <w:pStyle w:val="TableCaption"/>
      </w:pPr>
      <w:r>
        <w:t xml:space="preserve">Table S8. Discrimination (AUC). The area under the curve is read from the bias-dominated view, meaning that withholding a repetition is a positive call and being truly bias-dominated is a positive truth. Figure 8 of the main text reports the same three scores from both viewpoints.</w:t>
      </w:r>
    </w:p>
    <w:tbl>
      <w:tblPr>
        <w:tblStyle w:val="Table"/>
        <w:tblW w:type="pct" w:w="5000"/>
        <w:tblLayout w:type="fixed"/>
        <w:tblLook w:firstRow="1" w:lastRow="0" w:firstColumn="0" w:lastColumn="0" w:noHBand="0" w:noVBand="0" w:val="0020"/>
        <w:tblCaption w:val="Table S8. Discrimination (AUC). The area under the curve is read from the bias-dominated view, meaning that withholding a repetition is a positive call and being truly bias-dominated is a positive truth. Figure 8 of the main text reports the same three scores from both viewpoints."/>
      </w:tblPr>
      <w:tblGrid>
        <w:gridCol w:w="3960"/>
        <w:gridCol w:w="609"/>
        <w:gridCol w:w="3350"/>
      </w:tblGrid>
      <w:tr>
        <w:trPr>
          <w:tblHeader w:val="on"/>
        </w:trPr>
        <w:tc>
          <w:tcPr/>
          <w:p>
            <w:pPr>
              <w:pStyle w:val="Compact"/>
              <w:jc w:val="left"/>
            </w:pPr>
            <w:r>
              <w:t xml:space="preserve">Predictor</w:t>
            </w:r>
          </w:p>
        </w:tc>
        <w:tc>
          <w:tcPr/>
          <w:p>
            <w:pPr>
              <w:pStyle w:val="Compact"/>
              <w:jc w:val="left"/>
            </w:pPr>
            <w:r>
              <w:t xml:space="preserve">AUC</w:t>
            </w:r>
          </w:p>
        </w:tc>
        <w:tc>
          <w:tcPr/>
          <w:p>
            <w:pPr>
              <w:pStyle w:val="Compact"/>
              <w:jc w:val="left"/>
            </w:pPr>
            <w:r>
              <w:t xml:space="preserve">LR.chi2.note</w:t>
            </w:r>
          </w:p>
        </w:tc>
      </w:tr>
      <w:tr>
        <w:tc>
          <w:tcPr/>
          <w:p>
            <w:pPr>
              <w:pStyle w:val="Compact"/>
              <w:jc w:val="left"/>
            </w:pPr>
            <w:r>
              <w:t xml:space="preserve">calibrated p-value alone</w:t>
            </w:r>
          </w:p>
        </w:tc>
        <w:tc>
          <w:tcPr/>
          <w:p>
            <w:pPr>
              <w:pStyle w:val="Compact"/>
              <w:jc w:val="left"/>
            </w:pPr>
            <w:r>
              <w:t xml:space="preserve">0.787</w:t>
            </w:r>
          </w:p>
        </w:tc>
        <w:tc>
          <w:tcPr/>
          <w:p>
            <w:pPr>
              <w:pStyle w:val="Compact"/>
              <w:jc w:val="left"/>
            </w:pPr>
            <w:r>
              <w:t xml:space="preserve">-</w:t>
            </w:r>
          </w:p>
        </w:tc>
      </w:tr>
      <w:tr>
        <w:tc>
          <w:tcPr/>
          <w:p>
            <w:pPr>
              <w:pStyle w:val="Compact"/>
              <w:jc w:val="left"/>
            </w:pPr>
            <w:r>
              <w:t xml:space="preserve">BAF_hat alone</w:t>
            </w:r>
          </w:p>
        </w:tc>
        <w:tc>
          <w:tcPr/>
          <w:p>
            <w:pPr>
              <w:pStyle w:val="Compact"/>
              <w:jc w:val="left"/>
            </w:pPr>
            <w:r>
              <w:t xml:space="preserve">0.918</w:t>
            </w:r>
          </w:p>
        </w:tc>
        <w:tc>
          <w:tcPr/>
          <w:p>
            <w:pPr>
              <w:pStyle w:val="Compact"/>
              <w:jc w:val="left"/>
            </w:pPr>
            <w:r>
              <w:t xml:space="preserve">-</w:t>
            </w:r>
          </w:p>
        </w:tc>
      </w:tr>
      <w:tr>
        <w:tc>
          <w:tcPr/>
          <w:p>
            <w:pPr>
              <w:pStyle w:val="Compact"/>
              <w:jc w:val="left"/>
            </w:pPr>
            <w:r>
              <w:t xml:space="preserve">BAF_hat + CI half-width</w:t>
            </w:r>
          </w:p>
        </w:tc>
        <w:tc>
          <w:tcPr/>
          <w:p>
            <w:pPr>
              <w:pStyle w:val="Compact"/>
              <w:jc w:val="left"/>
            </w:pPr>
            <w:r>
              <w:t xml:space="preserve">0.918</w:t>
            </w:r>
          </w:p>
        </w:tc>
        <w:tc>
          <w:tcPr/>
          <w:p>
            <w:pPr>
              <w:pStyle w:val="Compact"/>
              <w:jc w:val="left"/>
            </w:pPr>
            <w:r>
              <w:t xml:space="preserve">LR chi2 = 70.3, df = 1, p &lt; .001</w:t>
            </w:r>
          </w:p>
        </w:tc>
      </w:tr>
      <w:tr>
        <w:tc>
          <w:tcPr/>
          <w:p>
            <w:pPr>
              <w:pStyle w:val="Compact"/>
              <w:jc w:val="left"/>
            </w:pPr>
            <w:r>
              <w:t xml:space="preserve">BAF_hat + CI half-width + calibrated p</w:t>
            </w:r>
          </w:p>
        </w:tc>
        <w:tc>
          <w:tcPr/>
          <w:p>
            <w:pPr>
              <w:pStyle w:val="Compact"/>
              <w:jc w:val="left"/>
            </w:pPr>
            <w:r>
              <w:t xml:space="preserve">0.919</w:t>
            </w:r>
          </w:p>
        </w:tc>
        <w:tc>
          <w:tcPr/>
          <w:p>
            <w:pPr>
              <w:pStyle w:val="Compact"/>
              <w:jc w:val="left"/>
            </w:pPr>
            <w:r>
              <w:t xml:space="preserve">-</w:t>
            </w:r>
          </w:p>
        </w:tc>
      </w:tr>
    </w:tbl>
    <w:p>
      <w:pPr>
        <w:pStyle w:val="BodyText"/>
      </w:pPr>
      <w:r>
        <w:t xml:space="preserve">The likelihood-ratio chi-square test for adding credible-interval half-width to BAF̂ was χ² = 70.3, df = 1, p &lt; .001. The odds ratio per unit increase in CI half-width was 1.30.</w:t>
      </w:r>
    </w:p>
    <w:bookmarkEnd w:id="22"/>
    <w:bookmarkStart w:id="23" w:name="Xa44da2396c88fb7e008623c59cf63a514819040"/>
    <w:p>
      <w:pPr>
        <w:pStyle w:val="Heading3"/>
      </w:pPr>
      <w:r>
        <w:t xml:space="preserve">S3.8 Credible-interval width and coverage</w:t>
      </w:r>
    </w:p>
    <w:p>
      <w:pPr>
        <w:pStyle w:val="FirstParagraph"/>
      </w:pPr>
      <w:r>
        <w:t xml:space="preserve">The median half-width was 0.130 (quartiles 0.088, 0.191). Coverage of the Gibbs posterior 95% credible interval was 71.1% overall, 58.5% for narrow intervals, and 83.8% for wide intervals. Mean half-width by K was 0.218 for K = 12 and 0.144 for K = 25. The calibrated P-value at the 0.05 threshold declared 61.9% of repetitions passable versus 91.7% for the uncalibrated P-value; the pass rate among bias-dominated truth was 42.5%, among mixed 80.2%, and among effect-dominated 88.1%.</w:t>
      </w:r>
    </w:p>
    <w:p>
      <w:r>
        <w:pict>
          <v:rect style="width:0;height:1.5pt" o:hralign="center" o:hrstd="t" o:hr="t"/>
        </w:pict>
      </w:r>
    </w:p>
    <w:bookmarkEnd w:id="23"/>
    <w:bookmarkEnd w:id="24"/>
    <w:bookmarkStart w:id="28" w:name="X1469099585c03b400cbcc854bd85b1fcd14e28e"/>
    <w:p>
      <w:pPr>
        <w:pStyle w:val="Heading2"/>
      </w:pPr>
      <w:r>
        <w:t xml:space="preserve">S4. Part III supplementary: case-study estimation</w:t>
      </w:r>
    </w:p>
    <w:bookmarkStart w:id="25" w:name="s4.1-negative-control-empirical-null"/>
    <w:p>
      <w:pPr>
        <w:pStyle w:val="Heading3"/>
      </w:pPr>
      <w:r>
        <w:t xml:space="preserve">S4.1 Negative-control empirical null</w:t>
      </w:r>
    </w:p>
    <w:p>
      <w:pPr>
        <w:pStyle w:val="FirstParagraph"/>
      </w:pPr>
      <w:r>
        <w:t xml:space="preserve">The jointly estimated empirical null had center μ̂_B = -0.190 and scale σ̂_B = 0.068; the Shapiro-Wilk test of the 12 negative-control residuals gave p = 0.168, and the calibrated log relative risks of the controls ranged from -0.531 to -0.002.</w:t>
      </w:r>
    </w:p>
    <w:bookmarkEnd w:id="25"/>
    <w:bookmarkStart w:id="26" w:name="s4.2-full-case-estimation"/>
    <w:p>
      <w:pPr>
        <w:pStyle w:val="Heading3"/>
      </w:pPr>
      <w:r>
        <w:t xml:space="preserve">S4.2 Full case estimation</w:t>
      </w:r>
    </w:p>
    <w:p>
      <w:pPr>
        <w:pStyle w:val="TableCaption"/>
      </w:pPr>
      <w:r>
        <w:t xml:space="preserve">Table S9. Full estimation output for the two clinical questions.</w:t>
      </w:r>
    </w:p>
    <w:tbl>
      <w:tblPr>
        <w:tblStyle w:val="Table"/>
        <w:tblW w:type="pct" w:w="5000"/>
        <w:tblLayout w:type="fixed"/>
        <w:tblLook w:firstRow="1" w:lastRow="0" w:firstColumn="0" w:lastColumn="0" w:noHBand="0" w:noVBand="0" w:val="0020"/>
        <w:tblCaption w:val="Table S9. Full estimation output for the two clinical questions."/>
      </w:tblPr>
      <w:tblGrid>
        <w:gridCol w:w="2116"/>
        <w:gridCol w:w="614"/>
        <w:gridCol w:w="477"/>
        <w:gridCol w:w="477"/>
        <w:gridCol w:w="477"/>
        <w:gridCol w:w="477"/>
        <w:gridCol w:w="477"/>
        <w:gridCol w:w="751"/>
        <w:gridCol w:w="2048"/>
      </w:tblGrid>
      <w:tr>
        <w:trPr>
          <w:tblHeader w:val="on"/>
        </w:trPr>
        <w:tc>
          <w:tcPr/>
          <w:p>
            <w:pPr>
              <w:pStyle w:val="Compact"/>
              <w:jc w:val="left"/>
            </w:pPr>
            <w:r>
              <w:t xml:space="preserve">Question</w:t>
            </w:r>
          </w:p>
        </w:tc>
        <w:tc>
          <w:tcPr/>
          <w:p>
            <w:pPr>
              <w:pStyle w:val="Compact"/>
              <w:jc w:val="right"/>
            </w:pPr>
            <w:r>
              <w:t xml:space="preserve">Uncal.RR</w:t>
            </w:r>
          </w:p>
        </w:tc>
        <w:tc>
          <w:tcPr/>
          <w:p>
            <w:pPr>
              <w:pStyle w:val="Compact"/>
              <w:jc w:val="right"/>
            </w:pPr>
            <w:r>
              <w:t xml:space="preserve">Cal.RR</w:t>
            </w:r>
          </w:p>
        </w:tc>
        <w:tc>
          <w:tcPr/>
          <w:p>
            <w:pPr>
              <w:pStyle w:val="Compact"/>
              <w:jc w:val="right"/>
            </w:pPr>
            <w:r>
              <w:t xml:space="preserve">Cal.P</w:t>
            </w:r>
          </w:p>
        </w:tc>
        <w:tc>
          <w:tcPr/>
          <w:p>
            <w:pPr>
              <w:pStyle w:val="Compact"/>
              <w:jc w:val="right"/>
            </w:pPr>
            <w:r>
              <w:t xml:space="preserve">BAFhat</w:t>
            </w:r>
          </w:p>
        </w:tc>
        <w:tc>
          <w:tcPr/>
          <w:p>
            <w:pPr>
              <w:pStyle w:val="Compact"/>
              <w:jc w:val="right"/>
            </w:pPr>
            <w:r>
              <w:t xml:space="preserve">BAF.lo</w:t>
            </w:r>
          </w:p>
        </w:tc>
        <w:tc>
          <w:tcPr/>
          <w:p>
            <w:pPr>
              <w:pStyle w:val="Compact"/>
              <w:jc w:val="right"/>
            </w:pPr>
            <w:r>
              <w:t xml:space="preserve">BAF.hi</w:t>
            </w:r>
          </w:p>
        </w:tc>
        <w:tc>
          <w:tcPr/>
          <w:p>
            <w:pPr>
              <w:pStyle w:val="Compact"/>
              <w:jc w:val="right"/>
            </w:pPr>
            <w:r>
              <w:t xml:space="preserve">p.bias.dom</w:t>
            </w:r>
          </w:p>
        </w:tc>
        <w:tc>
          <w:tcPr/>
          <w:p>
            <w:pPr>
              <w:pStyle w:val="Compact"/>
              <w:jc w:val="left"/>
            </w:pPr>
            <w:r>
              <w:t xml:space="preserve">Verdict</w:t>
            </w:r>
          </w:p>
        </w:tc>
      </w:tr>
      <w:tr>
        <w:tc>
          <w:tcPr/>
          <w:p>
            <w:pPr>
              <w:pStyle w:val="Compact"/>
              <w:jc w:val="left"/>
            </w:pPr>
            <w:r>
              <w:t xml:space="preserve">Beta-blocker &gt;=50% target dose</w:t>
            </w:r>
          </w:p>
        </w:tc>
        <w:tc>
          <w:tcPr/>
          <w:p>
            <w:pPr>
              <w:pStyle w:val="Compact"/>
              <w:jc w:val="right"/>
            </w:pPr>
            <w:r>
              <w:t xml:space="preserve">0.831</w:t>
            </w:r>
          </w:p>
        </w:tc>
        <w:tc>
          <w:tcPr/>
          <w:p>
            <w:pPr>
              <w:pStyle w:val="Compact"/>
              <w:jc w:val="right"/>
            </w:pPr>
            <w:r>
              <w:t xml:space="preserve">1.006</w:t>
            </w:r>
          </w:p>
        </w:tc>
        <w:tc>
          <w:tcPr/>
          <w:p>
            <w:pPr>
              <w:pStyle w:val="Compact"/>
              <w:jc w:val="right"/>
            </w:pPr>
            <w:r>
              <w:t xml:space="preserve">0.9464</w:t>
            </w:r>
          </w:p>
        </w:tc>
        <w:tc>
          <w:tcPr/>
          <w:p>
            <w:pPr>
              <w:pStyle w:val="Compact"/>
              <w:jc w:val="right"/>
            </w:pPr>
            <w:r>
              <w:t xml:space="preserve">0.907</w:t>
            </w:r>
          </w:p>
        </w:tc>
        <w:tc>
          <w:tcPr/>
          <w:p>
            <w:pPr>
              <w:pStyle w:val="Compact"/>
              <w:jc w:val="right"/>
            </w:pPr>
            <w:r>
              <w:t xml:space="preserve">0.739</w:t>
            </w:r>
          </w:p>
        </w:tc>
        <w:tc>
          <w:tcPr/>
          <w:p>
            <w:pPr>
              <w:pStyle w:val="Compact"/>
              <w:jc w:val="right"/>
            </w:pPr>
            <w:r>
              <w:t xml:space="preserve">0.993</w:t>
            </w:r>
          </w:p>
        </w:tc>
        <w:tc>
          <w:tcPr/>
          <w:p>
            <w:pPr>
              <w:pStyle w:val="Compact"/>
              <w:jc w:val="right"/>
            </w:pPr>
            <w:r>
              <w:t xml:space="preserve">0.997</w:t>
            </w:r>
          </w:p>
        </w:tc>
        <w:tc>
          <w:tcPr/>
          <w:p>
            <w:pPr>
              <w:pStyle w:val="Compact"/>
              <w:jc w:val="left"/>
            </w:pPr>
            <w:r>
              <w:t xml:space="preserve">not usable as effect evidence</w:t>
            </w:r>
          </w:p>
        </w:tc>
      </w:tr>
      <w:tr>
        <w:tc>
          <w:tcPr/>
          <w:p>
            <w:pPr>
              <w:pStyle w:val="Compact"/>
              <w:jc w:val="left"/>
            </w:pPr>
            <w:r>
              <w:t xml:space="preserve">GDMT &gt;=2 of 3 classes</w:t>
            </w:r>
          </w:p>
        </w:tc>
        <w:tc>
          <w:tcPr/>
          <w:p>
            <w:pPr>
              <w:pStyle w:val="Compact"/>
              <w:jc w:val="right"/>
            </w:pPr>
            <w:r>
              <w:t xml:space="preserve">0.682</w:t>
            </w:r>
          </w:p>
        </w:tc>
        <w:tc>
          <w:tcPr/>
          <w:p>
            <w:pPr>
              <w:pStyle w:val="Compact"/>
              <w:jc w:val="right"/>
            </w:pPr>
            <w:r>
              <w:t xml:space="preserve">0.825</w:t>
            </w:r>
          </w:p>
        </w:tc>
        <w:tc>
          <w:tcPr/>
          <w:p>
            <w:pPr>
              <w:pStyle w:val="Compact"/>
              <w:jc w:val="right"/>
            </w:pPr>
            <w:r>
              <w:t xml:space="preserve">0.0452</w:t>
            </w:r>
          </w:p>
        </w:tc>
        <w:tc>
          <w:tcPr/>
          <w:p>
            <w:pPr>
              <w:pStyle w:val="Compact"/>
              <w:jc w:val="right"/>
            </w:pPr>
            <w:r>
              <w:t xml:space="preserve">0.510</w:t>
            </w:r>
          </w:p>
        </w:tc>
        <w:tc>
          <w:tcPr/>
          <w:p>
            <w:pPr>
              <w:pStyle w:val="Compact"/>
              <w:jc w:val="right"/>
            </w:pPr>
            <w:r>
              <w:t xml:space="preserve">0.356</w:t>
            </w:r>
          </w:p>
        </w:tc>
        <w:tc>
          <w:tcPr/>
          <w:p>
            <w:pPr>
              <w:pStyle w:val="Compact"/>
              <w:jc w:val="right"/>
            </w:pPr>
            <w:r>
              <w:t xml:space="preserve">0.603</w:t>
            </w:r>
          </w:p>
        </w:tc>
        <w:tc>
          <w:tcPr/>
          <w:p>
            <w:pPr>
              <w:pStyle w:val="Compact"/>
              <w:jc w:val="right"/>
            </w:pPr>
            <w:r>
              <w:t xml:space="preserve">0.648</w:t>
            </w:r>
          </w:p>
        </w:tc>
        <w:tc>
          <w:tcPr/>
          <w:p>
            <w:pPr>
              <w:pStyle w:val="Compact"/>
              <w:jc w:val="left"/>
            </w:pPr>
            <w:r>
              <w:t xml:space="preserve">competitive, no verdict</w:t>
            </w:r>
          </w:p>
        </w:tc>
      </w:tr>
    </w:tbl>
    <w:bookmarkEnd w:id="26"/>
    <w:bookmarkStart w:id="27" w:name="s4.3-sensitivity-analyses-question-1"/>
    <w:p>
      <w:pPr>
        <w:pStyle w:val="Heading3"/>
      </w:pPr>
      <w:r>
        <w:t xml:space="preserve">S4.3 Sensitivity analyses (question 1)</w:t>
      </w:r>
    </w:p>
    <w:p>
      <w:pPr>
        <w:pStyle w:val="FirstParagraph"/>
      </w:pPr>
      <w:r>
        <w:t xml:space="preserve">Leave-one-out across the 12 negative controls gave BAF̂ ranging from 0.891 to 0.990 (fall-back BAF̂ = 0.984). Replacement of the Super Learner library gave BAF̂ = 0.901 (0.748 to 0.995), 0.896 (0.753 to 0.995), and 0.918 (0.718 to 0.995) under the three alternative libraries. The Gaussian-process propensity-score perturbation gave calibrated relative risk 0.995 to 1.048 and BAF̂ 0.801 to 0.976. All sensitivity analyses preserved the</w:t>
      </w:r>
      <w:r>
        <w:t xml:space="preserve"> </w:t>
      </w:r>
      <w:r>
        <w:t xml:space="preserve">“not usable as effect evidence”</w:t>
      </w:r>
      <w:r>
        <w:t xml:space="preserve"> </w:t>
      </w:r>
      <w:r>
        <w:t xml:space="preserve">verdict for question 1 and the</w:t>
      </w:r>
      <w:r>
        <w:t xml:space="preserve"> </w:t>
      </w:r>
      <w:r>
        <w:t xml:space="preserve">“competitive, no verdict”</w:t>
      </w:r>
      <w:r>
        <w:t xml:space="preserve"> </w:t>
      </w:r>
      <w:r>
        <w:t xml:space="preserve">zone for question 2.</w:t>
      </w:r>
    </w:p>
    <w:p>
      <w:r>
        <w:pict>
          <v:rect style="width:0;height:1.5pt" o:hralign="center" o:hrstd="t" o:hr="t"/>
        </w:pict>
      </w:r>
    </w:p>
    <w:bookmarkEnd w:id="27"/>
    <w:bookmarkEnd w:id="28"/>
    <w:bookmarkStart w:id="32" w:name="Xc63684cfc8ba688e420e9fe28b180a2b2b7cf8a"/>
    <w:p>
      <w:pPr>
        <w:pStyle w:val="Heading2"/>
      </w:pPr>
      <w:r>
        <w:t xml:space="preserve">S5. Additional sensitivity and validation analyses</w:t>
      </w:r>
    </w:p>
    <w:bookmarkStart w:id="29" w:name="Xa0041dee273ed34a7061ee23a3f797a721a0289"/>
    <w:p>
      <w:pPr>
        <w:pStyle w:val="Heading3"/>
      </w:pPr>
      <w:r>
        <w:t xml:space="preserve">S5.1 Held-out validation of the lookup table</w:t>
      </w:r>
    </w:p>
    <w:p>
      <w:pPr>
        <w:pStyle w:val="FirstParagraph"/>
      </w:pPr>
      <w:r>
        <w:t xml:space="preserve">The lookup is built from all 960,000 repetitions and then used to score the reporting rules on the same repetitions, so its reported operating characteristics are in-sample. We bounded the resulting optimism by rebuilding the entire lookup, including the bin edges, the median half-width that separates narrow from wide intervals, and the per-bin probabilities, on training data alone, and then applying it unchanged to held-out data. Two schemes were used, each repeated across five folds. In the first, 20% of repetitions were held out within every condition, so that both training and test data span the whole factorial grid; the misuse rate of every rule was then unchanged to two decimal places, which supports the argument that at least 1,000 repetitions per cell makes the in-sample optimism negligible when only repetitions are swapped. In the second, 20% of the 960 conditions were held out entirely, which additionally tests grid cells that never contributed to the lookup; the share declared usable was essentially unchanged, and the misuse rate of the strictest rule (R4) rose from 2.2% to 2.4%, the largest excursion across the five folds being 4.1% and the largest increase for any rule 0.23 percentage points (Table S10). Generalisation to unseen cells therefore costs little, but it is not free, and the ordering of the rules is preserved.</w:t>
      </w:r>
    </w:p>
    <w:p>
      <w:pPr>
        <w:pStyle w:val="TableCaption"/>
      </w:pPr>
      <w:r>
        <w:t xml:space="preserve">Table S10. Five-fold held-out validation of the BAF reliability lookup, for the seven reporting rules of Table 4. The lookup, including its bin edges, its median half-width, and its per-bin probabilities, was rebuilt on training data only and applied unchanged to the held-out data; the training columns report its performance on the data used to build it, so the gap between the training and test columns is the in-sample optimism. Misuse is the share of repetitions declared usable that were in truth bias-dominated.</w:t>
      </w:r>
    </w:p>
    <w:tbl>
      <w:tblPr>
        <w:tblStyle w:val="Table"/>
        <w:tblW w:type="pct" w:w="5000"/>
        <w:tblLayout w:type="fixed"/>
        <w:tblLook w:firstRow="1" w:lastRow="0" w:firstColumn="0" w:lastColumn="0" w:noHBand="0" w:noVBand="0" w:val="0020"/>
        <w:tblCaption w:val="Table S10. Five-fold held-out validation of the BAF reliability lookup, for the seven reporting rules of Table 4. The lookup, including its bin edges, its median half-width, and its per-bin probabilities, was rebuilt on training data only and applied unchanged to the held-out data; the training columns report its performance on the data used to build it, so the gap between the training and test columns is the in-sample optimism. Misuse is the share of repetitions declared usable that were in truth bias-dominated."/>
      </w:tblPr>
      <w:tblGrid>
        <w:gridCol w:w="1468"/>
        <w:gridCol w:w="262"/>
        <w:gridCol w:w="1573"/>
        <w:gridCol w:w="1363"/>
        <w:gridCol w:w="1101"/>
        <w:gridCol w:w="891"/>
        <w:gridCol w:w="1258"/>
      </w:tblGrid>
      <w:tr>
        <w:trPr>
          <w:tblHeader w:val="on"/>
        </w:trPr>
        <w:tc>
          <w:tcPr/>
          <w:p>
            <w:pPr>
              <w:pStyle w:val="Compact"/>
              <w:jc w:val="left"/>
            </w:pPr>
            <w:r>
              <w:t xml:space="preserve">Held out</w:t>
            </w:r>
          </w:p>
        </w:tc>
        <w:tc>
          <w:tcPr/>
          <w:p>
            <w:pPr>
              <w:pStyle w:val="Compact"/>
              <w:jc w:val="left"/>
            </w:pPr>
            <w:r>
              <w:t xml:space="preserve">Rule</w:t>
            </w:r>
          </w:p>
        </w:tc>
        <w:tc>
          <w:tcPr/>
          <w:p>
            <w:pPr>
              <w:pStyle w:val="Compact"/>
              <w:jc w:val="left"/>
            </w:pPr>
            <w:r>
              <w:t xml:space="preserve">Declared usable, training (%)</w:t>
            </w:r>
          </w:p>
        </w:tc>
        <w:tc>
          <w:tcPr/>
          <w:p>
            <w:pPr>
              <w:pStyle w:val="Compact"/>
              <w:jc w:val="left"/>
            </w:pPr>
            <w:r>
              <w:t xml:space="preserve">Declared usable, test (%)</w:t>
            </w:r>
          </w:p>
        </w:tc>
        <w:tc>
          <w:tcPr/>
          <w:p>
            <w:pPr>
              <w:pStyle w:val="Compact"/>
              <w:jc w:val="left"/>
            </w:pPr>
            <w:r>
              <w:t xml:space="preserve">Misuse, training (%)</w:t>
            </w:r>
          </w:p>
        </w:tc>
        <w:tc>
          <w:tcPr/>
          <w:p>
            <w:pPr>
              <w:pStyle w:val="Compact"/>
              <w:jc w:val="left"/>
            </w:pPr>
            <w:r>
              <w:t xml:space="preserve">Misuse, test (%)</w:t>
            </w:r>
          </w:p>
        </w:tc>
        <w:tc>
          <w:tcPr/>
          <w:p>
            <w:pPr>
              <w:pStyle w:val="Compact"/>
              <w:jc w:val="left"/>
            </w:pPr>
            <w:r>
              <w:t xml:space="preserve">Misuse across folds (%)</w:t>
            </w:r>
          </w:p>
        </w:tc>
      </w:tr>
      <w:tr>
        <w:tc>
          <w:tcPr/>
          <w:p>
            <w:pPr>
              <w:pStyle w:val="Compact"/>
              <w:jc w:val="left"/>
            </w:pPr>
            <w:r>
              <w:t xml:space="preserve">20% of repetitions held out</w:t>
            </w:r>
          </w:p>
        </w:tc>
        <w:tc>
          <w:tcPr/>
          <w:p>
            <w:pPr>
              <w:pStyle w:val="Compact"/>
              <w:jc w:val="left"/>
            </w:pPr>
            <w:r>
              <w:t xml:space="preserve">R0</w:t>
            </w:r>
          </w:p>
        </w:tc>
        <w:tc>
          <w:tcPr/>
          <w:p>
            <w:pPr>
              <w:pStyle w:val="Compact"/>
              <w:jc w:val="left"/>
            </w:pPr>
            <w:r>
              <w:t xml:space="preserve">9169.3%</w:t>
            </w:r>
          </w:p>
        </w:tc>
        <w:tc>
          <w:tcPr/>
          <w:p>
            <w:pPr>
              <w:pStyle w:val="Compact"/>
              <w:jc w:val="left"/>
            </w:pPr>
            <w:r>
              <w:t xml:space="preserve">9169.3%</w:t>
            </w:r>
          </w:p>
        </w:tc>
        <w:tc>
          <w:tcPr/>
          <w:p>
            <w:pPr>
              <w:pStyle w:val="Compact"/>
              <w:jc w:val="left"/>
            </w:pPr>
            <w:r>
              <w:t xml:space="preserve">5182.82%</w:t>
            </w:r>
          </w:p>
        </w:tc>
        <w:tc>
          <w:tcPr/>
          <w:p>
            <w:pPr>
              <w:pStyle w:val="Compact"/>
              <w:jc w:val="left"/>
            </w:pPr>
            <w:r>
              <w:t xml:space="preserve">5182.82%</w:t>
            </w:r>
          </w:p>
        </w:tc>
        <w:tc>
          <w:tcPr/>
          <w:p>
            <w:pPr>
              <w:pStyle w:val="Compact"/>
              <w:jc w:val="left"/>
            </w:pPr>
            <w:r>
              <w:t xml:space="preserve">51.8–51.9</w:t>
            </w:r>
          </w:p>
        </w:tc>
      </w:tr>
      <w:tr>
        <w:tc>
          <w:tcPr/>
          <w:p>
            <w:pPr>
              <w:pStyle w:val="Compact"/>
              <w:jc w:val="left"/>
            </w:pPr>
            <w:r>
              <w:t xml:space="preserve">20% of repetitions held out</w:t>
            </w:r>
          </w:p>
        </w:tc>
        <w:tc>
          <w:tcPr/>
          <w:p>
            <w:pPr>
              <w:pStyle w:val="Compact"/>
              <w:jc w:val="left"/>
            </w:pPr>
            <w:r>
              <w:t xml:space="preserve">R1</w:t>
            </w:r>
          </w:p>
        </w:tc>
        <w:tc>
          <w:tcPr/>
          <w:p>
            <w:pPr>
              <w:pStyle w:val="Compact"/>
              <w:jc w:val="left"/>
            </w:pPr>
            <w:r>
              <w:t xml:space="preserve">6187.1%</w:t>
            </w:r>
          </w:p>
        </w:tc>
        <w:tc>
          <w:tcPr/>
          <w:p>
            <w:pPr>
              <w:pStyle w:val="Compact"/>
              <w:jc w:val="left"/>
            </w:pPr>
            <w:r>
              <w:t xml:space="preserve">6187.1%</w:t>
            </w:r>
          </w:p>
        </w:tc>
        <w:tc>
          <w:tcPr/>
          <w:p>
            <w:pPr>
              <w:pStyle w:val="Compact"/>
              <w:jc w:val="left"/>
            </w:pPr>
            <w:r>
              <w:t xml:space="preserve">3603.30%</w:t>
            </w:r>
          </w:p>
        </w:tc>
        <w:tc>
          <w:tcPr/>
          <w:p>
            <w:pPr>
              <w:pStyle w:val="Compact"/>
              <w:jc w:val="left"/>
            </w:pPr>
            <w:r>
              <w:t xml:space="preserve">3603.30%</w:t>
            </w:r>
          </w:p>
        </w:tc>
        <w:tc>
          <w:tcPr/>
          <w:p>
            <w:pPr>
              <w:pStyle w:val="Compact"/>
              <w:jc w:val="left"/>
            </w:pPr>
            <w:r>
              <w:t xml:space="preserve">35.9–36.2</w:t>
            </w:r>
          </w:p>
        </w:tc>
      </w:tr>
      <w:tr>
        <w:tc>
          <w:tcPr/>
          <w:p>
            <w:pPr>
              <w:pStyle w:val="Compact"/>
              <w:jc w:val="left"/>
            </w:pPr>
            <w:r>
              <w:t xml:space="preserve">20% of repetitions held out</w:t>
            </w:r>
          </w:p>
        </w:tc>
        <w:tc>
          <w:tcPr/>
          <w:p>
            <w:pPr>
              <w:pStyle w:val="Compact"/>
              <w:jc w:val="left"/>
            </w:pPr>
            <w:r>
              <w:t xml:space="preserve">R2</w:t>
            </w:r>
          </w:p>
        </w:tc>
        <w:tc>
          <w:tcPr/>
          <w:p>
            <w:pPr>
              <w:pStyle w:val="Compact"/>
              <w:jc w:val="left"/>
            </w:pPr>
            <w:r>
              <w:t xml:space="preserve">4722.0%</w:t>
            </w:r>
          </w:p>
        </w:tc>
        <w:tc>
          <w:tcPr/>
          <w:p>
            <w:pPr>
              <w:pStyle w:val="Compact"/>
              <w:jc w:val="left"/>
            </w:pPr>
            <w:r>
              <w:t xml:space="preserve">4722.0%</w:t>
            </w:r>
          </w:p>
        </w:tc>
        <w:tc>
          <w:tcPr/>
          <w:p>
            <w:pPr>
              <w:pStyle w:val="Compact"/>
              <w:jc w:val="left"/>
            </w:pPr>
            <w:r>
              <w:t xml:space="preserve">2020.77%</w:t>
            </w:r>
          </w:p>
        </w:tc>
        <w:tc>
          <w:tcPr/>
          <w:p>
            <w:pPr>
              <w:pStyle w:val="Compact"/>
              <w:jc w:val="left"/>
            </w:pPr>
            <w:r>
              <w:t xml:space="preserve">2020.76%</w:t>
            </w:r>
          </w:p>
        </w:tc>
        <w:tc>
          <w:tcPr/>
          <w:p>
            <w:pPr>
              <w:pStyle w:val="Compact"/>
              <w:jc w:val="left"/>
            </w:pPr>
            <w:r>
              <w:t xml:space="preserve">19.9–20.3</w:t>
            </w:r>
          </w:p>
        </w:tc>
      </w:tr>
      <w:tr>
        <w:tc>
          <w:tcPr/>
          <w:p>
            <w:pPr>
              <w:pStyle w:val="Compact"/>
              <w:jc w:val="left"/>
            </w:pPr>
            <w:r>
              <w:t xml:space="preserve">20% of repetitions held out</w:t>
            </w:r>
          </w:p>
        </w:tc>
        <w:tc>
          <w:tcPr/>
          <w:p>
            <w:pPr>
              <w:pStyle w:val="Compact"/>
              <w:jc w:val="left"/>
            </w:pPr>
            <w:r>
              <w:t xml:space="preserve">R3</w:t>
            </w:r>
          </w:p>
        </w:tc>
        <w:tc>
          <w:tcPr/>
          <w:p>
            <w:pPr>
              <w:pStyle w:val="Compact"/>
              <w:jc w:val="left"/>
            </w:pPr>
            <w:r>
              <w:t xml:space="preserve">2985.3%</w:t>
            </w:r>
          </w:p>
        </w:tc>
        <w:tc>
          <w:tcPr/>
          <w:p>
            <w:pPr>
              <w:pStyle w:val="Compact"/>
              <w:jc w:val="left"/>
            </w:pPr>
            <w:r>
              <w:t xml:space="preserve">2985.3%</w:t>
            </w:r>
          </w:p>
        </w:tc>
        <w:tc>
          <w:tcPr/>
          <w:p>
            <w:pPr>
              <w:pStyle w:val="Compact"/>
              <w:jc w:val="left"/>
            </w:pPr>
            <w:r>
              <w:t xml:space="preserve">744.48%</w:t>
            </w:r>
          </w:p>
        </w:tc>
        <w:tc>
          <w:tcPr/>
          <w:p>
            <w:pPr>
              <w:pStyle w:val="Compact"/>
              <w:jc w:val="left"/>
            </w:pPr>
            <w:r>
              <w:t xml:space="preserve">744.46%</w:t>
            </w:r>
          </w:p>
        </w:tc>
        <w:tc>
          <w:tcPr/>
          <w:p>
            <w:pPr>
              <w:pStyle w:val="Compact"/>
              <w:jc w:val="left"/>
            </w:pPr>
            <w:r>
              <w:t xml:space="preserve">7.2–7.6</w:t>
            </w:r>
          </w:p>
        </w:tc>
      </w:tr>
      <w:tr>
        <w:tc>
          <w:tcPr/>
          <w:p>
            <w:pPr>
              <w:pStyle w:val="Compact"/>
              <w:jc w:val="left"/>
            </w:pPr>
            <w:r>
              <w:t xml:space="preserve">20% of repetitions held out</w:t>
            </w:r>
          </w:p>
        </w:tc>
        <w:tc>
          <w:tcPr/>
          <w:p>
            <w:pPr>
              <w:pStyle w:val="Compact"/>
              <w:jc w:val="left"/>
            </w:pPr>
            <w:r>
              <w:t xml:space="preserve">R4</w:t>
            </w:r>
          </w:p>
        </w:tc>
        <w:tc>
          <w:tcPr/>
          <w:p>
            <w:pPr>
              <w:pStyle w:val="Compact"/>
              <w:jc w:val="left"/>
            </w:pPr>
            <w:r>
              <w:t xml:space="preserve">2145.5%</w:t>
            </w:r>
          </w:p>
        </w:tc>
        <w:tc>
          <w:tcPr/>
          <w:p>
            <w:pPr>
              <w:pStyle w:val="Compact"/>
              <w:jc w:val="left"/>
            </w:pPr>
            <w:r>
              <w:t xml:space="preserve">2145.5%</w:t>
            </w:r>
          </w:p>
        </w:tc>
        <w:tc>
          <w:tcPr/>
          <w:p>
            <w:pPr>
              <w:pStyle w:val="Compact"/>
              <w:jc w:val="left"/>
            </w:pPr>
            <w:r>
              <w:t xml:space="preserve">290.26%</w:t>
            </w:r>
          </w:p>
        </w:tc>
        <w:tc>
          <w:tcPr/>
          <w:p>
            <w:pPr>
              <w:pStyle w:val="Compact"/>
              <w:jc w:val="left"/>
            </w:pPr>
            <w:r>
              <w:t xml:space="preserve">290.10%</w:t>
            </w:r>
          </w:p>
        </w:tc>
        <w:tc>
          <w:tcPr/>
          <w:p>
            <w:pPr>
              <w:pStyle w:val="Compact"/>
              <w:jc w:val="left"/>
            </w:pPr>
            <w:r>
              <w:t xml:space="preserve">2.8–3.0</w:t>
            </w:r>
          </w:p>
        </w:tc>
      </w:tr>
      <w:tr>
        <w:tc>
          <w:tcPr/>
          <w:p>
            <w:pPr>
              <w:pStyle w:val="Compact"/>
              <w:jc w:val="left"/>
            </w:pPr>
            <w:r>
              <w:t xml:space="preserve">20% of repetitions held out</w:t>
            </w:r>
          </w:p>
        </w:tc>
        <w:tc>
          <w:tcPr/>
          <w:p>
            <w:pPr>
              <w:pStyle w:val="Compact"/>
              <w:jc w:val="left"/>
            </w:pPr>
            <w:r>
              <w:t xml:space="preserve">C1</w:t>
            </w:r>
          </w:p>
        </w:tc>
        <w:tc>
          <w:tcPr/>
          <w:p>
            <w:pPr>
              <w:pStyle w:val="Compact"/>
              <w:jc w:val="left"/>
            </w:pPr>
            <w:r>
              <w:t xml:space="preserve">5619.6%</w:t>
            </w:r>
          </w:p>
        </w:tc>
        <w:tc>
          <w:tcPr/>
          <w:p>
            <w:pPr>
              <w:pStyle w:val="Compact"/>
              <w:jc w:val="left"/>
            </w:pPr>
            <w:r>
              <w:t xml:space="preserve">5619.6%</w:t>
            </w:r>
          </w:p>
        </w:tc>
        <w:tc>
          <w:tcPr/>
          <w:p>
            <w:pPr>
              <w:pStyle w:val="Compact"/>
              <w:jc w:val="left"/>
            </w:pPr>
            <w:r>
              <w:t xml:space="preserve">2316.48%</w:t>
            </w:r>
          </w:p>
        </w:tc>
        <w:tc>
          <w:tcPr/>
          <w:p>
            <w:pPr>
              <w:pStyle w:val="Compact"/>
              <w:jc w:val="left"/>
            </w:pPr>
            <w:r>
              <w:t xml:space="preserve">2316.47%</w:t>
            </w:r>
          </w:p>
        </w:tc>
        <w:tc>
          <w:tcPr/>
          <w:p>
            <w:pPr>
              <w:pStyle w:val="Compact"/>
              <w:jc w:val="left"/>
            </w:pPr>
            <w:r>
              <w:t xml:space="preserve">22.9–23.3</w:t>
            </w:r>
          </w:p>
        </w:tc>
      </w:tr>
      <w:tr>
        <w:tc>
          <w:tcPr/>
          <w:p>
            <w:pPr>
              <w:pStyle w:val="Compact"/>
              <w:jc w:val="left"/>
            </w:pPr>
            <w:r>
              <w:t xml:space="preserve">20% of repetitions held out</w:t>
            </w:r>
          </w:p>
        </w:tc>
        <w:tc>
          <w:tcPr/>
          <w:p>
            <w:pPr>
              <w:pStyle w:val="Compact"/>
              <w:jc w:val="left"/>
            </w:pPr>
            <w:r>
              <w:t xml:space="preserve">C2</w:t>
            </w:r>
          </w:p>
        </w:tc>
        <w:tc>
          <w:tcPr/>
          <w:p>
            <w:pPr>
              <w:pStyle w:val="Compact"/>
              <w:jc w:val="left"/>
            </w:pPr>
            <w:r>
              <w:t xml:space="preserve">3192.1%</w:t>
            </w:r>
          </w:p>
        </w:tc>
        <w:tc>
          <w:tcPr/>
          <w:p>
            <w:pPr>
              <w:pStyle w:val="Compact"/>
              <w:jc w:val="left"/>
            </w:pPr>
            <w:r>
              <w:t xml:space="preserve">3192.1%</w:t>
            </w:r>
          </w:p>
        </w:tc>
        <w:tc>
          <w:tcPr/>
          <w:p>
            <w:pPr>
              <w:pStyle w:val="Compact"/>
              <w:jc w:val="left"/>
            </w:pPr>
            <w:r>
              <w:t xml:space="preserve">859.65%</w:t>
            </w:r>
          </w:p>
        </w:tc>
        <w:tc>
          <w:tcPr/>
          <w:p>
            <w:pPr>
              <w:pStyle w:val="Compact"/>
              <w:jc w:val="left"/>
            </w:pPr>
            <w:r>
              <w:t xml:space="preserve">859.63%</w:t>
            </w:r>
          </w:p>
        </w:tc>
        <w:tc>
          <w:tcPr/>
          <w:p>
            <w:pPr>
              <w:pStyle w:val="Compact"/>
              <w:jc w:val="left"/>
            </w:pPr>
            <w:r>
              <w:t xml:space="preserve">8.4–8.8</w:t>
            </w:r>
          </w:p>
        </w:tc>
      </w:tr>
      <w:tr>
        <w:tc>
          <w:tcPr/>
          <w:p>
            <w:pPr>
              <w:pStyle w:val="Compact"/>
              <w:jc w:val="left"/>
            </w:pPr>
            <w:r>
              <w:t xml:space="preserve">20% of conditions held out</w:t>
            </w:r>
          </w:p>
        </w:tc>
        <w:tc>
          <w:tcPr/>
          <w:p>
            <w:pPr>
              <w:pStyle w:val="Compact"/>
              <w:jc w:val="left"/>
            </w:pPr>
            <w:r>
              <w:t xml:space="preserve">R0</w:t>
            </w:r>
          </w:p>
        </w:tc>
        <w:tc>
          <w:tcPr/>
          <w:p>
            <w:pPr>
              <w:pStyle w:val="Compact"/>
              <w:jc w:val="left"/>
            </w:pPr>
            <w:r>
              <w:t xml:space="preserve">9169.3%</w:t>
            </w:r>
          </w:p>
        </w:tc>
        <w:tc>
          <w:tcPr/>
          <w:p>
            <w:pPr>
              <w:pStyle w:val="Compact"/>
              <w:jc w:val="left"/>
            </w:pPr>
            <w:r>
              <w:t xml:space="preserve">9169.3%</w:t>
            </w:r>
          </w:p>
        </w:tc>
        <w:tc>
          <w:tcPr/>
          <w:p>
            <w:pPr>
              <w:pStyle w:val="Compact"/>
              <w:jc w:val="left"/>
            </w:pPr>
            <w:r>
              <w:t xml:space="preserve">5182.88%</w:t>
            </w:r>
          </w:p>
        </w:tc>
        <w:tc>
          <w:tcPr/>
          <w:p>
            <w:pPr>
              <w:pStyle w:val="Compact"/>
              <w:jc w:val="left"/>
            </w:pPr>
            <w:r>
              <w:t xml:space="preserve">5183.82%</w:t>
            </w:r>
          </w:p>
        </w:tc>
        <w:tc>
          <w:tcPr/>
          <w:p>
            <w:pPr>
              <w:pStyle w:val="Compact"/>
              <w:jc w:val="left"/>
            </w:pPr>
            <w:r>
              <w:t xml:space="preserve">46.9–57.1</w:t>
            </w:r>
          </w:p>
        </w:tc>
      </w:tr>
      <w:tr>
        <w:tc>
          <w:tcPr/>
          <w:p>
            <w:pPr>
              <w:pStyle w:val="Compact"/>
              <w:jc w:val="left"/>
            </w:pPr>
            <w:r>
              <w:t xml:space="preserve">20% of conditions held out</w:t>
            </w:r>
          </w:p>
        </w:tc>
        <w:tc>
          <w:tcPr/>
          <w:p>
            <w:pPr>
              <w:pStyle w:val="Compact"/>
              <w:jc w:val="left"/>
            </w:pPr>
            <w:r>
              <w:t xml:space="preserve">R1</w:t>
            </w:r>
          </w:p>
        </w:tc>
        <w:tc>
          <w:tcPr/>
          <w:p>
            <w:pPr>
              <w:pStyle w:val="Compact"/>
              <w:jc w:val="left"/>
            </w:pPr>
            <w:r>
              <w:t xml:space="preserve">6187.1%</w:t>
            </w:r>
          </w:p>
        </w:tc>
        <w:tc>
          <w:tcPr/>
          <w:p>
            <w:pPr>
              <w:pStyle w:val="Compact"/>
              <w:jc w:val="left"/>
            </w:pPr>
            <w:r>
              <w:t xml:space="preserve">6187.1%</w:t>
            </w:r>
          </w:p>
        </w:tc>
        <w:tc>
          <w:tcPr/>
          <w:p>
            <w:pPr>
              <w:pStyle w:val="Compact"/>
              <w:jc w:val="left"/>
            </w:pPr>
            <w:r>
              <w:t xml:space="preserve">3603.81%</w:t>
            </w:r>
          </w:p>
        </w:tc>
        <w:tc>
          <w:tcPr/>
          <w:p>
            <w:pPr>
              <w:pStyle w:val="Compact"/>
              <w:jc w:val="left"/>
            </w:pPr>
            <w:r>
              <w:t xml:space="preserve">3611.41%</w:t>
            </w:r>
          </w:p>
        </w:tc>
        <w:tc>
          <w:tcPr/>
          <w:p>
            <w:pPr>
              <w:pStyle w:val="Compact"/>
              <w:jc w:val="left"/>
            </w:pPr>
            <w:r>
              <w:t xml:space="preserve">32.0–39.0</w:t>
            </w:r>
          </w:p>
        </w:tc>
      </w:tr>
      <w:tr>
        <w:tc>
          <w:tcPr/>
          <w:p>
            <w:pPr>
              <w:pStyle w:val="Compact"/>
              <w:jc w:val="left"/>
            </w:pPr>
            <w:r>
              <w:t xml:space="preserve">20% of conditions held out</w:t>
            </w:r>
          </w:p>
        </w:tc>
        <w:tc>
          <w:tcPr/>
          <w:p>
            <w:pPr>
              <w:pStyle w:val="Compact"/>
              <w:jc w:val="left"/>
            </w:pPr>
            <w:r>
              <w:t xml:space="preserve">R2</w:t>
            </w:r>
          </w:p>
        </w:tc>
        <w:tc>
          <w:tcPr/>
          <w:p>
            <w:pPr>
              <w:pStyle w:val="Compact"/>
              <w:jc w:val="left"/>
            </w:pPr>
            <w:r>
              <w:t xml:space="preserve">4722.0%</w:t>
            </w:r>
          </w:p>
        </w:tc>
        <w:tc>
          <w:tcPr/>
          <w:p>
            <w:pPr>
              <w:pStyle w:val="Compact"/>
              <w:jc w:val="left"/>
            </w:pPr>
            <w:r>
              <w:t xml:space="preserve">4722.0%</w:t>
            </w:r>
          </w:p>
        </w:tc>
        <w:tc>
          <w:tcPr/>
          <w:p>
            <w:pPr>
              <w:pStyle w:val="Compact"/>
              <w:jc w:val="left"/>
            </w:pPr>
            <w:r>
              <w:t xml:space="preserve">2021.25%</w:t>
            </w:r>
          </w:p>
        </w:tc>
        <w:tc>
          <w:tcPr/>
          <w:p>
            <w:pPr>
              <w:pStyle w:val="Compact"/>
              <w:jc w:val="left"/>
            </w:pPr>
            <w:r>
              <w:t xml:space="preserve">2028.74%</w:t>
            </w:r>
          </w:p>
        </w:tc>
        <w:tc>
          <w:tcPr/>
          <w:p>
            <w:pPr>
              <w:pStyle w:val="Compact"/>
              <w:jc w:val="left"/>
            </w:pPr>
            <w:r>
              <w:t xml:space="preserve">15.3–23.1</w:t>
            </w:r>
          </w:p>
        </w:tc>
      </w:tr>
      <w:tr>
        <w:tc>
          <w:tcPr/>
          <w:p>
            <w:pPr>
              <w:pStyle w:val="Compact"/>
              <w:jc w:val="left"/>
            </w:pPr>
            <w:r>
              <w:t xml:space="preserve">20% of conditions held out</w:t>
            </w:r>
          </w:p>
        </w:tc>
        <w:tc>
          <w:tcPr/>
          <w:p>
            <w:pPr>
              <w:pStyle w:val="Compact"/>
              <w:jc w:val="left"/>
            </w:pPr>
            <w:r>
              <w:t xml:space="preserve">R3</w:t>
            </w:r>
          </w:p>
        </w:tc>
        <w:tc>
          <w:tcPr/>
          <w:p>
            <w:pPr>
              <w:pStyle w:val="Compact"/>
              <w:jc w:val="left"/>
            </w:pPr>
            <w:r>
              <w:t xml:space="preserve">2985.3%</w:t>
            </w:r>
          </w:p>
        </w:tc>
        <w:tc>
          <w:tcPr/>
          <w:p>
            <w:pPr>
              <w:pStyle w:val="Compact"/>
              <w:jc w:val="left"/>
            </w:pPr>
            <w:r>
              <w:t xml:space="preserve">2985.3%</w:t>
            </w:r>
          </w:p>
        </w:tc>
        <w:tc>
          <w:tcPr/>
          <w:p>
            <w:pPr>
              <w:pStyle w:val="Compact"/>
              <w:jc w:val="left"/>
            </w:pPr>
            <w:r>
              <w:t xml:space="preserve">745.13%</w:t>
            </w:r>
          </w:p>
        </w:tc>
        <w:tc>
          <w:tcPr/>
          <w:p>
            <w:pPr>
              <w:pStyle w:val="Compact"/>
              <w:jc w:val="left"/>
            </w:pPr>
            <w:r>
              <w:t xml:space="preserve">755.26%</w:t>
            </w:r>
          </w:p>
        </w:tc>
        <w:tc>
          <w:tcPr/>
          <w:p>
            <w:pPr>
              <w:pStyle w:val="Compact"/>
              <w:jc w:val="left"/>
            </w:pPr>
            <w:r>
              <w:t xml:space="preserve">5.5–9.7</w:t>
            </w:r>
          </w:p>
        </w:tc>
      </w:tr>
      <w:tr>
        <w:tc>
          <w:tcPr/>
          <w:p>
            <w:pPr>
              <w:pStyle w:val="Compact"/>
              <w:jc w:val="left"/>
            </w:pPr>
            <w:r>
              <w:t xml:space="preserve">20% of conditions held out</w:t>
            </w:r>
          </w:p>
        </w:tc>
        <w:tc>
          <w:tcPr/>
          <w:p>
            <w:pPr>
              <w:pStyle w:val="Compact"/>
              <w:jc w:val="left"/>
            </w:pPr>
            <w:r>
              <w:t xml:space="preserve">R4</w:t>
            </w:r>
          </w:p>
        </w:tc>
        <w:tc>
          <w:tcPr/>
          <w:p>
            <w:pPr>
              <w:pStyle w:val="Compact"/>
              <w:jc w:val="left"/>
            </w:pPr>
            <w:r>
              <w:t xml:space="preserve">1867.7%</w:t>
            </w:r>
          </w:p>
        </w:tc>
        <w:tc>
          <w:tcPr/>
          <w:p>
            <w:pPr>
              <w:pStyle w:val="Compact"/>
              <w:jc w:val="left"/>
            </w:pPr>
            <w:r>
              <w:t xml:space="preserve">1841.3%</w:t>
            </w:r>
          </w:p>
        </w:tc>
        <w:tc>
          <w:tcPr/>
          <w:p>
            <w:pPr>
              <w:pStyle w:val="Compact"/>
              <w:jc w:val="left"/>
            </w:pPr>
            <w:r>
              <w:t xml:space="preserve">221.72%</w:t>
            </w:r>
          </w:p>
        </w:tc>
        <w:tc>
          <w:tcPr/>
          <w:p>
            <w:pPr>
              <w:pStyle w:val="Compact"/>
              <w:jc w:val="left"/>
            </w:pPr>
            <w:r>
              <w:t xml:space="preserve">244.37%</w:t>
            </w:r>
          </w:p>
        </w:tc>
        <w:tc>
          <w:tcPr/>
          <w:p>
            <w:pPr>
              <w:pStyle w:val="Compact"/>
              <w:jc w:val="left"/>
            </w:pPr>
            <w:r>
              <w:t xml:space="preserve">1.1–4.1</w:t>
            </w:r>
          </w:p>
        </w:tc>
      </w:tr>
      <w:tr>
        <w:tc>
          <w:tcPr/>
          <w:p>
            <w:pPr>
              <w:pStyle w:val="Compact"/>
              <w:jc w:val="left"/>
            </w:pPr>
            <w:r>
              <w:t xml:space="preserve">20% of conditions held out</w:t>
            </w:r>
          </w:p>
        </w:tc>
        <w:tc>
          <w:tcPr/>
          <w:p>
            <w:pPr>
              <w:pStyle w:val="Compact"/>
              <w:jc w:val="left"/>
            </w:pPr>
            <w:r>
              <w:t xml:space="preserve">C1</w:t>
            </w:r>
          </w:p>
        </w:tc>
        <w:tc>
          <w:tcPr/>
          <w:p>
            <w:pPr>
              <w:pStyle w:val="Compact"/>
              <w:jc w:val="left"/>
            </w:pPr>
            <w:r>
              <w:t xml:space="preserve">5619.6%</w:t>
            </w:r>
          </w:p>
        </w:tc>
        <w:tc>
          <w:tcPr/>
          <w:p>
            <w:pPr>
              <w:pStyle w:val="Compact"/>
              <w:jc w:val="left"/>
            </w:pPr>
            <w:r>
              <w:t xml:space="preserve">5619.6%</w:t>
            </w:r>
          </w:p>
        </w:tc>
        <w:tc>
          <w:tcPr/>
          <w:p>
            <w:pPr>
              <w:pStyle w:val="Compact"/>
              <w:jc w:val="left"/>
            </w:pPr>
            <w:r>
              <w:t xml:space="preserve">2317.19%</w:t>
            </w:r>
          </w:p>
        </w:tc>
        <w:tc>
          <w:tcPr/>
          <w:p>
            <w:pPr>
              <w:pStyle w:val="Compact"/>
              <w:jc w:val="left"/>
            </w:pPr>
            <w:r>
              <w:t xml:space="preserve">2328.39%</w:t>
            </w:r>
          </w:p>
        </w:tc>
        <w:tc>
          <w:tcPr/>
          <w:p>
            <w:pPr>
              <w:pStyle w:val="Compact"/>
              <w:jc w:val="left"/>
            </w:pPr>
            <w:r>
              <w:t xml:space="preserve">18.9–27.3</w:t>
            </w:r>
          </w:p>
        </w:tc>
      </w:tr>
      <w:tr>
        <w:tc>
          <w:tcPr/>
          <w:p>
            <w:pPr>
              <w:pStyle w:val="Compact"/>
              <w:jc w:val="left"/>
            </w:pPr>
            <w:r>
              <w:t xml:space="preserve">20% of conditions held out</w:t>
            </w:r>
          </w:p>
        </w:tc>
        <w:tc>
          <w:tcPr/>
          <w:p>
            <w:pPr>
              <w:pStyle w:val="Compact"/>
              <w:jc w:val="left"/>
            </w:pPr>
            <w:r>
              <w:t xml:space="preserve">C2</w:t>
            </w:r>
          </w:p>
        </w:tc>
        <w:tc>
          <w:tcPr/>
          <w:p>
            <w:pPr>
              <w:pStyle w:val="Compact"/>
              <w:jc w:val="left"/>
            </w:pPr>
            <w:r>
              <w:t xml:space="preserve">3192.1%</w:t>
            </w:r>
          </w:p>
        </w:tc>
        <w:tc>
          <w:tcPr/>
          <w:p>
            <w:pPr>
              <w:pStyle w:val="Compact"/>
              <w:jc w:val="left"/>
            </w:pPr>
            <w:r>
              <w:t xml:space="preserve">3192.1%</w:t>
            </w:r>
          </w:p>
        </w:tc>
        <w:tc>
          <w:tcPr/>
          <w:p>
            <w:pPr>
              <w:pStyle w:val="Compact"/>
              <w:jc w:val="left"/>
            </w:pPr>
            <w:r>
              <w:t xml:space="preserve">860.56%</w:t>
            </w:r>
          </w:p>
        </w:tc>
        <w:tc>
          <w:tcPr/>
          <w:p>
            <w:pPr>
              <w:pStyle w:val="Compact"/>
              <w:jc w:val="left"/>
            </w:pPr>
            <w:r>
              <w:t xml:space="preserve">875.27%</w:t>
            </w:r>
          </w:p>
        </w:tc>
        <w:tc>
          <w:tcPr/>
          <w:p>
            <w:pPr>
              <w:pStyle w:val="Compact"/>
              <w:jc w:val="left"/>
            </w:pPr>
            <w:r>
              <w:t xml:space="preserve">6.1–11.9</w:t>
            </w:r>
          </w:p>
        </w:tc>
      </w:tr>
    </w:tbl>
    <w:bookmarkEnd w:id="29"/>
    <w:bookmarkStart w:id="30" w:name="X59372a81562bebbfc65db02a487ca7960d45479"/>
    <w:p>
      <w:pPr>
        <w:pStyle w:val="Heading3"/>
      </w:pPr>
      <w:r>
        <w:t xml:space="preserve">S5.2 Joint propagation of empirical-null and target-estimate uncertainty</w:t>
      </w:r>
    </w:p>
    <w:p>
      <w:pPr>
        <w:pStyle w:val="FirstParagraph"/>
      </w:pPr>
      <w:r>
        <w:t xml:space="preserve">The reported credible interval propagates draws of the empirical-null mean while holding the observed target estimate fixed, so it omits the sampling variability of that estimate and undercovers. To quantify what this omission costs, we recomputed the interval with the omitted term added, drawing the calibrated target estimate from a normal distribution centred on its observed value with its own standard error. Both intervals were computed within the same repetitions, so the comparison is paired. Across the settings examined, coverage rose from 78.8% to 97.7%, the median half-width widened from 0.132 to 0.222, and the yield of the strictest interval rule fell from 24.3% to 13.2% of repetitions, with 11.2% of repetitions changing that rule’s decision (Table S11). The undercoverage reported in the main text is therefore attributable specifically to the omitted term, and the yield of the rules that consume the interval endpoints is a conservative lower bound.</w:t>
      </w:r>
    </w:p>
    <w:p>
      <w:pPr>
        <w:pStyle w:val="TableCaption"/>
      </w:pPr>
      <w:r>
        <w:t xml:space="preserve">Table S11. Interval coverage, precision, and rule performance when the sampling variability of the calibrated target estimate is propagated jointly with that of the empirical null, compared with the reported interval, which holds the target estimate fixed. Both intervals were computed within the same 64,000 repetitions, so the comparison is paired. Rule is the strictest interval rule (R3). The joint interval is wider and attains nominal coverage, at the cost of a lower yield.</w:t>
      </w:r>
    </w:p>
    <w:tbl>
      <w:tblPr>
        <w:tblStyle w:val="Table"/>
        <w:tblW w:type="pct" w:w="5000"/>
        <w:tblLayout w:type="fixed"/>
        <w:tblLook w:firstRow="1" w:lastRow="0" w:firstColumn="0" w:lastColumn="0" w:noHBand="0" w:noVBand="0" w:val="0020"/>
        <w:tblCaption w:val="Table S11. Interval coverage, precision, and rule performance when the sampling variability of the calibrated target estimate is propagated jointly with that of the empirical null, compared with the reported interval, which holds the target estimate fixed. Both intervals were computed within the same 64,000 repetitions, so the comparison is paired. Rule is the strictest interval rule (R3). The joint interval is wider and attains nominal coverage, at the cost of a lower yield."/>
      </w:tblPr>
      <w:tblGrid>
        <w:gridCol w:w="1564"/>
        <w:gridCol w:w="223"/>
        <w:gridCol w:w="734"/>
        <w:gridCol w:w="638"/>
        <w:gridCol w:w="894"/>
        <w:gridCol w:w="798"/>
        <w:gridCol w:w="798"/>
        <w:gridCol w:w="702"/>
        <w:gridCol w:w="830"/>
        <w:gridCol w:w="734"/>
      </w:tblGrid>
      <w:tr>
        <w:trPr>
          <w:tblHeader w:val="on"/>
        </w:trPr>
        <w:tc>
          <w:tcPr/>
          <w:p>
            <w:pPr>
              <w:pStyle w:val="Compact"/>
              <w:jc w:val="left"/>
            </w:pPr>
            <w:r>
              <w:t xml:space="preserve">Scope</w:t>
            </w:r>
          </w:p>
        </w:tc>
        <w:tc>
          <w:tcPr/>
          <w:p>
            <w:pPr>
              <w:pStyle w:val="Compact"/>
              <w:jc w:val="left"/>
            </w:pPr>
            <w:r>
              <w:t xml:space="preserve">N</w:t>
            </w:r>
          </w:p>
        </w:tc>
        <w:tc>
          <w:tcPr/>
          <w:p>
            <w:pPr>
              <w:pStyle w:val="Compact"/>
              <w:jc w:val="left"/>
            </w:pPr>
            <w:r>
              <w:t xml:space="preserve">Coverage, reported (%)</w:t>
            </w:r>
          </w:p>
        </w:tc>
        <w:tc>
          <w:tcPr/>
          <w:p>
            <w:pPr>
              <w:pStyle w:val="Compact"/>
              <w:jc w:val="left"/>
            </w:pPr>
            <w:r>
              <w:t xml:space="preserve">Coverage, joint (%)</w:t>
            </w:r>
          </w:p>
        </w:tc>
        <w:tc>
          <w:tcPr/>
          <w:p>
            <w:pPr>
              <w:pStyle w:val="Compact"/>
              <w:jc w:val="left"/>
            </w:pPr>
            <w:r>
              <w:t xml:space="preserve">Median half-width, reported</w:t>
            </w:r>
          </w:p>
        </w:tc>
        <w:tc>
          <w:tcPr/>
          <w:p>
            <w:pPr>
              <w:pStyle w:val="Compact"/>
              <w:jc w:val="left"/>
            </w:pPr>
            <w:r>
              <w:t xml:space="preserve">Median half-width, joint</w:t>
            </w:r>
          </w:p>
        </w:tc>
        <w:tc>
          <w:tcPr/>
          <w:p>
            <w:pPr>
              <w:pStyle w:val="Compact"/>
              <w:jc w:val="left"/>
            </w:pPr>
            <w:r>
              <w:t xml:space="preserve">Rule yield, reported (%)</w:t>
            </w:r>
          </w:p>
        </w:tc>
        <w:tc>
          <w:tcPr/>
          <w:p>
            <w:pPr>
              <w:pStyle w:val="Compact"/>
              <w:jc w:val="left"/>
            </w:pPr>
            <w:r>
              <w:t xml:space="preserve">Rule yield, joint (%)</w:t>
            </w:r>
          </w:p>
        </w:tc>
        <w:tc>
          <w:tcPr/>
          <w:p>
            <w:pPr>
              <w:pStyle w:val="Compact"/>
              <w:jc w:val="left"/>
            </w:pPr>
            <w:r>
              <w:t xml:space="preserve">Rule misuse, reported (%)</w:t>
            </w:r>
          </w:p>
        </w:tc>
        <w:tc>
          <w:tcPr/>
          <w:p>
            <w:pPr>
              <w:pStyle w:val="Compact"/>
              <w:jc w:val="left"/>
            </w:pPr>
            <w:r>
              <w:t xml:space="preserve">Rule misuse, joint (%)</w:t>
            </w:r>
          </w:p>
        </w:tc>
      </w:tr>
      <w:tr>
        <w:tc>
          <w:tcPr/>
          <w:p>
            <w:pPr>
              <w:pStyle w:val="Compact"/>
              <w:jc w:val="left"/>
            </w:pPr>
            <w:r>
              <w:t xml:space="preserve">all retained conditions (K = 12 and 50, exV = 0)</w:t>
            </w:r>
          </w:p>
        </w:tc>
        <w:tc>
          <w:tcPr/>
          <w:p>
            <w:pPr>
              <w:pStyle w:val="Compact"/>
              <w:jc w:val="left"/>
            </w:pPr>
            <w:r>
              <w:t xml:space="preserve">64,000</w:t>
            </w:r>
          </w:p>
        </w:tc>
        <w:tc>
          <w:tcPr/>
          <w:p>
            <w:pPr>
              <w:pStyle w:val="Compact"/>
              <w:jc w:val="left"/>
            </w:pPr>
            <w:r>
              <w:t xml:space="preserve">7883.9%</w:t>
            </w:r>
          </w:p>
        </w:tc>
        <w:tc>
          <w:tcPr/>
          <w:p>
            <w:pPr>
              <w:pStyle w:val="Compact"/>
              <w:jc w:val="left"/>
            </w:pPr>
            <w:r>
              <w:t xml:space="preserve">9765.0%</w:t>
            </w:r>
          </w:p>
        </w:tc>
        <w:tc>
          <w:tcPr/>
          <w:p>
            <w:pPr>
              <w:pStyle w:val="Compact"/>
              <w:jc w:val="left"/>
            </w:pPr>
            <w:r>
              <w:t xml:space="preserve">0.132</w:t>
            </w:r>
          </w:p>
        </w:tc>
        <w:tc>
          <w:tcPr/>
          <w:p>
            <w:pPr>
              <w:pStyle w:val="Compact"/>
              <w:jc w:val="left"/>
            </w:pPr>
            <w:r>
              <w:t xml:space="preserve">0.222</w:t>
            </w:r>
          </w:p>
        </w:tc>
        <w:tc>
          <w:tcPr/>
          <w:p>
            <w:pPr>
              <w:pStyle w:val="Compact"/>
              <w:jc w:val="left"/>
            </w:pPr>
            <w:r>
              <w:t xml:space="preserve">2434.5%</w:t>
            </w:r>
          </w:p>
        </w:tc>
        <w:tc>
          <w:tcPr/>
          <w:p>
            <w:pPr>
              <w:pStyle w:val="Compact"/>
              <w:jc w:val="left"/>
            </w:pPr>
            <w:r>
              <w:t xml:space="preserve">1316.2%</w:t>
            </w:r>
          </w:p>
        </w:tc>
        <w:tc>
          <w:tcPr/>
          <w:p>
            <w:pPr>
              <w:pStyle w:val="Compact"/>
              <w:jc w:val="left"/>
            </w:pPr>
            <w:r>
              <w:t xml:space="preserve">510.24%</w:t>
            </w:r>
          </w:p>
        </w:tc>
        <w:tc>
          <w:tcPr/>
          <w:p>
            <w:pPr>
              <w:pStyle w:val="Compact"/>
              <w:jc w:val="left"/>
            </w:pPr>
            <w:r>
              <w:t xml:space="preserve">56.98%</w:t>
            </w:r>
          </w:p>
        </w:tc>
      </w:tr>
      <w:tr>
        <w:tc>
          <w:tcPr/>
          <w:p>
            <w:pPr>
              <w:pStyle w:val="Compact"/>
              <w:jc w:val="left"/>
            </w:pPr>
            <w:r>
              <w:t xml:space="preserve">K = 12</w:t>
            </w:r>
          </w:p>
        </w:tc>
        <w:tc>
          <w:tcPr/>
          <w:p>
            <w:pPr>
              <w:pStyle w:val="Compact"/>
              <w:jc w:val="left"/>
            </w:pPr>
            <w:r>
              <w:t xml:space="preserve">32,000</w:t>
            </w:r>
          </w:p>
        </w:tc>
        <w:tc>
          <w:tcPr/>
          <w:p>
            <w:pPr>
              <w:pStyle w:val="Compact"/>
              <w:jc w:val="left"/>
            </w:pPr>
            <w:r>
              <w:t xml:space="preserve">9274.1%</w:t>
            </w:r>
          </w:p>
        </w:tc>
        <w:tc>
          <w:tcPr/>
          <w:p>
            <w:pPr>
              <w:pStyle w:val="Compact"/>
              <w:jc w:val="left"/>
            </w:pPr>
            <w:r>
              <w:t xml:space="preserve">9850.0%</w:t>
            </w:r>
          </w:p>
        </w:tc>
        <w:tc>
          <w:tcPr/>
          <w:p>
            <w:pPr>
              <w:pStyle w:val="Compact"/>
              <w:jc w:val="left"/>
            </w:pPr>
            <w:r>
              <w:t xml:space="preserve">0.185</w:t>
            </w:r>
          </w:p>
        </w:tc>
        <w:tc>
          <w:tcPr/>
          <w:p>
            <w:pPr>
              <w:pStyle w:val="Compact"/>
              <w:jc w:val="left"/>
            </w:pPr>
            <w:r>
              <w:t xml:space="preserve">0.247</w:t>
            </w:r>
          </w:p>
        </w:tc>
        <w:tc>
          <w:tcPr/>
          <w:p>
            <w:pPr>
              <w:pStyle w:val="Compact"/>
              <w:jc w:val="left"/>
            </w:pPr>
            <w:r>
              <w:t xml:space="preserve">1566.2%</w:t>
            </w:r>
          </w:p>
        </w:tc>
        <w:tc>
          <w:tcPr/>
          <w:p>
            <w:pPr>
              <w:pStyle w:val="Compact"/>
              <w:jc w:val="left"/>
            </w:pPr>
            <w:r>
              <w:t xml:space="preserve">925.0%</w:t>
            </w:r>
          </w:p>
        </w:tc>
        <w:tc>
          <w:tcPr/>
          <w:p>
            <w:pPr>
              <w:pStyle w:val="Compact"/>
              <w:jc w:val="left"/>
            </w:pPr>
            <w:r>
              <w:t xml:space="preserve">269.35%</w:t>
            </w:r>
          </w:p>
        </w:tc>
        <w:tc>
          <w:tcPr/>
          <w:p>
            <w:pPr>
              <w:pStyle w:val="Compact"/>
              <w:jc w:val="left"/>
            </w:pPr>
            <w:r>
              <w:t xml:space="preserve">23.65%</w:t>
            </w:r>
          </w:p>
        </w:tc>
      </w:tr>
      <w:tr>
        <w:tc>
          <w:tcPr/>
          <w:p>
            <w:pPr>
              <w:pStyle w:val="Compact"/>
              <w:jc w:val="left"/>
            </w:pPr>
            <w:r>
              <w:t xml:space="preserve">K = 50</w:t>
            </w:r>
          </w:p>
        </w:tc>
        <w:tc>
          <w:tcPr/>
          <w:p>
            <w:pPr>
              <w:pStyle w:val="Compact"/>
              <w:jc w:val="left"/>
            </w:pPr>
            <w:r>
              <w:t xml:space="preserve">32,000</w:t>
            </w:r>
          </w:p>
        </w:tc>
        <w:tc>
          <w:tcPr/>
          <w:p>
            <w:pPr>
              <w:pStyle w:val="Compact"/>
              <w:jc w:val="left"/>
            </w:pPr>
            <w:r>
              <w:t xml:space="preserve">6493.8%</w:t>
            </w:r>
          </w:p>
        </w:tc>
        <w:tc>
          <w:tcPr/>
          <w:p>
            <w:pPr>
              <w:pStyle w:val="Compact"/>
              <w:jc w:val="left"/>
            </w:pPr>
            <w:r>
              <w:t xml:space="preserve">9680.0%</w:t>
            </w:r>
          </w:p>
        </w:tc>
        <w:tc>
          <w:tcPr/>
          <w:p>
            <w:pPr>
              <w:pStyle w:val="Compact"/>
              <w:jc w:val="left"/>
            </w:pPr>
            <w:r>
              <w:t xml:space="preserve">0.077</w:t>
            </w:r>
          </w:p>
        </w:tc>
        <w:tc>
          <w:tcPr/>
          <w:p>
            <w:pPr>
              <w:pStyle w:val="Compact"/>
              <w:jc w:val="left"/>
            </w:pPr>
            <w:r>
              <w:t xml:space="preserve">0.191</w:t>
            </w:r>
          </w:p>
        </w:tc>
        <w:tc>
          <w:tcPr/>
          <w:p>
            <w:pPr>
              <w:pStyle w:val="Compact"/>
              <w:jc w:val="left"/>
            </w:pPr>
            <w:r>
              <w:t xml:space="preserve">3302.8%</w:t>
            </w:r>
          </w:p>
        </w:tc>
        <w:tc>
          <w:tcPr/>
          <w:p>
            <w:pPr>
              <w:pStyle w:val="Compact"/>
              <w:jc w:val="left"/>
            </w:pPr>
            <w:r>
              <w:t xml:space="preserve">1707.5%</w:t>
            </w:r>
          </w:p>
        </w:tc>
        <w:tc>
          <w:tcPr/>
          <w:p>
            <w:pPr>
              <w:pStyle w:val="Compact"/>
              <w:jc w:val="left"/>
            </w:pPr>
            <w:r>
              <w:t xml:space="preserve">624.47%</w:t>
            </w:r>
          </w:p>
        </w:tc>
        <w:tc>
          <w:tcPr/>
          <w:p>
            <w:pPr>
              <w:pStyle w:val="Compact"/>
              <w:jc w:val="left"/>
            </w:pPr>
            <w:r>
              <w:t xml:space="preserve">75.04%</w:t>
            </w:r>
          </w:p>
        </w:tc>
      </w:tr>
      <w:tr>
        <w:tc>
          <w:tcPr/>
          <w:p>
            <w:pPr>
              <w:pStyle w:val="Compact"/>
              <w:jc w:val="left"/>
            </w:pPr>
            <w:r>
              <w:t xml:space="preserve">sigma_psi = 0.06</w:t>
            </w:r>
          </w:p>
        </w:tc>
        <w:tc>
          <w:tcPr/>
          <w:p>
            <w:pPr>
              <w:pStyle w:val="Compact"/>
              <w:jc w:val="left"/>
            </w:pPr>
            <w:r>
              <w:t xml:space="preserve">32,000</w:t>
            </w:r>
          </w:p>
        </w:tc>
        <w:tc>
          <w:tcPr/>
          <w:p>
            <w:pPr>
              <w:pStyle w:val="Compact"/>
              <w:jc w:val="left"/>
            </w:pPr>
            <w:r>
              <w:t xml:space="preserve">8556.9%</w:t>
            </w:r>
          </w:p>
        </w:tc>
        <w:tc>
          <w:tcPr/>
          <w:p>
            <w:pPr>
              <w:pStyle w:val="Compact"/>
              <w:jc w:val="left"/>
            </w:pPr>
            <w:r>
              <w:t xml:space="preserve">9833.8%</w:t>
            </w:r>
          </w:p>
        </w:tc>
        <w:tc>
          <w:tcPr/>
          <w:p>
            <w:pPr>
              <w:pStyle w:val="Compact"/>
              <w:jc w:val="left"/>
            </w:pPr>
            <w:r>
              <w:t xml:space="preserve">0.135</w:t>
            </w:r>
          </w:p>
        </w:tc>
        <w:tc>
          <w:tcPr/>
          <w:p>
            <w:pPr>
              <w:pStyle w:val="Compact"/>
              <w:jc w:val="left"/>
            </w:pPr>
            <w:r>
              <w:t xml:space="preserve">0.194</w:t>
            </w:r>
          </w:p>
        </w:tc>
        <w:tc>
          <w:tcPr/>
          <w:p>
            <w:pPr>
              <w:pStyle w:val="Compact"/>
              <w:jc w:val="left"/>
            </w:pPr>
            <w:r>
              <w:t xml:space="preserve">2322.5%</w:t>
            </w:r>
          </w:p>
        </w:tc>
        <w:tc>
          <w:tcPr/>
          <w:p>
            <w:pPr>
              <w:pStyle w:val="Compact"/>
              <w:jc w:val="left"/>
            </w:pPr>
            <w:r>
              <w:t xml:space="preserve">1575.3%</w:t>
            </w:r>
          </w:p>
        </w:tc>
        <w:tc>
          <w:tcPr/>
          <w:p>
            <w:pPr>
              <w:pStyle w:val="Compact"/>
              <w:jc w:val="left"/>
            </w:pPr>
            <w:r>
              <w:t xml:space="preserve">197.79%</w:t>
            </w:r>
          </w:p>
        </w:tc>
        <w:tc>
          <w:tcPr/>
          <w:p>
            <w:pPr>
              <w:pStyle w:val="Compact"/>
              <w:jc w:val="left"/>
            </w:pPr>
            <w:r>
              <w:t xml:space="preserve">27.77%</w:t>
            </w:r>
          </w:p>
        </w:tc>
      </w:tr>
      <w:tr>
        <w:tc>
          <w:tcPr/>
          <w:p>
            <w:pPr>
              <w:pStyle w:val="Compact"/>
              <w:jc w:val="left"/>
            </w:pPr>
            <w:r>
              <w:t xml:space="preserve">sigma_psi = 0.10</w:t>
            </w:r>
          </w:p>
        </w:tc>
        <w:tc>
          <w:tcPr/>
          <w:p>
            <w:pPr>
              <w:pStyle w:val="Compact"/>
              <w:jc w:val="left"/>
            </w:pPr>
            <w:r>
              <w:t xml:space="preserve">32,000</w:t>
            </w:r>
          </w:p>
        </w:tc>
        <w:tc>
          <w:tcPr/>
          <w:p>
            <w:pPr>
              <w:pStyle w:val="Compact"/>
              <w:jc w:val="left"/>
            </w:pPr>
            <w:r>
              <w:t xml:space="preserve">7210.9%</w:t>
            </w:r>
          </w:p>
        </w:tc>
        <w:tc>
          <w:tcPr/>
          <w:p>
            <w:pPr>
              <w:pStyle w:val="Compact"/>
              <w:jc w:val="left"/>
            </w:pPr>
            <w:r>
              <w:t xml:space="preserve">9696.2%</w:t>
            </w:r>
          </w:p>
        </w:tc>
        <w:tc>
          <w:tcPr/>
          <w:p>
            <w:pPr>
              <w:pStyle w:val="Compact"/>
              <w:jc w:val="left"/>
            </w:pPr>
            <w:r>
              <w:t xml:space="preserve">0.129</w:t>
            </w:r>
          </w:p>
        </w:tc>
        <w:tc>
          <w:tcPr/>
          <w:p>
            <w:pPr>
              <w:pStyle w:val="Compact"/>
              <w:jc w:val="left"/>
            </w:pPr>
            <w:r>
              <w:t xml:space="preserve">0.246</w:t>
            </w:r>
          </w:p>
        </w:tc>
        <w:tc>
          <w:tcPr/>
          <w:p>
            <w:pPr>
              <w:pStyle w:val="Compact"/>
              <w:jc w:val="left"/>
            </w:pPr>
            <w:r>
              <w:t xml:space="preserve">2546.6%</w:t>
            </w:r>
          </w:p>
        </w:tc>
        <w:tc>
          <w:tcPr/>
          <w:p>
            <w:pPr>
              <w:pStyle w:val="Compact"/>
              <w:jc w:val="left"/>
            </w:pPr>
            <w:r>
              <w:t xml:space="preserve">1057.2%</w:t>
            </w:r>
          </w:p>
        </w:tc>
        <w:tc>
          <w:tcPr/>
          <w:p>
            <w:pPr>
              <w:pStyle w:val="Compact"/>
              <w:jc w:val="left"/>
            </w:pPr>
            <w:r>
              <w:t xml:space="preserve">795.19%</w:t>
            </w:r>
          </w:p>
        </w:tc>
        <w:tc>
          <w:tcPr/>
          <w:p>
            <w:pPr>
              <w:pStyle w:val="Compact"/>
              <w:jc w:val="left"/>
            </w:pPr>
            <w:r>
              <w:t xml:space="preserve">100.50%</w:t>
            </w:r>
          </w:p>
        </w:tc>
      </w:tr>
    </w:tbl>
    <w:bookmarkEnd w:id="30"/>
    <w:bookmarkStart w:id="31" w:name="X95f43ec04077c78c50360b19c4156fbf795bcc0"/>
    <w:p>
      <w:pPr>
        <w:pStyle w:val="Heading3"/>
      </w:pPr>
      <w:r>
        <w:t xml:space="preserve">S5.3 Missing-data handling for the guideline-directed medical therapy exposure</w:t>
      </w:r>
    </w:p>
    <w:p>
      <w:pPr>
        <w:pStyle w:val="FirstParagraph"/>
      </w:pPr>
      <w:r>
        <w:t xml:space="preserve">Of the 14,677 patients in the question-2 cohort, 3,494 (23.8%) had an indeterminate guideline-directed medical therapy score at baseline. The primary analysis classified them as not optimized, which is a design decision rather than a data fact. We therefore repeated the question-2 estimation under four conventions: indeterminate as suboptimal (the published analysis), complete case, indeterminate as optimized, and multiple imputation, in which the exposure was drawn from a logistic model of exposure on the ten baseline covariates and combined across ten imputations by Rubin’s rules. The target estimate moved substantially across conventions (uncalibrated relative risk 0.68 to 0.91), but the calibrated P-value never fell below .05 and no convention produced a usable determination; the bias fraction rose from 0.51 under the published convention to between 0.51 and 0.66 under the others, and three of the four conventions moved the determination to not usable as effect evidence rather than the competitive determination returned by the published convention (Table S12). The published convention is thus the most favourable of the four, so the qualitative conclusion is not an artefact of it. The negative-control panel was fitted with the exposure contrast that counts all beta-blocker agents, whereas the target estimates use the guideline-restricted contrast; refitting the panel to match widens the empirical null (SD 0.113 versus 0.068) and raises the question-2 calibrated P value above .05 (0.103 versus 0.045), so the question-2 layer-1 pass is not robust to this choice.</w:t>
      </w:r>
    </w:p>
    <w:p>
      <w:pPr>
        <w:pStyle w:val="TableCaption"/>
      </w:pPr>
      <w:r>
        <w:t xml:space="preserve">Table S12. Question 2 under four conventions for the 3,494 patients (2380.6%) with an indeterminate guideline-directed medical therapy score. The bias fraction and its credible interval are computed with the same bootstrap estimator and n_boot used for the published analysis, and the determination is read from the same lookup table, so the only quantity that varies across rows is the target estimate. The first row reproduces the published question-2 result exactly.</w:t>
      </w:r>
    </w:p>
    <w:tbl>
      <w:tblPr>
        <w:tblStyle w:val="Table"/>
        <w:tblW w:type="pct" w:w="5000"/>
        <w:tblLayout w:type="fixed"/>
        <w:tblLook w:firstRow="1" w:lastRow="0" w:firstColumn="0" w:lastColumn="0" w:noHBand="0" w:noVBand="0" w:val="0020"/>
        <w:tblCaption w:val="Table S12. Question 2 under four conventions for the 3,494 patients (2380.6%) with an indeterminate guideline-directed medical therapy score. The bias fraction and its credible interval are computed with the same bootstrap estimator and n_boot used for the published analysis, and the determination is read from the same lookup table, so the only quantity that varies across rows is the target estimate. The first row reproduces the published question-2 result exactly."/>
      </w:tblPr>
      <w:tblGrid>
        <w:gridCol w:w="1969"/>
        <w:gridCol w:w="299"/>
        <w:gridCol w:w="684"/>
        <w:gridCol w:w="984"/>
        <w:gridCol w:w="556"/>
        <w:gridCol w:w="256"/>
        <w:gridCol w:w="1113"/>
        <w:gridCol w:w="770"/>
        <w:gridCol w:w="1284"/>
      </w:tblGrid>
      <w:tr>
        <w:trPr>
          <w:tblHeader w:val="on"/>
        </w:trPr>
        <w:tc>
          <w:tcPr/>
          <w:p>
            <w:pPr>
              <w:pStyle w:val="Compact"/>
              <w:jc w:val="left"/>
            </w:pPr>
            <w:r>
              <w:t xml:space="preserve">Indeterminate exposure handled as</w:t>
            </w:r>
          </w:p>
        </w:tc>
        <w:tc>
          <w:tcPr/>
          <w:p>
            <w:pPr>
              <w:pStyle w:val="Compact"/>
              <w:jc w:val="left"/>
            </w:pPr>
            <w:r>
              <w:t xml:space="preserve">N</w:t>
            </w:r>
          </w:p>
        </w:tc>
        <w:tc>
          <w:tcPr/>
          <w:p>
            <w:pPr>
              <w:pStyle w:val="Compact"/>
              <w:jc w:val="left"/>
            </w:pPr>
            <w:r>
              <w:t xml:space="preserve">Uncalibrated RR</w:t>
            </w:r>
          </w:p>
        </w:tc>
        <w:tc>
          <w:tcPr/>
          <w:p>
            <w:pPr>
              <w:pStyle w:val="Compact"/>
              <w:jc w:val="left"/>
            </w:pPr>
            <w:r>
              <w:t xml:space="preserve">Uncalibrated RR 95% CI</w:t>
            </w:r>
          </w:p>
        </w:tc>
        <w:tc>
          <w:tcPr/>
          <w:p>
            <w:pPr>
              <w:pStyle w:val="Compact"/>
              <w:jc w:val="left"/>
            </w:pPr>
            <w:r>
              <w:t xml:space="preserve">Calibrated P</w:t>
            </w:r>
          </w:p>
        </w:tc>
        <w:tc>
          <w:tcPr/>
          <w:p>
            <w:pPr>
              <w:pStyle w:val="Compact"/>
              <w:jc w:val="left"/>
            </w:pPr>
            <w:r>
              <w:t xml:space="preserve">BAF</w:t>
            </w:r>
          </w:p>
        </w:tc>
        <w:tc>
          <w:tcPr/>
          <w:p>
            <w:pPr>
              <w:pStyle w:val="Compact"/>
              <w:jc w:val="left"/>
            </w:pPr>
            <w:r>
              <w:t xml:space="preserve">BAF 95% credible interval</w:t>
            </w:r>
          </w:p>
        </w:tc>
        <w:tc>
          <w:tcPr/>
          <w:p>
            <w:pPr>
              <w:pStyle w:val="Compact"/>
              <w:jc w:val="left"/>
            </w:pPr>
            <w:r>
              <w:t xml:space="preserve">P(bias-dominated)</w:t>
            </w:r>
          </w:p>
        </w:tc>
        <w:tc>
          <w:tcPr/>
          <w:p>
            <w:pPr>
              <w:pStyle w:val="Compact"/>
              <w:jc w:val="left"/>
            </w:pPr>
            <w:r>
              <w:t xml:space="preserve">Determination</w:t>
            </w:r>
          </w:p>
        </w:tc>
      </w:tr>
      <w:tr>
        <w:tc>
          <w:tcPr/>
          <w:p>
            <w:pPr>
              <w:pStyle w:val="Compact"/>
              <w:jc w:val="left"/>
            </w:pPr>
            <w:r>
              <w:t xml:space="preserve">indeterminate as suboptimal (published)</w:t>
            </w:r>
          </w:p>
        </w:tc>
        <w:tc>
          <w:tcPr/>
          <w:p>
            <w:pPr>
              <w:pStyle w:val="Compact"/>
              <w:jc w:val="left"/>
            </w:pPr>
            <w:r>
              <w:t xml:space="preserve">14,677</w:t>
            </w:r>
          </w:p>
        </w:tc>
        <w:tc>
          <w:tcPr/>
          <w:p>
            <w:pPr>
              <w:pStyle w:val="Compact"/>
              <w:jc w:val="left"/>
            </w:pPr>
            <w:r>
              <w:t xml:space="preserve">0.682</w:t>
            </w:r>
          </w:p>
        </w:tc>
        <w:tc>
          <w:tcPr/>
          <w:p>
            <w:pPr>
              <w:pStyle w:val="Compact"/>
              <w:jc w:val="left"/>
            </w:pPr>
            <w:r>
              <w:t xml:space="preserve">0.597–0.779</w:t>
            </w:r>
          </w:p>
        </w:tc>
        <w:tc>
          <w:tcPr/>
          <w:p>
            <w:pPr>
              <w:pStyle w:val="Compact"/>
              <w:jc w:val="left"/>
            </w:pPr>
            <w:r>
              <w:t xml:space="preserve">.0452</w:t>
            </w:r>
          </w:p>
        </w:tc>
        <w:tc>
          <w:tcPr/>
          <w:p>
            <w:pPr>
              <w:pStyle w:val="Compact"/>
              <w:jc w:val="left"/>
            </w:pPr>
            <w:r>
              <w:t xml:space="preserve">0.510</w:t>
            </w:r>
          </w:p>
        </w:tc>
        <w:tc>
          <w:tcPr/>
          <w:p>
            <w:pPr>
              <w:pStyle w:val="Compact"/>
              <w:jc w:val="left"/>
            </w:pPr>
            <w:r>
              <w:t xml:space="preserve">0.356–0.603</w:t>
            </w:r>
          </w:p>
        </w:tc>
        <w:tc>
          <w:tcPr/>
          <w:p>
            <w:pPr>
              <w:pStyle w:val="Compact"/>
              <w:jc w:val="left"/>
            </w:pPr>
            <w:r>
              <w:t xml:space="preserve">0.648</w:t>
            </w:r>
          </w:p>
        </w:tc>
        <w:tc>
          <w:tcPr/>
          <w:p>
            <w:pPr>
              <w:pStyle w:val="Compact"/>
              <w:jc w:val="left"/>
            </w:pPr>
            <w:r>
              <w:t xml:space="preserve">competitive, no verdict</w:t>
            </w:r>
          </w:p>
        </w:tc>
      </w:tr>
      <w:tr>
        <w:tc>
          <w:tcPr/>
          <w:p>
            <w:pPr>
              <w:pStyle w:val="Compact"/>
              <w:jc w:val="left"/>
            </w:pPr>
            <w:r>
              <w:t xml:space="preserve">complete case (indeterminate dropped)</w:t>
            </w:r>
          </w:p>
        </w:tc>
        <w:tc>
          <w:tcPr/>
          <w:p>
            <w:pPr>
              <w:pStyle w:val="Compact"/>
              <w:jc w:val="left"/>
            </w:pPr>
            <w:r>
              <w:t xml:space="preserve">11,183</w:t>
            </w:r>
          </w:p>
        </w:tc>
        <w:tc>
          <w:tcPr/>
          <w:p>
            <w:pPr>
              <w:pStyle w:val="Compact"/>
              <w:jc w:val="left"/>
            </w:pPr>
            <w:r>
              <w:t xml:space="preserve">0.684</w:t>
            </w:r>
          </w:p>
        </w:tc>
        <w:tc>
          <w:tcPr/>
          <w:p>
            <w:pPr>
              <w:pStyle w:val="Compact"/>
              <w:jc w:val="left"/>
            </w:pPr>
            <w:r>
              <w:t xml:space="preserve">0.602–0.777</w:t>
            </w:r>
          </w:p>
        </w:tc>
        <w:tc>
          <w:tcPr/>
          <w:p>
            <w:pPr>
              <w:pStyle w:val="Compact"/>
              <w:jc w:val="left"/>
            </w:pPr>
            <w:r>
              <w:t xml:space="preserve">.0446</w:t>
            </w:r>
          </w:p>
        </w:tc>
        <w:tc>
          <w:tcPr/>
          <w:p>
            <w:pPr>
              <w:pStyle w:val="Compact"/>
              <w:jc w:val="left"/>
            </w:pPr>
            <w:r>
              <w:t xml:space="preserve">0.514</w:t>
            </w:r>
          </w:p>
        </w:tc>
        <w:tc>
          <w:tcPr/>
          <w:p>
            <w:pPr>
              <w:pStyle w:val="Compact"/>
              <w:jc w:val="left"/>
            </w:pPr>
            <w:r>
              <w:t xml:space="preserve">0.359–0.608</w:t>
            </w:r>
          </w:p>
        </w:tc>
        <w:tc>
          <w:tcPr/>
          <w:p>
            <w:pPr>
              <w:pStyle w:val="Compact"/>
              <w:jc w:val="left"/>
            </w:pPr>
            <w:r>
              <w:t xml:space="preserve">0.812</w:t>
            </w:r>
          </w:p>
        </w:tc>
        <w:tc>
          <w:tcPr/>
          <w:p>
            <w:pPr>
              <w:pStyle w:val="Compact"/>
              <w:jc w:val="left"/>
            </w:pPr>
            <w:r>
              <w:t xml:space="preserve">not usable as effect evidence</w:t>
            </w:r>
          </w:p>
        </w:tc>
      </w:tr>
      <w:tr>
        <w:tc>
          <w:tcPr/>
          <w:p>
            <w:pPr>
              <w:pStyle w:val="Compact"/>
              <w:jc w:val="left"/>
            </w:pPr>
            <w:r>
              <w:t xml:space="preserve">indeterminate as optimized (opposite extreme)</w:t>
            </w:r>
          </w:p>
        </w:tc>
        <w:tc>
          <w:tcPr/>
          <w:p>
            <w:pPr>
              <w:pStyle w:val="Compact"/>
              <w:jc w:val="left"/>
            </w:pPr>
            <w:r>
              <w:t xml:space="preserve">14,677</w:t>
            </w:r>
          </w:p>
        </w:tc>
        <w:tc>
          <w:tcPr/>
          <w:p>
            <w:pPr>
              <w:pStyle w:val="Compact"/>
              <w:jc w:val="left"/>
            </w:pPr>
            <w:r>
              <w:t xml:space="preserve">0.912</w:t>
            </w:r>
          </w:p>
        </w:tc>
        <w:tc>
          <w:tcPr/>
          <w:p>
            <w:pPr>
              <w:pStyle w:val="Compact"/>
              <w:jc w:val="left"/>
            </w:pPr>
            <w:r>
              <w:t xml:space="preserve">0.849–0.979</w:t>
            </w:r>
          </w:p>
        </w:tc>
        <w:tc>
          <w:tcPr/>
          <w:p>
            <w:pPr>
              <w:pStyle w:val="Compact"/>
              <w:jc w:val="left"/>
            </w:pPr>
            <w:r>
              <w:t xml:space="preserve">.2036</w:t>
            </w:r>
          </w:p>
        </w:tc>
        <w:tc>
          <w:tcPr/>
          <w:p>
            <w:pPr>
              <w:pStyle w:val="Compact"/>
              <w:jc w:val="left"/>
            </w:pPr>
            <w:r>
              <w:t xml:space="preserve">0.655</w:t>
            </w:r>
          </w:p>
        </w:tc>
        <w:tc>
          <w:tcPr/>
          <w:p>
            <w:pPr>
              <w:pStyle w:val="Compact"/>
              <w:jc w:val="left"/>
            </w:pPr>
            <w:r>
              <w:t xml:space="preserve">0.625–0.757</w:t>
            </w:r>
          </w:p>
        </w:tc>
        <w:tc>
          <w:tcPr/>
          <w:p>
            <w:pPr>
              <w:pStyle w:val="Compact"/>
              <w:jc w:val="left"/>
            </w:pPr>
            <w:r>
              <w:t xml:space="preserve">0.976</w:t>
            </w:r>
          </w:p>
        </w:tc>
        <w:tc>
          <w:tcPr/>
          <w:p>
            <w:pPr>
              <w:pStyle w:val="Compact"/>
              <w:jc w:val="left"/>
            </w:pPr>
            <w:r>
              <w:t xml:space="preserve">not usable as effect evidence</w:t>
            </w:r>
          </w:p>
        </w:tc>
      </w:tr>
      <w:tr>
        <w:tc>
          <w:tcPr/>
          <w:p>
            <w:pPr>
              <w:pStyle w:val="Compact"/>
              <w:jc w:val="left"/>
            </w:pPr>
            <w:r>
              <w:t xml:space="preserve">multiple imputation (m = 10, Rubin)</w:t>
            </w:r>
          </w:p>
        </w:tc>
        <w:tc>
          <w:tcPr/>
          <w:p>
            <w:pPr>
              <w:pStyle w:val="Compact"/>
              <w:jc w:val="left"/>
            </w:pPr>
            <w:r>
              <w:t xml:space="preserve">14,677</w:t>
            </w:r>
          </w:p>
        </w:tc>
        <w:tc>
          <w:tcPr/>
          <w:p>
            <w:pPr>
              <w:pStyle w:val="Compact"/>
              <w:jc w:val="left"/>
            </w:pPr>
            <w:r>
              <w:t xml:space="preserve">0.745</w:t>
            </w:r>
          </w:p>
        </w:tc>
        <w:tc>
          <w:tcPr/>
          <w:p>
            <w:pPr>
              <w:pStyle w:val="Compact"/>
              <w:jc w:val="left"/>
            </w:pPr>
            <w:r>
              <w:t xml:space="preserve">0.653–0.851</w:t>
            </w:r>
          </w:p>
        </w:tc>
        <w:tc>
          <w:tcPr/>
          <w:p>
            <w:pPr>
              <w:pStyle w:val="Compact"/>
              <w:jc w:val="left"/>
            </w:pPr>
            <w:r>
              <w:t xml:space="preserve">.2805</w:t>
            </w:r>
          </w:p>
        </w:tc>
        <w:tc>
          <w:tcPr/>
          <w:p>
            <w:pPr>
              <w:pStyle w:val="Compact"/>
              <w:jc w:val="left"/>
            </w:pPr>
            <w:r>
              <w:t xml:space="preserve">0.664</w:t>
            </w:r>
          </w:p>
        </w:tc>
        <w:tc>
          <w:tcPr/>
          <w:p>
            <w:pPr>
              <w:pStyle w:val="Compact"/>
              <w:jc w:val="left"/>
            </w:pPr>
            <w:r>
              <w:t xml:space="preserve">0.464–0.785</w:t>
            </w:r>
          </w:p>
        </w:tc>
        <w:tc>
          <w:tcPr/>
          <w:p>
            <w:pPr>
              <w:pStyle w:val="Compact"/>
              <w:jc w:val="left"/>
            </w:pPr>
            <w:r>
              <w:t xml:space="preserve">0.976</w:t>
            </w:r>
          </w:p>
        </w:tc>
        <w:tc>
          <w:tcPr/>
          <w:p>
            <w:pPr>
              <w:pStyle w:val="Compact"/>
              <w:jc w:val="left"/>
            </w:pPr>
            <w:r>
              <w:t xml:space="preserve">not usable as effect evidence</w:t>
            </w:r>
          </w:p>
        </w:tc>
      </w:tr>
    </w:tbl>
    <w:p>
      <w:r>
        <w:pict>
          <v:rect style="width:0;height:1.5pt" o:hralign="center" o:hrstd="t" o:hr="t"/>
        </w:pict>
      </w:r>
    </w:p>
    <w:bookmarkEnd w:id="31"/>
    <w:bookmarkEnd w:id="32"/>
    <w:bookmarkStart w:id="36" w:name="s6.-software-and-reproducibility"/>
    <w:p>
      <w:pPr>
        <w:pStyle w:val="Heading2"/>
      </w:pPr>
      <w:r>
        <w:t xml:space="preserve">S6. Software and reproducibility</w:t>
      </w:r>
    </w:p>
    <w:p>
      <w:pPr>
        <w:pStyle w:val="FirstParagraph"/>
      </w:pPr>
      <w:r>
        <w:t xml:space="preserve">The estimator is implemented in the R package EmpiricalCalibration</w:t>
      </w:r>
      <w:r>
        <w:rPr>
          <w:vertAlign w:val="superscript"/>
        </w:rPr>
        <w:t xml:space="preserve">1</w:t>
      </w:r>
      <w:r>
        <w:t xml:space="preserve">; the BAF extension is provided by the accompanying R code archived with this manuscript. The analysis pipeline reads MIMIC IV and MIMIC IV ECG under approved data-use agreements; the derived negative-control and estimation tables, the simulation frame, and the single JSON of reported numbers are released with the manuscript repository. The companion interactive explainer consumes the same JSON so that every figure and table in the manuscript and the explainer are guaranteed to agree.</w:t>
      </w:r>
    </w:p>
    <w:bookmarkStart w:id="35" w:name="refs"/>
    <w:bookmarkStart w:id="34" w:name="ref-schuemie2018empirical"/>
    <w:p>
      <w:pPr>
        <w:pStyle w:val="Bibliography"/>
      </w:pPr>
      <w:r>
        <w:t xml:space="preserve">1.</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 Natl Acad Sci U S A</w:t>
      </w:r>
      <w:r>
        <w:t xml:space="preserve">. 2018;115(11):2571-2577. doi:</w:t>
      </w:r>
      <w:hyperlink r:id="rId33">
        <w:r>
          <w:rPr>
            <w:rStyle w:val="Hyperlink"/>
          </w:rPr>
          <w:t xml:space="preserve">10.1073/pnas.1708282114</w:t>
        </w:r>
      </w:hyperlink>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https://doi.org/10.1073/pnas.1708282114" TargetMode="External" /></Relationships>
</file>

<file path=word/_rels/footnotes.xml.rels><?xml version="1.0" encoding="UTF-8"?><Relationships xmlns="http://schemas.openxmlformats.org/package/2006/relationships"><Relationship Type="http://schemas.openxmlformats.org/officeDocument/2006/relationships/hyperlink" Id="rId33" Target="https://doi.org/10.1073/pnas.17082821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Appendix: Quantifying Systematic Bias in Observational Causal Estimates Using Negative Controls: The Bias Attribution Fraction</dc:title>
  <dc:creator>Zeng Zhechun; Wang Jinwen; Zuo Huijuan; Shu Lixia</dc:creator>
  <cp:keywords/>
  <dcterms:created xsi:type="dcterms:W3CDTF">2026-09-11T04:28:04Z</dcterms:created>
  <dcterms:modified xsi:type="dcterms:W3CDTF">2026-09-11T04:28:04Z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2026-08-27</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