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Appendix: Quantifying Systematic Bias in Observational Causal Estimates Using Negative Controls: The Bias Fraction</w:t>
      </w:r>
    </w:p>
    <w:p>
      <w:pPr>
        <w:pStyle w:val="Author"/>
      </w:pPr>
      <w:r>
        <w:t xml:space="preserve">Zeng Zhechun</w:t>
      </w:r>
    </w:p>
    <w:p>
      <w:pPr>
        <w:pStyle w:val="Author"/>
      </w:pPr>
      <w:r>
        <w:t xml:space="preserve">Wang Jinwen</w:t>
      </w:r>
    </w:p>
    <w:p>
      <w:pPr>
        <w:pStyle w:val="Author"/>
      </w:pPr>
      <w:r>
        <w:t xml:space="preserve">Zuo Huijuan</w:t>
      </w:r>
    </w:p>
    <w:p>
      <w:pPr>
        <w:pStyle w:val="Author"/>
      </w:pPr>
      <w:r>
        <w:t xml:space="preserve">Shu Lixia</w:t>
      </w:r>
    </w:p>
    <w:p>
      <w:pPr>
        <w:pStyle w:val="Date"/>
      </w:pPr>
      <w:r>
        <w:t xml:space="preserve">2026-08-27</w:t>
      </w:r>
    </w:p>
    <w:p>
      <w:pPr>
        <w:pStyle w:val="FirstParagraph"/>
      </w:pPr>
      <w:r>
        <w:rPr>
          <w:vertAlign w:val="superscript"/>
        </w:rPr>
        <w:t xml:space="preserve">1</w:t>
      </w:r>
      <w:r>
        <w:t xml:space="preserve"> </w:t>
      </w:r>
      <w:r>
        <w:t xml:space="preserve">Beijing Anzhen Hospital, Capital Medical University, Beijing, China</w:t>
      </w:r>
    </w:p>
    <w:p>
      <w:pPr>
        <w:pStyle w:val="BodyText"/>
      </w:pPr>
      <w:r>
        <w:rPr>
          <w:vertAlign w:val="superscript"/>
        </w:rPr>
        <w:t xml:space="preserve">2</w:t>
      </w:r>
      <w:r>
        <w:t xml:space="preserve"> </w:t>
      </w:r>
      <w:r>
        <w:t xml:space="preserve">Beijing Institute of Heart, Lung and Blood Vessel Diseases, Beijing, China</w:t>
      </w:r>
    </w:p>
    <w:p>
      <w:pPr>
        <w:pStyle w:val="BodyText"/>
      </w:pPr>
      <w:r>
        <w:t xml:space="preserve">This supplementary appendix provides the methodological detail, full lookup table, and complete case-study estimation output that support the main manuscript. All numbers are reproduced from the single JSON file</w:t>
      </w:r>
      <w:r>
        <w:t xml:space="preserve"> </w:t>
      </w:r>
      <w:r>
        <w:rPr>
          <w:rStyle w:val="VerbatimChar"/>
        </w:rPr>
        <w:t xml:space="preserve">output/tables/v38_all_numbers.json</w:t>
      </w:r>
      <w:r>
        <w:t xml:space="preserve"> </w:t>
      </w:r>
      <w:r>
        <w:t xml:space="preserve">generated by the analysis pipeline, which is shared with the companion interactive explainer.</w:t>
      </w:r>
    </w:p>
    <w:p>
      <w:r>
        <w:pict>
          <v:rect style="width:0;height:1.5pt" o:hralign="center" o:hrstd="t" o:hr="t"/>
        </w:pict>
      </w:r>
    </w:p>
    <w:bookmarkStart w:id="12" w:name="s1.-extended-methods"/>
    <w:p>
      <w:pPr>
        <w:pStyle w:val="Heading2"/>
      </w:pPr>
      <w:r>
        <w:t xml:space="preserve">S1. Extended methods</w:t>
      </w:r>
    </w:p>
    <w:bookmarkStart w:id="9" w:name="s1.1-full-simulation-design"/>
    <w:p>
      <w:pPr>
        <w:pStyle w:val="Heading3"/>
      </w:pPr>
      <w:r>
        <w:t xml:space="preserve">S1.1 Full simulation design</w:t>
      </w:r>
    </w:p>
    <w:p>
      <w:pPr>
        <w:pStyle w:val="FirstParagraph"/>
      </w:pPr>
      <w:r>
        <w:t xml:space="preserve">The simulation crossed five factors in a full factorial design, yielding 960 conditions. Each condition was replicated 1000 times for a total of 960,000 repetitions. The factors and levels were:</w:t>
      </w:r>
    </w:p>
    <w:p>
      <w:pPr>
        <w:pStyle w:val="Compact"/>
        <w:numPr>
          <w:ilvl w:val="0"/>
          <w:numId w:val="1001"/>
        </w:numPr>
      </w:pPr>
      <w:r>
        <w:t xml:space="preserve">True effect on the log relative risk scale, ψ, with 10 levels from -0.40 to -0.01.</w:t>
      </w:r>
    </w:p>
    <w:p>
      <w:pPr>
        <w:pStyle w:val="Compact"/>
        <w:numPr>
          <w:ilvl w:val="0"/>
          <w:numId w:val="1001"/>
        </w:numPr>
      </w:pPr>
      <w:r>
        <w:t xml:space="preserve">Systematic bias center, μ_B, with 8 levels from -0.40 to -0.05.</w:t>
      </w:r>
    </w:p>
    <w:p>
      <w:pPr>
        <w:pStyle w:val="Compact"/>
        <w:numPr>
          <w:ilvl w:val="0"/>
          <w:numId w:val="1001"/>
        </w:numPr>
      </w:pPr>
      <w:r>
        <w:t xml:space="preserve">Between-negative-control variance of the bias, σ_ps, with 2 levels (0.06, 0.10).</w:t>
      </w:r>
    </w:p>
    <w:p>
      <w:pPr>
        <w:pStyle w:val="Compact"/>
        <w:numPr>
          <w:ilvl w:val="0"/>
          <w:numId w:val="1001"/>
        </w:numPr>
      </w:pPr>
      <w:r>
        <w:t xml:space="preserve">Number of negative controls, K, with 3 levels (12, 25, 50).</w:t>
      </w:r>
    </w:p>
    <w:p>
      <w:pPr>
        <w:pStyle w:val="Compact"/>
        <w:numPr>
          <w:ilvl w:val="0"/>
          <w:numId w:val="1001"/>
        </w:numPr>
      </w:pPr>
      <w:r>
        <w:t xml:space="preserve">Exchangeability violation, with 2 levels (0, 0.3, where 0.3 denotes a 30% violation rate).</w:t>
      </w:r>
    </w:p>
    <w:p>
      <w:pPr>
        <w:pStyle w:val="FirstParagraph"/>
      </w:pPr>
      <w:r>
        <w:t xml:space="preserve">The data-generating process was a logistic regression in which each negative-control estimate was drawn as Y_k ~ N(μ_B, σ_B^2 + s_k^2), with the target estimate generated under the analogous model. By construction, each repetition carried a known truth BF_{true} in [0, 1], an estimated BF̂, and a calibrated P-value. The design allocated 864,000 interior repetitions (excluding the ψ = -0.01 boundary level) and 96,000 boundary repetitions. The truth composition was 52.5% bias-dominated, 28.7% mixed, and 18.8% effect-dominated.</w:t>
      </w:r>
    </w:p>
    <w:bookmarkEnd w:id="9"/>
    <w:bookmarkStart w:id="10" w:name="Xcfd09ea21d1bb64c0089b5328a369087bc7724f"/>
    <w:p>
      <w:pPr>
        <w:pStyle w:val="Heading3"/>
      </w:pPr>
      <w:r>
        <w:t xml:space="preserve">S1.2 Bias Fraction definition and interval construction</w:t>
      </w:r>
    </w:p>
    <w:p>
      <w:pPr>
        <w:pStyle w:val="FirstParagraph"/>
      </w:pPr>
      <w:r>
        <w:t xml:space="preserve">The Bias Fraction is BF = |μ̂_B| / (|μ̂_B| + |ψ̃|), where μ̂_B is the estimated center of the empirical null and ψ̃ is the calibrated log relative risk. Because BF is a ratio of two jointly estimated quantities, the delta method is unstable when ψ̃ is near zero. The credible interval was therefore constructed by propagating uncertainty rather than approximating it: a set of draws of μ_B was generated from the fitted systematic error model, and each draw was passed through the same function BF = |μ_B| / (|μ_B| + |Y - μ_B|), with the observed target estimate Y held at its observed value. The 2.5% and 97.5% empirical quantiles of the resulting BF distribution formed the interval, and the point estimate was the median of that same distribution, so an estimate always lies inside the interval reported for it. In the simulation the draws were posterior draws from the systematic error model Y_k ~ N(μ_B, σ_B^2 + s_k^2), fitted by a Gibbs sampler with priors μ_B ~ N(0, 1) and σ_B^2 ~ InverseGamma(0.5, 0.05); in the case study they were nonparametric bootstrap resamples of the negative-control panel, with the empirical null refitted within each resample. Both constructions yield a distribution for BF itself, and a bootstrap percentile distribution can be read as an approximation to a posterior under an uninformative prior, so a single term, credible interval, is used for both.</w:t>
      </w:r>
    </w:p>
    <w:bookmarkEnd w:id="10"/>
    <w:bookmarkStart w:id="11" w:name="X82221103bb1f1c4c94d0931ffaf9063f00ed67b"/>
    <w:p>
      <w:pPr>
        <w:pStyle w:val="Heading3"/>
      </w:pPr>
      <w:r>
        <w:t xml:space="preserve">S1.3 Negative-control selection for the case study</w:t>
      </w:r>
    </w:p>
    <w:p>
      <w:pPr>
        <w:pStyle w:val="FirstParagraph"/>
      </w:pPr>
      <w:r>
        <w:t xml:space="preserve">For the beta-blocker target trial emulation, 12 negative-control outcomes were drawn from the OHDSI standard negative-control panel for cardiovascular studies, restricted to outcomes with sufficient event counts and predicted insensitivity to the exposures of interest. All 12 selected controls were directionally protective (all_protective = TRUE), with calibrated log relative risks ranging from -0.531 to -0.002 and a Shapiro-Wilk test of the empirical null residuals yielding p = 0.168, consistent with approximate normality of the null.</w:t>
      </w:r>
    </w:p>
    <w:p>
      <w:r>
        <w:pict>
          <v:rect style="width:0;height:1.5pt" o:hralign="center" o:hrstd="t" o:hr="t"/>
        </w:pict>
      </w:r>
    </w:p>
    <w:bookmarkEnd w:id="11"/>
    <w:bookmarkEnd w:id="12"/>
    <w:bookmarkStart w:id="13" w:name="X821b2ccb0e8346b5714448eb76a3511eb7bc5fa"/>
    <w:p>
      <w:pPr>
        <w:pStyle w:val="Heading2"/>
      </w:pPr>
      <w:r>
        <w:t xml:space="preserve">S2. Part I supplementary: Bland-Altman agreement</w:t>
      </w:r>
    </w:p>
    <w:p>
      <w:pPr>
        <w:pStyle w:val="FirstParagraph"/>
      </w:pPr>
      <w:r>
        <w:t xml:space="preserve">The interior analysis (primary) excludes the ψ = -0.01 boundary level to avoid near-boundary pathologies. The full analysis includes it. Both are reported below.</w:t>
      </w:r>
    </w:p>
    <w:p>
      <w:pPr>
        <w:pStyle w:val="TableCaption"/>
      </w:pPr>
      <w:r>
        <w:t xml:space="preserve">Table S1. Bland-Altman agreement of BFhat as an estimator of BFtrue.</w:t>
      </w:r>
    </w:p>
    <w:tbl>
      <w:tblPr>
        <w:tblStyle w:val="Table"/>
        <w:tblW w:type="pct" w:w="5000"/>
        <w:tblLayout w:type="fixed"/>
        <w:tblLook w:firstRow="1" w:lastRow="0" w:firstColumn="0" w:lastColumn="0" w:noHBand="0" w:noVBand="0" w:val="0020"/>
        <w:tblCaption w:val="Table S1. Bland-Altman agreement of BFhat as an estimator of BFtrue."/>
      </w:tblPr>
      <w:tblGrid>
        <w:gridCol w:w="1528"/>
        <w:gridCol w:w="486"/>
        <w:gridCol w:w="1736"/>
        <w:gridCol w:w="555"/>
        <w:gridCol w:w="555"/>
        <w:gridCol w:w="625"/>
        <w:gridCol w:w="416"/>
        <w:gridCol w:w="1181"/>
        <w:gridCol w:w="416"/>
        <w:gridCol w:w="416"/>
      </w:tblGrid>
      <w:tr>
        <w:trPr>
          <w:tblHeader w:val="on"/>
        </w:trPr>
        <w:tc>
          <w:tcPr/>
          <w:p>
            <w:pPr>
              <w:pStyle w:val="Compact"/>
              <w:jc w:val="left"/>
            </w:pPr>
            <w:r>
              <w:t xml:space="preserve">Analysis</w:t>
            </w:r>
          </w:p>
        </w:tc>
        <w:tc>
          <w:tcPr/>
          <w:p>
            <w:pPr>
              <w:pStyle w:val="Compact"/>
              <w:jc w:val="right"/>
            </w:pPr>
            <w:r>
              <w:t xml:space="preserve">N</w:t>
            </w:r>
          </w:p>
        </w:tc>
        <w:tc>
          <w:tcPr/>
          <w:p>
            <w:pPr>
              <w:pStyle w:val="Compact"/>
              <w:jc w:val="right"/>
            </w:pPr>
            <w:r>
              <w:t xml:space="preserve">Mean.diff..BFhat.BFtrue.</w:t>
            </w:r>
          </w:p>
        </w:tc>
        <w:tc>
          <w:tcPr/>
          <w:p>
            <w:pPr>
              <w:pStyle w:val="Compact"/>
              <w:jc w:val="right"/>
            </w:pPr>
            <w:r>
              <w:t xml:space="preserve">SD.diff</w:t>
            </w:r>
          </w:p>
        </w:tc>
        <w:tc>
          <w:tcPr/>
          <w:p>
            <w:pPr>
              <w:pStyle w:val="Compact"/>
              <w:jc w:val="right"/>
            </w:pPr>
            <w:r>
              <w:t xml:space="preserve">LoA.low</w:t>
            </w:r>
          </w:p>
        </w:tc>
        <w:tc>
          <w:tcPr/>
          <w:p>
            <w:pPr>
              <w:pStyle w:val="Compact"/>
              <w:jc w:val="right"/>
            </w:pPr>
            <w:r>
              <w:t xml:space="preserve">LoA.high</w:t>
            </w:r>
          </w:p>
        </w:tc>
        <w:tc>
          <w:tcPr/>
          <w:p>
            <w:pPr>
              <w:pStyle w:val="Compact"/>
              <w:jc w:val="right"/>
            </w:pPr>
            <w:r>
              <w:t xml:space="preserve">CCC</w:t>
            </w:r>
          </w:p>
        </w:tc>
        <w:tc>
          <w:tcPr/>
          <w:p>
            <w:pPr>
              <w:pStyle w:val="Compact"/>
              <w:jc w:val="right"/>
            </w:pPr>
            <w:r>
              <w:t xml:space="preserve">Prop..bias.slope</w:t>
            </w:r>
          </w:p>
        </w:tc>
        <w:tc>
          <w:tcPr/>
          <w:p>
            <w:pPr>
              <w:pStyle w:val="Compact"/>
              <w:jc w:val="right"/>
            </w:pPr>
            <w:r>
              <w:t xml:space="preserve">MAE</w:t>
            </w:r>
          </w:p>
        </w:tc>
        <w:tc>
          <w:tcPr/>
          <w:p>
            <w:pPr>
              <w:pStyle w:val="Compact"/>
              <w:jc w:val="right"/>
            </w:pPr>
            <w:r>
              <w:t xml:space="preserve">RMSE</w:t>
            </w:r>
          </w:p>
        </w:tc>
      </w:tr>
      <w:tr>
        <w:tc>
          <w:tcPr/>
          <w:p>
            <w:pPr>
              <w:pStyle w:val="Compact"/>
              <w:jc w:val="left"/>
            </w:pPr>
            <w:r>
              <w:t xml:space="preserve">Interior (primary)</w:t>
            </w:r>
          </w:p>
        </w:tc>
        <w:tc>
          <w:tcPr/>
          <w:p>
            <w:pPr>
              <w:pStyle w:val="Compact"/>
              <w:jc w:val="right"/>
            </w:pPr>
            <w:r>
              <w:t xml:space="preserve">864000</w:t>
            </w:r>
          </w:p>
        </w:tc>
        <w:tc>
          <w:tcPr/>
          <w:p>
            <w:pPr>
              <w:pStyle w:val="Compact"/>
              <w:jc w:val="right"/>
            </w:pPr>
            <w:r>
              <w:t xml:space="preserve">-0.049</w:t>
            </w:r>
          </w:p>
        </w:tc>
        <w:tc>
          <w:tcPr/>
          <w:p>
            <w:pPr>
              <w:pStyle w:val="Compact"/>
              <w:jc w:val="right"/>
            </w:pPr>
            <w:r>
              <w:t xml:space="preserve">0.118</w:t>
            </w:r>
          </w:p>
        </w:tc>
        <w:tc>
          <w:tcPr/>
          <w:p>
            <w:pPr>
              <w:pStyle w:val="Compact"/>
              <w:jc w:val="right"/>
            </w:pPr>
            <w:r>
              <w:t xml:space="preserve">-0.280</w:t>
            </w:r>
          </w:p>
        </w:tc>
        <w:tc>
          <w:tcPr/>
          <w:p>
            <w:pPr>
              <w:pStyle w:val="Compact"/>
              <w:jc w:val="right"/>
            </w:pPr>
            <w:r>
              <w:t xml:space="preserve">0.182</w:t>
            </w:r>
          </w:p>
        </w:tc>
        <w:tc>
          <w:tcPr/>
          <w:p>
            <w:pPr>
              <w:pStyle w:val="Compact"/>
              <w:jc w:val="right"/>
            </w:pPr>
            <w:r>
              <w:t xml:space="preserve">0.815</w:t>
            </w:r>
          </w:p>
        </w:tc>
        <w:tc>
          <w:tcPr/>
          <w:p>
            <w:pPr>
              <w:pStyle w:val="Compact"/>
              <w:jc w:val="right"/>
            </w:pPr>
            <w:r>
              <w:t xml:space="preserve">-0.0588</w:t>
            </w:r>
          </w:p>
        </w:tc>
        <w:tc>
          <w:tcPr/>
          <w:p>
            <w:pPr>
              <w:pStyle w:val="Compact"/>
              <w:jc w:val="right"/>
            </w:pPr>
            <w:r>
              <w:t xml:space="preserve">0.098</w:t>
            </w:r>
          </w:p>
        </w:tc>
        <w:tc>
          <w:tcPr/>
          <w:p>
            <w:pPr>
              <w:pStyle w:val="Compact"/>
              <w:jc w:val="right"/>
            </w:pPr>
            <w:r>
              <w:t xml:space="preserve">0.128</w:t>
            </w:r>
          </w:p>
        </w:tc>
      </w:tr>
      <w:tr>
        <w:tc>
          <w:tcPr/>
          <w:p>
            <w:pPr>
              <w:pStyle w:val="Compact"/>
              <w:jc w:val="left"/>
            </w:pPr>
            <w:r>
              <w:t xml:space="preserve">Full (incl. boundary)</w:t>
            </w:r>
          </w:p>
        </w:tc>
        <w:tc>
          <w:tcPr/>
          <w:p>
            <w:pPr>
              <w:pStyle w:val="Compact"/>
              <w:jc w:val="right"/>
            </w:pPr>
            <w:r>
              <w:t xml:space="preserve">960000</w:t>
            </w:r>
          </w:p>
        </w:tc>
        <w:tc>
          <w:tcPr/>
          <w:p>
            <w:pPr>
              <w:pStyle w:val="Compact"/>
              <w:jc w:val="right"/>
            </w:pPr>
            <w:r>
              <w:t xml:space="preserve">-0.069</w:t>
            </w:r>
          </w:p>
        </w:tc>
        <w:tc>
          <w:tcPr/>
          <w:p>
            <w:pPr>
              <w:pStyle w:val="Compact"/>
              <w:jc w:val="right"/>
            </w:pPr>
            <w:r>
              <w:t xml:space="preserve">0.139</w:t>
            </w:r>
          </w:p>
        </w:tc>
        <w:tc>
          <w:tcPr/>
          <w:p>
            <w:pPr>
              <w:pStyle w:val="Compact"/>
              <w:jc w:val="right"/>
            </w:pPr>
            <w:r>
              <w:t xml:space="preserve">-0.341</w:t>
            </w:r>
          </w:p>
        </w:tc>
        <w:tc>
          <w:tcPr/>
          <w:p>
            <w:pPr>
              <w:pStyle w:val="Compact"/>
              <w:jc w:val="right"/>
            </w:pPr>
            <w:r>
              <w:t xml:space="preserve">0.203</w:t>
            </w:r>
          </w:p>
        </w:tc>
        <w:tc>
          <w:tcPr/>
          <w:p>
            <w:pPr>
              <w:pStyle w:val="Compact"/>
              <w:jc w:val="right"/>
            </w:pPr>
            <w:r>
              <w:t xml:space="preserve">0.781</w:t>
            </w:r>
          </w:p>
        </w:tc>
        <w:tc>
          <w:tcPr/>
          <w:p>
            <w:pPr>
              <w:pStyle w:val="Compact"/>
              <w:jc w:val="right"/>
            </w:pPr>
            <w:r>
              <w:t xml:space="preserve">-0.1814</w:t>
            </w:r>
          </w:p>
        </w:tc>
        <w:tc>
          <w:tcPr/>
          <w:p>
            <w:pPr>
              <w:pStyle w:val="Compact"/>
              <w:jc w:val="right"/>
            </w:pPr>
            <w:r>
              <w:t xml:space="preserve">0.113</w:t>
            </w:r>
          </w:p>
        </w:tc>
        <w:tc>
          <w:tcPr/>
          <w:p>
            <w:pPr>
              <w:pStyle w:val="Compact"/>
              <w:jc w:val="right"/>
            </w:pPr>
            <w:r>
              <w:t xml:space="preserve">0.155</w:t>
            </w:r>
          </w:p>
        </w:tc>
      </w:tr>
    </w:tbl>
    <w:p>
      <w:pPr>
        <w:pStyle w:val="BodyText"/>
      </w:pPr>
      <w:r>
        <w:t xml:space="preserve">The worst single-condition mean signed difference among the 864 interior conditions was 0.321. The proportional-bias slope regression rejected the null of no proportional bias in both analyses (interior slope -0.0588, 95% CI -0.0601 to -0.0576; full slope -0.1814, 95% CI -0.1826 to -0.1802). The estimator systematically underestimates BF_{true}, and the underestimation grows with the magnitude of BF_{true}.</w:t>
      </w:r>
    </w:p>
    <w:p>
      <w:r>
        <w:pict>
          <v:rect style="width:0;height:1.5pt" o:hralign="center" o:hrstd="t" o:hr="t"/>
        </w:pict>
      </w:r>
    </w:p>
    <w:bookmarkEnd w:id="13"/>
    <w:bookmarkStart w:id="22" w:name="X4d3b6fe2dc8767703846271d3597a4d554a06cb"/>
    <w:p>
      <w:pPr>
        <w:pStyle w:val="Heading2"/>
      </w:pPr>
      <w:r>
        <w:t xml:space="preserve">S3. Part II supplementary: decision-rule detail</w:t>
      </w:r>
    </w:p>
    <w:bookmarkStart w:id="14" w:name="s3.1-full-12-bucket-lookup-table"/>
    <w:p>
      <w:pPr>
        <w:pStyle w:val="Heading3"/>
      </w:pPr>
      <w:r>
        <w:t xml:space="preserve">S3.1 Full 12-bucket lookup table</w:t>
      </w:r>
    </w:p>
    <w:p>
      <w:pPr>
        <w:pStyle w:val="FirstParagraph"/>
      </w:pPr>
      <w:r>
        <w:t xml:space="preserve">Each bucket reports the count of repetitions with narrow and wide credible intervals, the probability of being bias-dominated under the narrow reading, the wide reading, and the conservative max(narrow, wide) reading, together with the verdict zone.</w:t>
      </w:r>
    </w:p>
    <w:p>
      <w:pPr>
        <w:pStyle w:val="TableCaption"/>
      </w:pPr>
      <w:r>
        <w:t xml:space="preserve">Table S2. Twelve-bucket equal-frequency lookup table mapping BFhat x interval width to probability of being bias-dominated.</w:t>
      </w:r>
    </w:p>
    <w:tbl>
      <w:tblPr>
        <w:tblStyle w:val="Table"/>
        <w:tblW w:type="pct" w:w="5000"/>
        <w:tblLayout w:type="fixed"/>
        <w:tblLook w:firstRow="1" w:lastRow="0" w:firstColumn="0" w:lastColumn="0" w:noHBand="0" w:noVBand="0" w:val="0020"/>
        <w:tblCaption w:val="Table S2. Twelve-bucket equal-frequency lookup table mapping BFhat x interval width to probability of being bias-dominated."/>
      </w:tblPr>
      <w:tblGrid>
        <w:gridCol w:w="352"/>
        <w:gridCol w:w="880"/>
        <w:gridCol w:w="792"/>
        <w:gridCol w:w="616"/>
        <w:gridCol w:w="968"/>
        <w:gridCol w:w="792"/>
        <w:gridCol w:w="880"/>
        <w:gridCol w:w="2640"/>
      </w:tblGrid>
      <w:tr>
        <w:trPr>
          <w:tblHeader w:val="on"/>
        </w:trPr>
        <w:tc>
          <w:tcPr/>
          <w:p>
            <w:pPr>
              <w:pStyle w:val="Compact"/>
              <w:jc w:val="right"/>
            </w:pPr>
            <w:r>
              <w:t xml:space="preserve">Bin</w:t>
            </w:r>
          </w:p>
        </w:tc>
        <w:tc>
          <w:tcPr/>
          <w:p>
            <w:pPr>
              <w:pStyle w:val="Compact"/>
              <w:jc w:val="right"/>
            </w:pPr>
            <w:r>
              <w:t xml:space="preserve">BF.centre</w:t>
            </w:r>
          </w:p>
        </w:tc>
        <w:tc>
          <w:tcPr/>
          <w:p>
            <w:pPr>
              <w:pStyle w:val="Compact"/>
              <w:jc w:val="right"/>
            </w:pPr>
            <w:r>
              <w:t xml:space="preserve">n.narrow</w:t>
            </w:r>
          </w:p>
        </w:tc>
        <w:tc>
          <w:tcPr/>
          <w:p>
            <w:pPr>
              <w:pStyle w:val="Compact"/>
              <w:jc w:val="right"/>
            </w:pPr>
            <w:r>
              <w:t xml:space="preserve">n.wide</w:t>
            </w:r>
          </w:p>
        </w:tc>
        <w:tc>
          <w:tcPr/>
          <w:p>
            <w:pPr>
              <w:pStyle w:val="Compact"/>
              <w:jc w:val="left"/>
            </w:pPr>
            <w:r>
              <w:t xml:space="preserve">pBD.narrow</w:t>
            </w:r>
          </w:p>
        </w:tc>
        <w:tc>
          <w:tcPr/>
          <w:p>
            <w:pPr>
              <w:pStyle w:val="Compact"/>
              <w:jc w:val="left"/>
            </w:pPr>
            <w:r>
              <w:t xml:space="preserve">pBD.wide</w:t>
            </w:r>
          </w:p>
        </w:tc>
        <w:tc>
          <w:tcPr/>
          <w:p>
            <w:pPr>
              <w:pStyle w:val="Compact"/>
              <w:jc w:val="left"/>
            </w:pPr>
            <w:r>
              <w:t xml:space="preserve">pBD.cons.</w:t>
            </w:r>
          </w:p>
        </w:tc>
        <w:tc>
          <w:tcPr/>
          <w:p>
            <w:pPr>
              <w:pStyle w:val="Compact"/>
              <w:jc w:val="left"/>
            </w:pPr>
            <w:r>
              <w:t xml:space="preserve">Verdict</w:t>
            </w:r>
          </w:p>
        </w:tc>
      </w:tr>
      <w:tr>
        <w:tc>
          <w:tcPr/>
          <w:p>
            <w:pPr>
              <w:pStyle w:val="Compact"/>
              <w:jc w:val="right"/>
            </w:pPr>
            <w:r>
              <w:t xml:space="preserve">1</w:t>
            </w:r>
          </w:p>
        </w:tc>
        <w:tc>
          <w:tcPr/>
          <w:p>
            <w:pPr>
              <w:pStyle w:val="Compact"/>
              <w:jc w:val="right"/>
            </w:pPr>
            <w:r>
              <w:t xml:space="preserve">0.093</w:t>
            </w:r>
          </w:p>
        </w:tc>
        <w:tc>
          <w:tcPr/>
          <w:p>
            <w:pPr>
              <w:pStyle w:val="Compact"/>
              <w:jc w:val="right"/>
            </w:pPr>
            <w:r>
              <w:t xml:space="preserve">51357</w:t>
            </w:r>
          </w:p>
        </w:tc>
        <w:tc>
          <w:tcPr/>
          <w:p>
            <w:pPr>
              <w:pStyle w:val="Compact"/>
              <w:jc w:val="right"/>
            </w:pPr>
            <w:r>
              <w:t xml:space="preserve">28643</w:t>
            </w:r>
          </w:p>
        </w:tc>
        <w:tc>
          <w:tcPr/>
          <w:p>
            <w:pPr>
              <w:pStyle w:val="Compact"/>
              <w:jc w:val="left"/>
            </w:pPr>
            <w:r>
              <w:t xml:space="preserve">0.62%</w:t>
            </w:r>
          </w:p>
        </w:tc>
        <w:tc>
          <w:tcPr/>
          <w:p>
            <w:pPr>
              <w:pStyle w:val="Compact"/>
              <w:jc w:val="left"/>
            </w:pPr>
            <w:r>
              <w:t xml:space="preserve">3.57%</w:t>
            </w:r>
          </w:p>
        </w:tc>
        <w:tc>
          <w:tcPr/>
          <w:p>
            <w:pPr>
              <w:pStyle w:val="Compact"/>
              <w:jc w:val="left"/>
            </w:pPr>
            <w:r>
              <w:t xml:space="preserve">3.57%</w:t>
            </w:r>
          </w:p>
        </w:tc>
        <w:tc>
          <w:tcPr/>
          <w:p>
            <w:pPr>
              <w:pStyle w:val="Compact"/>
              <w:jc w:val="left"/>
            </w:pPr>
            <w:r>
              <w:t xml:space="preserve">usable as effect evidence</w:t>
            </w:r>
          </w:p>
        </w:tc>
      </w:tr>
      <w:tr>
        <w:tc>
          <w:tcPr/>
          <w:p>
            <w:pPr>
              <w:pStyle w:val="Compact"/>
              <w:jc w:val="right"/>
            </w:pPr>
            <w:r>
              <w:t xml:space="preserve">2</w:t>
            </w:r>
          </w:p>
        </w:tc>
        <w:tc>
          <w:tcPr/>
          <w:p>
            <w:pPr>
              <w:pStyle w:val="Compact"/>
              <w:jc w:val="right"/>
            </w:pPr>
            <w:r>
              <w:t xml:space="preserve">0.183</w:t>
            </w:r>
          </w:p>
        </w:tc>
        <w:tc>
          <w:tcPr/>
          <w:p>
            <w:pPr>
              <w:pStyle w:val="Compact"/>
              <w:jc w:val="right"/>
            </w:pPr>
            <w:r>
              <w:t xml:space="preserve">28134</w:t>
            </w:r>
          </w:p>
        </w:tc>
        <w:tc>
          <w:tcPr/>
          <w:p>
            <w:pPr>
              <w:pStyle w:val="Compact"/>
              <w:jc w:val="right"/>
            </w:pPr>
            <w:r>
              <w:t xml:space="preserve">51866</w:t>
            </w:r>
          </w:p>
        </w:tc>
        <w:tc>
          <w:tcPr/>
          <w:p>
            <w:pPr>
              <w:pStyle w:val="Compact"/>
              <w:jc w:val="left"/>
            </w:pPr>
            <w:r>
              <w:t xml:space="preserve">1.10%</w:t>
            </w:r>
          </w:p>
        </w:tc>
        <w:tc>
          <w:tcPr/>
          <w:p>
            <w:pPr>
              <w:pStyle w:val="Compact"/>
              <w:jc w:val="left"/>
            </w:pPr>
            <w:r>
              <w:t xml:space="preserve">7.26%</w:t>
            </w:r>
          </w:p>
        </w:tc>
        <w:tc>
          <w:tcPr/>
          <w:p>
            <w:pPr>
              <w:pStyle w:val="Compact"/>
              <w:jc w:val="left"/>
            </w:pPr>
            <w:r>
              <w:t xml:space="preserve">7.26%</w:t>
            </w:r>
          </w:p>
        </w:tc>
        <w:tc>
          <w:tcPr/>
          <w:p>
            <w:pPr>
              <w:pStyle w:val="Compact"/>
              <w:jc w:val="left"/>
            </w:pPr>
            <w:r>
              <w:t xml:space="preserve">usable as effect evidence</w:t>
            </w:r>
          </w:p>
        </w:tc>
      </w:tr>
      <w:tr>
        <w:tc>
          <w:tcPr/>
          <w:p>
            <w:pPr>
              <w:pStyle w:val="Compact"/>
              <w:jc w:val="right"/>
            </w:pPr>
            <w:r>
              <w:t xml:space="preserve">3</w:t>
            </w:r>
          </w:p>
        </w:tc>
        <w:tc>
          <w:tcPr/>
          <w:p>
            <w:pPr>
              <w:pStyle w:val="Compact"/>
              <w:jc w:val="right"/>
            </w:pPr>
            <w:r>
              <w:t xml:space="preserve">0.265</w:t>
            </w:r>
          </w:p>
        </w:tc>
        <w:tc>
          <w:tcPr/>
          <w:p>
            <w:pPr>
              <w:pStyle w:val="Compact"/>
              <w:jc w:val="right"/>
            </w:pPr>
            <w:r>
              <w:t xml:space="preserve">33897</w:t>
            </w:r>
          </w:p>
        </w:tc>
        <w:tc>
          <w:tcPr/>
          <w:p>
            <w:pPr>
              <w:pStyle w:val="Compact"/>
              <w:jc w:val="right"/>
            </w:pPr>
            <w:r>
              <w:t xml:space="preserve">46103</w:t>
            </w:r>
          </w:p>
        </w:tc>
        <w:tc>
          <w:tcPr/>
          <w:p>
            <w:pPr>
              <w:pStyle w:val="Compact"/>
              <w:jc w:val="left"/>
            </w:pPr>
            <w:r>
              <w:t xml:space="preserve">4.29%</w:t>
            </w:r>
          </w:p>
        </w:tc>
        <w:tc>
          <w:tcPr/>
          <w:p>
            <w:pPr>
              <w:pStyle w:val="Compact"/>
              <w:jc w:val="left"/>
            </w:pPr>
            <w:r>
              <w:t xml:space="preserve">13.86%</w:t>
            </w:r>
          </w:p>
        </w:tc>
        <w:tc>
          <w:tcPr/>
          <w:p>
            <w:pPr>
              <w:pStyle w:val="Compact"/>
              <w:jc w:val="left"/>
            </w:pPr>
            <w:r>
              <w:t xml:space="preserve">13.86%</w:t>
            </w:r>
          </w:p>
        </w:tc>
        <w:tc>
          <w:tcPr/>
          <w:p>
            <w:pPr>
              <w:pStyle w:val="Compact"/>
              <w:jc w:val="left"/>
            </w:pPr>
            <w:r>
              <w:t xml:space="preserve">usable as effect evidence</w:t>
            </w:r>
          </w:p>
        </w:tc>
      </w:tr>
      <w:tr>
        <w:tc>
          <w:tcPr/>
          <w:p>
            <w:pPr>
              <w:pStyle w:val="Compact"/>
              <w:jc w:val="right"/>
            </w:pPr>
            <w:r>
              <w:t xml:space="preserve">4</w:t>
            </w:r>
          </w:p>
        </w:tc>
        <w:tc>
          <w:tcPr/>
          <w:p>
            <w:pPr>
              <w:pStyle w:val="Compact"/>
              <w:jc w:val="right"/>
            </w:pPr>
            <w:r>
              <w:t xml:space="preserve">0.334</w:t>
            </w:r>
          </w:p>
        </w:tc>
        <w:tc>
          <w:tcPr/>
          <w:p>
            <w:pPr>
              <w:pStyle w:val="Compact"/>
              <w:jc w:val="right"/>
            </w:pPr>
            <w:r>
              <w:t xml:space="preserve">39551</w:t>
            </w:r>
          </w:p>
        </w:tc>
        <w:tc>
          <w:tcPr/>
          <w:p>
            <w:pPr>
              <w:pStyle w:val="Compact"/>
              <w:jc w:val="right"/>
            </w:pPr>
            <w:r>
              <w:t xml:space="preserve">40449</w:t>
            </w:r>
          </w:p>
        </w:tc>
        <w:tc>
          <w:tcPr/>
          <w:p>
            <w:pPr>
              <w:pStyle w:val="Compact"/>
              <w:jc w:val="left"/>
            </w:pPr>
            <w:r>
              <w:t xml:space="preserve">11.14%</w:t>
            </w:r>
          </w:p>
        </w:tc>
        <w:tc>
          <w:tcPr/>
          <w:p>
            <w:pPr>
              <w:pStyle w:val="Compact"/>
              <w:jc w:val="left"/>
            </w:pPr>
            <w:r>
              <w:t xml:space="preserve">23.90%</w:t>
            </w:r>
          </w:p>
        </w:tc>
        <w:tc>
          <w:tcPr/>
          <w:p>
            <w:pPr>
              <w:pStyle w:val="Compact"/>
              <w:jc w:val="left"/>
            </w:pPr>
            <w:r>
              <w:t xml:space="preserve">23.90%</w:t>
            </w:r>
          </w:p>
        </w:tc>
        <w:tc>
          <w:tcPr/>
          <w:p>
            <w:pPr>
              <w:pStyle w:val="Compact"/>
              <w:jc w:val="left"/>
            </w:pPr>
            <w:r>
              <w:t xml:space="preserve">mixed, hypothesis-generating</w:t>
            </w:r>
          </w:p>
        </w:tc>
      </w:tr>
      <w:tr>
        <w:tc>
          <w:tcPr/>
          <w:p>
            <w:pPr>
              <w:pStyle w:val="Compact"/>
              <w:jc w:val="right"/>
            </w:pPr>
            <w:r>
              <w:t xml:space="preserve">5</w:t>
            </w:r>
          </w:p>
        </w:tc>
        <w:tc>
          <w:tcPr/>
          <w:p>
            <w:pPr>
              <w:pStyle w:val="Compact"/>
              <w:jc w:val="right"/>
            </w:pPr>
            <w:r>
              <w:t xml:space="preserve">0.391</w:t>
            </w:r>
          </w:p>
        </w:tc>
        <w:tc>
          <w:tcPr/>
          <w:p>
            <w:pPr>
              <w:pStyle w:val="Compact"/>
              <w:jc w:val="right"/>
            </w:pPr>
            <w:r>
              <w:t xml:space="preserve">43137</w:t>
            </w:r>
          </w:p>
        </w:tc>
        <w:tc>
          <w:tcPr/>
          <w:p>
            <w:pPr>
              <w:pStyle w:val="Compact"/>
              <w:jc w:val="right"/>
            </w:pPr>
            <w:r>
              <w:t xml:space="preserve">36863</w:t>
            </w:r>
          </w:p>
        </w:tc>
        <w:tc>
          <w:tcPr/>
          <w:p>
            <w:pPr>
              <w:pStyle w:val="Compact"/>
              <w:jc w:val="left"/>
            </w:pPr>
            <w:r>
              <w:t xml:space="preserve">24.49%</w:t>
            </w:r>
          </w:p>
        </w:tc>
        <w:tc>
          <w:tcPr/>
          <w:p>
            <w:pPr>
              <w:pStyle w:val="Compact"/>
              <w:jc w:val="left"/>
            </w:pPr>
            <w:r>
              <w:t xml:space="preserve">36.13%</w:t>
            </w:r>
          </w:p>
        </w:tc>
        <w:tc>
          <w:tcPr/>
          <w:p>
            <w:pPr>
              <w:pStyle w:val="Compact"/>
              <w:jc w:val="left"/>
            </w:pPr>
            <w:r>
              <w:t xml:space="preserve">36.13%</w:t>
            </w:r>
          </w:p>
        </w:tc>
        <w:tc>
          <w:tcPr/>
          <w:p>
            <w:pPr>
              <w:pStyle w:val="Compact"/>
              <w:jc w:val="left"/>
            </w:pPr>
            <w:r>
              <w:t xml:space="preserve">mixed, hypothesis-generating</w:t>
            </w:r>
          </w:p>
        </w:tc>
      </w:tr>
      <w:tr>
        <w:tc>
          <w:tcPr/>
          <w:p>
            <w:pPr>
              <w:pStyle w:val="Compact"/>
              <w:jc w:val="right"/>
            </w:pPr>
            <w:r>
              <w:t xml:space="preserve">6</w:t>
            </w:r>
          </w:p>
        </w:tc>
        <w:tc>
          <w:tcPr/>
          <w:p>
            <w:pPr>
              <w:pStyle w:val="Compact"/>
              <w:jc w:val="right"/>
            </w:pPr>
            <w:r>
              <w:t xml:space="preserve">0.440</w:t>
            </w:r>
          </w:p>
        </w:tc>
        <w:tc>
          <w:tcPr/>
          <w:p>
            <w:pPr>
              <w:pStyle w:val="Compact"/>
              <w:jc w:val="right"/>
            </w:pPr>
            <w:r>
              <w:t xml:space="preserve">46294</w:t>
            </w:r>
          </w:p>
        </w:tc>
        <w:tc>
          <w:tcPr/>
          <w:p>
            <w:pPr>
              <w:pStyle w:val="Compact"/>
              <w:jc w:val="right"/>
            </w:pPr>
            <w:r>
              <w:t xml:space="preserve">33706</w:t>
            </w:r>
          </w:p>
        </w:tc>
        <w:tc>
          <w:tcPr/>
          <w:p>
            <w:pPr>
              <w:pStyle w:val="Compact"/>
              <w:jc w:val="left"/>
            </w:pPr>
            <w:r>
              <w:t xml:space="preserve">43.78%</w:t>
            </w:r>
          </w:p>
        </w:tc>
        <w:tc>
          <w:tcPr/>
          <w:p>
            <w:pPr>
              <w:pStyle w:val="Compact"/>
              <w:jc w:val="left"/>
            </w:pPr>
            <w:r>
              <w:t xml:space="preserve">50.19%</w:t>
            </w:r>
          </w:p>
        </w:tc>
        <w:tc>
          <w:tcPr/>
          <w:p>
            <w:pPr>
              <w:pStyle w:val="Compact"/>
              <w:jc w:val="left"/>
            </w:pPr>
            <w:r>
              <w:t xml:space="preserve">50.19%</w:t>
            </w:r>
          </w:p>
        </w:tc>
        <w:tc>
          <w:tcPr/>
          <w:p>
            <w:pPr>
              <w:pStyle w:val="Compact"/>
              <w:jc w:val="left"/>
            </w:pPr>
            <w:r>
              <w:t xml:space="preserve">competitive, no verdict</w:t>
            </w:r>
          </w:p>
        </w:tc>
      </w:tr>
      <w:tr>
        <w:tc>
          <w:tcPr/>
          <w:p>
            <w:pPr>
              <w:pStyle w:val="Compact"/>
              <w:jc w:val="right"/>
            </w:pPr>
            <w:r>
              <w:t xml:space="preserve">7</w:t>
            </w:r>
          </w:p>
        </w:tc>
        <w:tc>
          <w:tcPr/>
          <w:p>
            <w:pPr>
              <w:pStyle w:val="Compact"/>
              <w:jc w:val="right"/>
            </w:pPr>
            <w:r>
              <w:t xml:space="preserve">0.488</w:t>
            </w:r>
          </w:p>
        </w:tc>
        <w:tc>
          <w:tcPr/>
          <w:p>
            <w:pPr>
              <w:pStyle w:val="Compact"/>
              <w:jc w:val="right"/>
            </w:pPr>
            <w:r>
              <w:t xml:space="preserve">46124</w:t>
            </w:r>
          </w:p>
        </w:tc>
        <w:tc>
          <w:tcPr/>
          <w:p>
            <w:pPr>
              <w:pStyle w:val="Compact"/>
              <w:jc w:val="right"/>
            </w:pPr>
            <w:r>
              <w:t xml:space="preserve">33876</w:t>
            </w:r>
          </w:p>
        </w:tc>
        <w:tc>
          <w:tcPr/>
          <w:p>
            <w:pPr>
              <w:pStyle w:val="Compact"/>
              <w:jc w:val="left"/>
            </w:pPr>
            <w:r>
              <w:t xml:space="preserve">62.97%</w:t>
            </w:r>
          </w:p>
        </w:tc>
        <w:tc>
          <w:tcPr/>
          <w:p>
            <w:pPr>
              <w:pStyle w:val="Compact"/>
              <w:jc w:val="left"/>
            </w:pPr>
            <w:r>
              <w:t xml:space="preserve">64.82%</w:t>
            </w:r>
          </w:p>
        </w:tc>
        <w:tc>
          <w:tcPr/>
          <w:p>
            <w:pPr>
              <w:pStyle w:val="Compact"/>
              <w:jc w:val="left"/>
            </w:pPr>
            <w:r>
              <w:t xml:space="preserve">64.82%</w:t>
            </w:r>
          </w:p>
        </w:tc>
        <w:tc>
          <w:tcPr/>
          <w:p>
            <w:pPr>
              <w:pStyle w:val="Compact"/>
              <w:jc w:val="left"/>
            </w:pPr>
            <w:r>
              <w:t xml:space="preserve">competitive, no verdict</w:t>
            </w:r>
          </w:p>
        </w:tc>
      </w:tr>
      <w:tr>
        <w:tc>
          <w:tcPr/>
          <w:p>
            <w:pPr>
              <w:pStyle w:val="Compact"/>
              <w:jc w:val="right"/>
            </w:pPr>
            <w:r>
              <w:t xml:space="preserve">8</w:t>
            </w:r>
          </w:p>
        </w:tc>
        <w:tc>
          <w:tcPr/>
          <w:p>
            <w:pPr>
              <w:pStyle w:val="Compact"/>
              <w:jc w:val="right"/>
            </w:pPr>
            <w:r>
              <w:t xml:space="preserve">0.539</w:t>
            </w:r>
          </w:p>
        </w:tc>
        <w:tc>
          <w:tcPr/>
          <w:p>
            <w:pPr>
              <w:pStyle w:val="Compact"/>
              <w:jc w:val="right"/>
            </w:pPr>
            <w:r>
              <w:t xml:space="preserve">43674</w:t>
            </w:r>
          </w:p>
        </w:tc>
        <w:tc>
          <w:tcPr/>
          <w:p>
            <w:pPr>
              <w:pStyle w:val="Compact"/>
              <w:jc w:val="right"/>
            </w:pPr>
            <w:r>
              <w:t xml:space="preserve">36326</w:t>
            </w:r>
          </w:p>
        </w:tc>
        <w:tc>
          <w:tcPr/>
          <w:p>
            <w:pPr>
              <w:pStyle w:val="Compact"/>
              <w:jc w:val="left"/>
            </w:pPr>
            <w:r>
              <w:t xml:space="preserve">81.21%</w:t>
            </w:r>
          </w:p>
        </w:tc>
        <w:tc>
          <w:tcPr/>
          <w:p>
            <w:pPr>
              <w:pStyle w:val="Compact"/>
              <w:jc w:val="left"/>
            </w:pPr>
            <w:r>
              <w:t xml:space="preserve">76.80%</w:t>
            </w:r>
          </w:p>
        </w:tc>
        <w:tc>
          <w:tcPr/>
          <w:p>
            <w:pPr>
              <w:pStyle w:val="Compact"/>
              <w:jc w:val="left"/>
            </w:pPr>
            <w:r>
              <w:t xml:space="preserve">81.21%</w:t>
            </w:r>
          </w:p>
        </w:tc>
        <w:tc>
          <w:tcPr/>
          <w:p>
            <w:pPr>
              <w:pStyle w:val="Compact"/>
              <w:jc w:val="left"/>
            </w:pPr>
            <w:r>
              <w:t xml:space="preserve">not usable as effect evidence</w:t>
            </w:r>
          </w:p>
        </w:tc>
      </w:tr>
      <w:tr>
        <w:tc>
          <w:tcPr/>
          <w:p>
            <w:pPr>
              <w:pStyle w:val="Compact"/>
              <w:jc w:val="right"/>
            </w:pPr>
            <w:r>
              <w:t xml:space="preserve">9</w:t>
            </w:r>
          </w:p>
        </w:tc>
        <w:tc>
          <w:tcPr/>
          <w:p>
            <w:pPr>
              <w:pStyle w:val="Compact"/>
              <w:jc w:val="right"/>
            </w:pPr>
            <w:r>
              <w:t xml:space="preserve">0.599</w:t>
            </w:r>
          </w:p>
        </w:tc>
        <w:tc>
          <w:tcPr/>
          <w:p>
            <w:pPr>
              <w:pStyle w:val="Compact"/>
              <w:jc w:val="right"/>
            </w:pPr>
            <w:r>
              <w:t xml:space="preserve">39441</w:t>
            </w:r>
          </w:p>
        </w:tc>
        <w:tc>
          <w:tcPr/>
          <w:p>
            <w:pPr>
              <w:pStyle w:val="Compact"/>
              <w:jc w:val="right"/>
            </w:pPr>
            <w:r>
              <w:t xml:space="preserve">40559</w:t>
            </w:r>
          </w:p>
        </w:tc>
        <w:tc>
          <w:tcPr/>
          <w:p>
            <w:pPr>
              <w:pStyle w:val="Compact"/>
              <w:jc w:val="left"/>
            </w:pPr>
            <w:r>
              <w:t xml:space="preserve">92.83%</w:t>
            </w:r>
          </w:p>
        </w:tc>
        <w:tc>
          <w:tcPr/>
          <w:p>
            <w:pPr>
              <w:pStyle w:val="Compact"/>
              <w:jc w:val="left"/>
            </w:pPr>
            <w:r>
              <w:t xml:space="preserve">85.60%</w:t>
            </w:r>
          </w:p>
        </w:tc>
        <w:tc>
          <w:tcPr/>
          <w:p>
            <w:pPr>
              <w:pStyle w:val="Compact"/>
              <w:jc w:val="left"/>
            </w:pPr>
            <w:r>
              <w:t xml:space="preserve">92.83%</w:t>
            </w:r>
          </w:p>
        </w:tc>
        <w:tc>
          <w:tcPr/>
          <w:p>
            <w:pPr>
              <w:pStyle w:val="Compact"/>
              <w:jc w:val="left"/>
            </w:pPr>
            <w:r>
              <w:t xml:space="preserve">not usable as effect evidence</w:t>
            </w:r>
          </w:p>
        </w:tc>
      </w:tr>
      <w:tr>
        <w:tc>
          <w:tcPr/>
          <w:p>
            <w:pPr>
              <w:pStyle w:val="Compact"/>
              <w:jc w:val="right"/>
            </w:pPr>
            <w:r>
              <w:t xml:space="preserve">10</w:t>
            </w:r>
          </w:p>
        </w:tc>
        <w:tc>
          <w:tcPr/>
          <w:p>
            <w:pPr>
              <w:pStyle w:val="Compact"/>
              <w:jc w:val="right"/>
            </w:pPr>
            <w:r>
              <w:t xml:space="preserve">0.673</w:t>
            </w:r>
          </w:p>
        </w:tc>
        <w:tc>
          <w:tcPr/>
          <w:p>
            <w:pPr>
              <w:pStyle w:val="Compact"/>
              <w:jc w:val="right"/>
            </w:pPr>
            <w:r>
              <w:t xml:space="preserve">35022</w:t>
            </w:r>
          </w:p>
        </w:tc>
        <w:tc>
          <w:tcPr/>
          <w:p>
            <w:pPr>
              <w:pStyle w:val="Compact"/>
              <w:jc w:val="right"/>
            </w:pPr>
            <w:r>
              <w:t xml:space="preserve">44978</w:t>
            </w:r>
          </w:p>
        </w:tc>
        <w:tc>
          <w:tcPr/>
          <w:p>
            <w:pPr>
              <w:pStyle w:val="Compact"/>
              <w:jc w:val="left"/>
            </w:pPr>
            <w:r>
              <w:t xml:space="preserve">97.61%</w:t>
            </w:r>
          </w:p>
        </w:tc>
        <w:tc>
          <w:tcPr/>
          <w:p>
            <w:pPr>
              <w:pStyle w:val="Compact"/>
              <w:jc w:val="left"/>
            </w:pPr>
            <w:r>
              <w:t xml:space="preserve">90.22%</w:t>
            </w:r>
          </w:p>
        </w:tc>
        <w:tc>
          <w:tcPr/>
          <w:p>
            <w:pPr>
              <w:pStyle w:val="Compact"/>
              <w:jc w:val="left"/>
            </w:pPr>
            <w:r>
              <w:t xml:space="preserve">97.61%</w:t>
            </w:r>
          </w:p>
        </w:tc>
        <w:tc>
          <w:tcPr/>
          <w:p>
            <w:pPr>
              <w:pStyle w:val="Compact"/>
              <w:jc w:val="left"/>
            </w:pPr>
            <w:r>
              <w:t xml:space="preserve">not usable as effect evidence</w:t>
            </w:r>
          </w:p>
        </w:tc>
      </w:tr>
      <w:tr>
        <w:tc>
          <w:tcPr/>
          <w:p>
            <w:pPr>
              <w:pStyle w:val="Compact"/>
              <w:jc w:val="right"/>
            </w:pPr>
            <w:r>
              <w:t xml:space="preserve">11</w:t>
            </w:r>
          </w:p>
        </w:tc>
        <w:tc>
          <w:tcPr/>
          <w:p>
            <w:pPr>
              <w:pStyle w:val="Compact"/>
              <w:jc w:val="right"/>
            </w:pPr>
            <w:r>
              <w:t xml:space="preserve">0.767</w:t>
            </w:r>
          </w:p>
        </w:tc>
        <w:tc>
          <w:tcPr/>
          <w:p>
            <w:pPr>
              <w:pStyle w:val="Compact"/>
              <w:jc w:val="right"/>
            </w:pPr>
            <w:r>
              <w:t xml:space="preserve">29231</w:t>
            </w:r>
          </w:p>
        </w:tc>
        <w:tc>
          <w:tcPr/>
          <w:p>
            <w:pPr>
              <w:pStyle w:val="Compact"/>
              <w:jc w:val="right"/>
            </w:pPr>
            <w:r>
              <w:t xml:space="preserve">50769</w:t>
            </w:r>
          </w:p>
        </w:tc>
        <w:tc>
          <w:tcPr/>
          <w:p>
            <w:pPr>
              <w:pStyle w:val="Compact"/>
              <w:jc w:val="left"/>
            </w:pPr>
            <w:r>
              <w:t xml:space="preserve">99.36%</w:t>
            </w:r>
          </w:p>
        </w:tc>
        <w:tc>
          <w:tcPr/>
          <w:p>
            <w:pPr>
              <w:pStyle w:val="Compact"/>
              <w:jc w:val="left"/>
            </w:pPr>
            <w:r>
              <w:t xml:space="preserve">93.02%</w:t>
            </w:r>
          </w:p>
        </w:tc>
        <w:tc>
          <w:tcPr/>
          <w:p>
            <w:pPr>
              <w:pStyle w:val="Compact"/>
              <w:jc w:val="left"/>
            </w:pPr>
            <w:r>
              <w:t xml:space="preserve">99.36%</w:t>
            </w:r>
          </w:p>
        </w:tc>
        <w:tc>
          <w:tcPr/>
          <w:p>
            <w:pPr>
              <w:pStyle w:val="Compact"/>
              <w:jc w:val="left"/>
            </w:pPr>
            <w:r>
              <w:t xml:space="preserve">not usable as effect evidence</w:t>
            </w:r>
          </w:p>
        </w:tc>
      </w:tr>
      <w:tr>
        <w:tc>
          <w:tcPr/>
          <w:p>
            <w:pPr>
              <w:pStyle w:val="Compact"/>
              <w:jc w:val="right"/>
            </w:pPr>
            <w:r>
              <w:t xml:space="preserve">12</w:t>
            </w:r>
          </w:p>
        </w:tc>
        <w:tc>
          <w:tcPr/>
          <w:p>
            <w:pPr>
              <w:pStyle w:val="Compact"/>
              <w:jc w:val="right"/>
            </w:pPr>
            <w:r>
              <w:t xml:space="preserve">0.886</w:t>
            </w:r>
          </w:p>
        </w:tc>
        <w:tc>
          <w:tcPr/>
          <w:p>
            <w:pPr>
              <w:pStyle w:val="Compact"/>
              <w:jc w:val="right"/>
            </w:pPr>
            <w:r>
              <w:t xml:space="preserve">44138</w:t>
            </w:r>
          </w:p>
        </w:tc>
        <w:tc>
          <w:tcPr/>
          <w:p>
            <w:pPr>
              <w:pStyle w:val="Compact"/>
              <w:jc w:val="right"/>
            </w:pPr>
            <w:r>
              <w:t xml:space="preserve">35862</w:t>
            </w:r>
          </w:p>
        </w:tc>
        <w:tc>
          <w:tcPr/>
          <w:p>
            <w:pPr>
              <w:pStyle w:val="Compact"/>
              <w:jc w:val="left"/>
            </w:pPr>
            <w:r>
              <w:t xml:space="preserve">99.69%</w:t>
            </w:r>
          </w:p>
        </w:tc>
        <w:tc>
          <w:tcPr/>
          <w:p>
            <w:pPr>
              <w:pStyle w:val="Compact"/>
              <w:jc w:val="left"/>
            </w:pPr>
            <w:r>
              <w:t xml:space="preserve">97.18%</w:t>
            </w:r>
          </w:p>
        </w:tc>
        <w:tc>
          <w:tcPr/>
          <w:p>
            <w:pPr>
              <w:pStyle w:val="Compact"/>
              <w:jc w:val="left"/>
            </w:pPr>
            <w:r>
              <w:t xml:space="preserve">99.69%</w:t>
            </w:r>
          </w:p>
        </w:tc>
        <w:tc>
          <w:tcPr/>
          <w:p>
            <w:pPr>
              <w:pStyle w:val="Compact"/>
              <w:jc w:val="left"/>
            </w:pPr>
            <w:r>
              <w:t xml:space="preserve">not usable as effect evidence</w:t>
            </w:r>
          </w:p>
        </w:tc>
      </w:tr>
    </w:tbl>
    <w:bookmarkEnd w:id="14"/>
    <w:bookmarkStart w:id="15" w:name="s3.2-three-readings-of-the-lookup"/>
    <w:p>
      <w:pPr>
        <w:pStyle w:val="Heading3"/>
      </w:pPr>
      <w:r>
        <w:t xml:space="preserve">S3.2 Three readings of the lookup</w:t>
      </w:r>
    </w:p>
    <w:p>
      <w:pPr>
        <w:pStyle w:val="FirstParagraph"/>
      </w:pPr>
      <w:r>
        <w:t xml:space="preserve">The lookup supports a pooled reading (CI width ignored), a width-specific reading, and the conservative max(narrow, wide) reading used in the manuscript.</w:t>
      </w:r>
    </w:p>
    <w:p>
      <w:pPr>
        <w:pStyle w:val="TableCaption"/>
      </w:pPr>
      <w:r>
        <w:t xml:space="preserve">Table S3. Comparison of three readings of the lookup table. Sens ED, share of truly effect-dominated repetitions declared usable; Sens BD, share of truly bias-dominated repetitions withheld.</w:t>
      </w:r>
    </w:p>
    <w:tbl>
      <w:tblPr>
        <w:tblStyle w:val="Table"/>
        <w:tblW w:type="pct" w:w="5000"/>
        <w:tblLayout w:type="fixed"/>
        <w:tblLook w:firstRow="1" w:lastRow="0" w:firstColumn="0" w:lastColumn="0" w:noHBand="0" w:noVBand="0" w:val="0020"/>
        <w:tblCaption w:val="Table S3. Comparison of three readings of the lookup table. Sens ED, share of truly effect-dominated repetitions declared usable; Sens BD, share of truly bias-dominated repetitions withheld."/>
      </w:tblPr>
      <w:tblGrid>
        <w:gridCol w:w="3102"/>
        <w:gridCol w:w="1306"/>
        <w:gridCol w:w="1551"/>
        <w:gridCol w:w="979"/>
        <w:gridCol w:w="979"/>
      </w:tblGrid>
      <w:tr>
        <w:trPr>
          <w:tblHeader w:val="on"/>
        </w:trPr>
        <w:tc>
          <w:tcPr/>
          <w:p>
            <w:pPr>
              <w:pStyle w:val="Compact"/>
              <w:jc w:val="left"/>
            </w:pPr>
            <w:r>
              <w:t xml:space="preserve">Reading</w:t>
            </w:r>
          </w:p>
        </w:tc>
        <w:tc>
          <w:tcPr/>
          <w:p>
            <w:pPr>
              <w:pStyle w:val="Compact"/>
              <w:jc w:val="left"/>
            </w:pPr>
            <w:r>
              <w:t xml:space="preserve">Misuse.rate….</w:t>
            </w:r>
          </w:p>
        </w:tc>
        <w:tc>
          <w:tcPr/>
          <w:p>
            <w:pPr>
              <w:pStyle w:val="Compact"/>
              <w:jc w:val="left"/>
            </w:pPr>
            <w:r>
              <w:t xml:space="preserve">Declare.usable….</w:t>
            </w:r>
          </w:p>
        </w:tc>
        <w:tc>
          <w:tcPr/>
          <w:p>
            <w:pPr>
              <w:pStyle w:val="Compact"/>
              <w:jc w:val="left"/>
            </w:pPr>
            <w:r>
              <w:t xml:space="preserve">Sens.ED….</w:t>
            </w:r>
          </w:p>
        </w:tc>
        <w:tc>
          <w:tcPr/>
          <w:p>
            <w:pPr>
              <w:pStyle w:val="Compact"/>
              <w:jc w:val="left"/>
            </w:pPr>
            <w:r>
              <w:t xml:space="preserve">Sens.BD….</w:t>
            </w:r>
          </w:p>
        </w:tc>
      </w:tr>
      <w:tr>
        <w:tc>
          <w:tcPr/>
          <w:p>
            <w:pPr>
              <w:pStyle w:val="Compact"/>
              <w:jc w:val="left"/>
            </w:pPr>
            <w:r>
              <w:t xml:space="preserve">pooled probability (CI width ignored)</w:t>
            </w:r>
          </w:p>
        </w:tc>
        <w:tc>
          <w:tcPr/>
          <w:p>
            <w:pPr>
              <w:pStyle w:val="Compact"/>
              <w:jc w:val="left"/>
            </w:pPr>
            <w:r>
              <w:t xml:space="preserve">2.90</w:t>
            </w:r>
          </w:p>
        </w:tc>
        <w:tc>
          <w:tcPr/>
          <w:p>
            <w:pPr>
              <w:pStyle w:val="Compact"/>
              <w:jc w:val="left"/>
            </w:pPr>
            <w:r>
              <w:t xml:space="preserve">21.5</w:t>
            </w:r>
          </w:p>
        </w:tc>
        <w:tc>
          <w:tcPr/>
          <w:p>
            <w:pPr>
              <w:pStyle w:val="Compact"/>
              <w:jc w:val="left"/>
            </w:pPr>
            <w:r>
              <w:t xml:space="preserve">81.2</w:t>
            </w:r>
          </w:p>
        </w:tc>
        <w:tc>
          <w:tcPr/>
          <w:p>
            <w:pPr>
              <w:pStyle w:val="Compact"/>
              <w:jc w:val="left"/>
            </w:pPr>
            <w:r>
              <w:t xml:space="preserve">98.8</w:t>
            </w:r>
          </w:p>
        </w:tc>
      </w:tr>
      <w:tr>
        <w:tc>
          <w:tcPr/>
          <w:p>
            <w:pPr>
              <w:pStyle w:val="Compact"/>
              <w:jc w:val="left"/>
            </w:pPr>
            <w:r>
              <w:t xml:space="preserve">width-specific probability</w:t>
            </w:r>
          </w:p>
        </w:tc>
        <w:tc>
          <w:tcPr/>
          <w:p>
            <w:pPr>
              <w:pStyle w:val="Compact"/>
              <w:jc w:val="left"/>
            </w:pPr>
            <w:r>
              <w:t xml:space="preserve">4.09</w:t>
            </w:r>
          </w:p>
        </w:tc>
        <w:tc>
          <w:tcPr/>
          <w:p>
            <w:pPr>
              <w:pStyle w:val="Compact"/>
              <w:jc w:val="left"/>
            </w:pPr>
            <w:r>
              <w:t xml:space="preserve">25.5</w:t>
            </w:r>
          </w:p>
        </w:tc>
        <w:tc>
          <w:tcPr/>
          <w:p>
            <w:pPr>
              <w:pStyle w:val="Compact"/>
              <w:jc w:val="left"/>
            </w:pPr>
            <w:r>
              <w:t xml:space="preserve">83.7</w:t>
            </w:r>
          </w:p>
        </w:tc>
        <w:tc>
          <w:tcPr/>
          <w:p>
            <w:pPr>
              <w:pStyle w:val="Compact"/>
              <w:jc w:val="left"/>
            </w:pPr>
            <w:r>
              <w:t xml:space="preserve">98.0</w:t>
            </w:r>
          </w:p>
        </w:tc>
      </w:tr>
      <w:tr>
        <w:tc>
          <w:tcPr/>
          <w:p>
            <w:pPr>
              <w:pStyle w:val="Compact"/>
              <w:jc w:val="left"/>
            </w:pPr>
            <w:r>
              <w:t xml:space="preserve">conservative max(narrow, wide)</w:t>
            </w:r>
          </w:p>
        </w:tc>
        <w:tc>
          <w:tcPr/>
          <w:p>
            <w:pPr>
              <w:pStyle w:val="Compact"/>
              <w:jc w:val="left"/>
            </w:pPr>
            <w:r>
              <w:t xml:space="preserve">2.90</w:t>
            </w:r>
          </w:p>
        </w:tc>
        <w:tc>
          <w:tcPr/>
          <w:p>
            <w:pPr>
              <w:pStyle w:val="Compact"/>
              <w:jc w:val="left"/>
            </w:pPr>
            <w:r>
              <w:t xml:space="preserve">21.5</w:t>
            </w:r>
          </w:p>
        </w:tc>
        <w:tc>
          <w:tcPr/>
          <w:p>
            <w:pPr>
              <w:pStyle w:val="Compact"/>
              <w:jc w:val="left"/>
            </w:pPr>
            <w:r>
              <w:t xml:space="preserve">81.2</w:t>
            </w:r>
          </w:p>
        </w:tc>
        <w:tc>
          <w:tcPr/>
          <w:p>
            <w:pPr>
              <w:pStyle w:val="Compact"/>
              <w:jc w:val="left"/>
            </w:pPr>
            <w:r>
              <w:t xml:space="preserve">98.8</w:t>
            </w:r>
          </w:p>
        </w:tc>
      </w:tr>
    </w:tbl>
    <w:p>
      <w:pPr>
        <w:pStyle w:val="BodyText"/>
      </w:pPr>
      <w:r>
        <w:t xml:space="preserve">The conservative reading changed 8.94 of verdicts relative to the pooled reading and 0.00 relative to the width-specific reading; the maximum absolute within-bin probability gap was 0.128, and adding CI half-width moved the AUC by only 0.00007.</w:t>
      </w:r>
    </w:p>
    <w:bookmarkEnd w:id="15"/>
    <w:bookmarkStart w:id="16" w:name="s3.3-nested-strategy-comparison"/>
    <w:p>
      <w:pPr>
        <w:pStyle w:val="Heading3"/>
      </w:pPr>
      <w:r>
        <w:t xml:space="preserve">S3.3 Nested strategy comparison</w:t>
      </w:r>
    </w:p>
    <w:p>
      <w:pPr>
        <w:pStyle w:val="FirstParagraph"/>
      </w:pPr>
      <w:r>
        <w:t xml:space="preserve">Strategies R0 through R4 add one component at a time; C1 and C2 are stand-alone comparators that do not use the calibrated P-value. Every rule is scored twice, once from each viewpoint of Table 4 in the main text, so Table S4 reports eight operating characteristics per rule. The two readings are not mirror images because truth has three levels and the mixed zone is negative in both.</w:t>
      </w:r>
    </w:p>
    <w:p>
      <w:pPr>
        <w:pStyle w:val="TableCaption"/>
      </w:pPr>
      <w:r>
        <w:t xml:space="preserve">Table S4. Nested strategy comparison, read from two viewpoints. In the effect-dominated view (ED) a positive call is to declare a repetition usable and a positive truth is to be truly effect-dominated; in the bias-dominated view (BD) a positive call is to withhold and a positive truth is to be truly bias-dominated. Sens, share of truly positive repetitions the rule called positive; Spec, share of truly negative repetitions the rule called negative; PPV, share of repetitions the rule called positive that were truly positive; NPV, share the rule called negative that were truly negative. The misuse rate reported in Table 4 of the main text is 100 minus NPV in the BD view. Truth has three levels (effect-dominated 18.8%, mixed 28.7%, bias-dominated 52.5%), and the mixed zone is negative in both views, so the views are not mirror images and no pair of columns sums to 100.</w:t>
      </w:r>
    </w:p>
    <w:tbl>
      <w:tblPr>
        <w:tblStyle w:val="Table"/>
        <w:tblW w:type="pct" w:w="5000"/>
        <w:tblLayout w:type="fixed"/>
        <w:tblLook w:firstRow="1" w:lastRow="0" w:firstColumn="0" w:lastColumn="0" w:noHBand="0" w:noVBand="0" w:val="0020"/>
        <w:tblCaption w:val="Table S4. Nested strategy comparison, read from two viewpoints. In the effect-dominated view (ED) a positive call is to declare a repetition usable and a positive truth is to be truly effect-dominated; in the bias-dominated view (BD) a positive call is to withhold and a positive truth is to be truly bias-dominated. Sens, share of truly positive repetitions the rule called positive; Spec, share of truly negative repetitions the rule called negative; PPV, share of repetitions the rule called positive that were truly positive; NPV, share the rule called negative that were truly negative. The misuse rate reported in Table 4 of the main text is 100 minus NPV in the BD view. Truth has three levels (effect-dominated 18.8%, mixed 28.7%, bias-dominated 52.5%), and the mixed zone is negative in both views, so the views are not mirror images and no pair of columns sums to 100."/>
      </w:tblPr>
      <w:tblGrid>
        <w:gridCol w:w="3231"/>
        <w:gridCol w:w="748"/>
        <w:gridCol w:w="512"/>
        <w:gridCol w:w="512"/>
        <w:gridCol w:w="472"/>
        <w:gridCol w:w="472"/>
        <w:gridCol w:w="512"/>
        <w:gridCol w:w="512"/>
        <w:gridCol w:w="472"/>
        <w:gridCol w:w="472"/>
      </w:tblGrid>
      <w:tr>
        <w:trPr>
          <w:tblHeader w:val="on"/>
        </w:trPr>
        <w:tc>
          <w:tcPr/>
          <w:p>
            <w:pPr>
              <w:pStyle w:val="Compact"/>
              <w:jc w:val="left"/>
            </w:pPr>
            <w:r>
              <w:t xml:space="preserve">Strategy</w:t>
            </w:r>
          </w:p>
        </w:tc>
        <w:tc>
          <w:tcPr/>
          <w:p>
            <w:pPr>
              <w:pStyle w:val="Compact"/>
              <w:jc w:val="right"/>
            </w:pPr>
            <w:r>
              <w:t xml:space="preserve">Declare usable (%)</w:t>
            </w:r>
          </w:p>
        </w:tc>
        <w:tc>
          <w:tcPr/>
          <w:p>
            <w:pPr>
              <w:pStyle w:val="Compact"/>
              <w:jc w:val="right"/>
            </w:pPr>
            <w:r>
              <w:t xml:space="preserve">Sens, ED (%)</w:t>
            </w:r>
          </w:p>
        </w:tc>
        <w:tc>
          <w:tcPr/>
          <w:p>
            <w:pPr>
              <w:pStyle w:val="Compact"/>
              <w:jc w:val="right"/>
            </w:pPr>
            <w:r>
              <w:t xml:space="preserve">Spec, ED (%)</w:t>
            </w:r>
          </w:p>
        </w:tc>
        <w:tc>
          <w:tcPr/>
          <w:p>
            <w:pPr>
              <w:pStyle w:val="Compact"/>
              <w:jc w:val="right"/>
            </w:pPr>
            <w:r>
              <w:t xml:space="preserve">PPV, ED (%)</w:t>
            </w:r>
          </w:p>
        </w:tc>
        <w:tc>
          <w:tcPr/>
          <w:p>
            <w:pPr>
              <w:pStyle w:val="Compact"/>
              <w:jc w:val="right"/>
            </w:pPr>
            <w:r>
              <w:t xml:space="preserve">NPV, ED (%)</w:t>
            </w:r>
          </w:p>
        </w:tc>
        <w:tc>
          <w:tcPr/>
          <w:p>
            <w:pPr>
              <w:pStyle w:val="Compact"/>
              <w:jc w:val="right"/>
            </w:pPr>
            <w:r>
              <w:t xml:space="preserve">Sens, BD (%)</w:t>
            </w:r>
          </w:p>
        </w:tc>
        <w:tc>
          <w:tcPr/>
          <w:p>
            <w:pPr>
              <w:pStyle w:val="Compact"/>
              <w:jc w:val="right"/>
            </w:pPr>
            <w:r>
              <w:t xml:space="preserve">Spec, BD (%)</w:t>
            </w:r>
          </w:p>
        </w:tc>
        <w:tc>
          <w:tcPr/>
          <w:p>
            <w:pPr>
              <w:pStyle w:val="Compact"/>
              <w:jc w:val="right"/>
            </w:pPr>
            <w:r>
              <w:t xml:space="preserve">PPV, BD (%)</w:t>
            </w:r>
          </w:p>
        </w:tc>
        <w:tc>
          <w:tcPr/>
          <w:p>
            <w:pPr>
              <w:pStyle w:val="Compact"/>
              <w:jc w:val="right"/>
            </w:pPr>
            <w:r>
              <w:t xml:space="preserve">NPV, BD (%)</w:t>
            </w:r>
          </w:p>
        </w:tc>
      </w:tr>
      <w:tr>
        <w:tc>
          <w:tcPr/>
          <w:p>
            <w:pPr>
              <w:pStyle w:val="Compact"/>
              <w:jc w:val="left"/>
            </w:pPr>
            <w:r>
              <w:t xml:space="preserve">R0 uncalibrated P &lt; .05 (no bias correction)</w:t>
            </w:r>
          </w:p>
        </w:tc>
        <w:tc>
          <w:tcPr/>
          <w:p>
            <w:pPr>
              <w:pStyle w:val="Compact"/>
              <w:jc w:val="right"/>
            </w:pPr>
            <w:r>
              <w:t xml:space="preserve">91.7</w:t>
            </w:r>
          </w:p>
        </w:tc>
        <w:tc>
          <w:tcPr/>
          <w:p>
            <w:pPr>
              <w:pStyle w:val="Compact"/>
              <w:jc w:val="right"/>
            </w:pPr>
            <w:r>
              <w:t xml:space="preserve">94.6</w:t>
            </w:r>
          </w:p>
        </w:tc>
        <w:tc>
          <w:tcPr/>
          <w:p>
            <w:pPr>
              <w:pStyle w:val="Compact"/>
              <w:jc w:val="right"/>
            </w:pPr>
            <w:r>
              <w:t xml:space="preserve">9.0</w:t>
            </w:r>
          </w:p>
        </w:tc>
        <w:tc>
          <w:tcPr/>
          <w:p>
            <w:pPr>
              <w:pStyle w:val="Compact"/>
              <w:jc w:val="right"/>
            </w:pPr>
            <w:r>
              <w:t xml:space="preserve">19.4</w:t>
            </w:r>
          </w:p>
        </w:tc>
        <w:tc>
          <w:tcPr/>
          <w:p>
            <w:pPr>
              <w:pStyle w:val="Compact"/>
              <w:jc w:val="right"/>
            </w:pPr>
            <w:r>
              <w:t xml:space="preserve">87.9</w:t>
            </w:r>
          </w:p>
        </w:tc>
        <w:tc>
          <w:tcPr/>
          <w:p>
            <w:pPr>
              <w:pStyle w:val="Compact"/>
              <w:jc w:val="right"/>
            </w:pPr>
            <w:r>
              <w:t xml:space="preserve">9.5</w:t>
            </w:r>
          </w:p>
        </w:tc>
        <w:tc>
          <w:tcPr/>
          <w:p>
            <w:pPr>
              <w:pStyle w:val="Compact"/>
              <w:jc w:val="right"/>
            </w:pPr>
            <w:r>
              <w:t xml:space="preserve">93.0</w:t>
            </w:r>
          </w:p>
        </w:tc>
        <w:tc>
          <w:tcPr/>
          <w:p>
            <w:pPr>
              <w:pStyle w:val="Compact"/>
              <w:jc w:val="right"/>
            </w:pPr>
            <w:r>
              <w:t xml:space="preserve">59.9</w:t>
            </w:r>
          </w:p>
        </w:tc>
        <w:tc>
          <w:tcPr/>
          <w:p>
            <w:pPr>
              <w:pStyle w:val="Compact"/>
              <w:jc w:val="right"/>
            </w:pPr>
            <w:r>
              <w:t xml:space="preserve">48.2</w:t>
            </w:r>
          </w:p>
        </w:tc>
      </w:tr>
      <w:tr>
        <w:tc>
          <w:tcPr/>
          <w:p>
            <w:pPr>
              <w:pStyle w:val="Compact"/>
              <w:jc w:val="left"/>
            </w:pPr>
            <w:r>
              <w:t xml:space="preserve">R1 calibrated P &lt; .05 (layer 1 only)</w:t>
            </w:r>
          </w:p>
        </w:tc>
        <w:tc>
          <w:tcPr/>
          <w:p>
            <w:pPr>
              <w:pStyle w:val="Compact"/>
              <w:jc w:val="right"/>
            </w:pPr>
            <w:r>
              <w:t xml:space="preserve">61.9</w:t>
            </w:r>
          </w:p>
        </w:tc>
        <w:tc>
          <w:tcPr/>
          <w:p>
            <w:pPr>
              <w:pStyle w:val="Compact"/>
              <w:jc w:val="right"/>
            </w:pPr>
            <w:r>
              <w:t xml:space="preserve">88.1</w:t>
            </w:r>
          </w:p>
        </w:tc>
        <w:tc>
          <w:tcPr/>
          <w:p>
            <w:pPr>
              <w:pStyle w:val="Compact"/>
              <w:jc w:val="right"/>
            </w:pPr>
            <w:r>
              <w:t xml:space="preserve">44.2</w:t>
            </w:r>
          </w:p>
        </w:tc>
        <w:tc>
          <w:tcPr/>
          <w:p>
            <w:pPr>
              <w:pStyle w:val="Compact"/>
              <w:jc w:val="right"/>
            </w:pPr>
            <w:r>
              <w:t xml:space="preserve">26.7</w:t>
            </w:r>
          </w:p>
        </w:tc>
        <w:tc>
          <w:tcPr/>
          <w:p>
            <w:pPr>
              <w:pStyle w:val="Compact"/>
              <w:jc w:val="right"/>
            </w:pPr>
            <w:r>
              <w:t xml:space="preserve">94.2</w:t>
            </w:r>
          </w:p>
        </w:tc>
        <w:tc>
          <w:tcPr/>
          <w:p>
            <w:pPr>
              <w:pStyle w:val="Compact"/>
              <w:jc w:val="right"/>
            </w:pPr>
            <w:r>
              <w:t xml:space="preserve">57.5</w:t>
            </w:r>
          </w:p>
        </w:tc>
        <w:tc>
          <w:tcPr/>
          <w:p>
            <w:pPr>
              <w:pStyle w:val="Compact"/>
              <w:jc w:val="right"/>
            </w:pPr>
            <w:r>
              <w:t xml:space="preserve">83.3</w:t>
            </w:r>
          </w:p>
        </w:tc>
        <w:tc>
          <w:tcPr/>
          <w:p>
            <w:pPr>
              <w:pStyle w:val="Compact"/>
              <w:jc w:val="right"/>
            </w:pPr>
            <w:r>
              <w:t xml:space="preserve">79.2</w:t>
            </w:r>
          </w:p>
        </w:tc>
        <w:tc>
          <w:tcPr/>
          <w:p>
            <w:pPr>
              <w:pStyle w:val="Compact"/>
              <w:jc w:val="right"/>
            </w:pPr>
            <w:r>
              <w:t xml:space="preserve">64.0</w:t>
            </w:r>
          </w:p>
        </w:tc>
      </w:tr>
      <w:tr>
        <w:tc>
          <w:tcPr/>
          <w:p>
            <w:pPr>
              <w:pStyle w:val="Compact"/>
              <w:jc w:val="left"/>
            </w:pPr>
            <w:r>
              <w:t xml:space="preserve">R2 layer 1, plus BF point estimate below 0.5, the bias-dominated threshold</w:t>
            </w:r>
          </w:p>
        </w:tc>
        <w:tc>
          <w:tcPr/>
          <w:p>
            <w:pPr>
              <w:pStyle w:val="Compact"/>
              <w:jc w:val="right"/>
            </w:pPr>
            <w:r>
              <w:t xml:space="preserve">47.2</w:t>
            </w:r>
          </w:p>
        </w:tc>
        <w:tc>
          <w:tcPr/>
          <w:p>
            <w:pPr>
              <w:pStyle w:val="Compact"/>
              <w:jc w:val="right"/>
            </w:pPr>
            <w:r>
              <w:t xml:space="preserve">88.1</w:t>
            </w:r>
          </w:p>
        </w:tc>
        <w:tc>
          <w:tcPr/>
          <w:p>
            <w:pPr>
              <w:pStyle w:val="Compact"/>
              <w:jc w:val="right"/>
            </w:pPr>
            <w:r>
              <w:t xml:space="preserve">62.2</w:t>
            </w:r>
          </w:p>
        </w:tc>
        <w:tc>
          <w:tcPr/>
          <w:p>
            <w:pPr>
              <w:pStyle w:val="Compact"/>
              <w:jc w:val="right"/>
            </w:pPr>
            <w:r>
              <w:t xml:space="preserve">35.0</w:t>
            </w:r>
          </w:p>
        </w:tc>
        <w:tc>
          <w:tcPr/>
          <w:p>
            <w:pPr>
              <w:pStyle w:val="Compact"/>
              <w:jc w:val="right"/>
            </w:pPr>
            <w:r>
              <w:t xml:space="preserve">95.8</w:t>
            </w:r>
          </w:p>
        </w:tc>
        <w:tc>
          <w:tcPr/>
          <w:p>
            <w:pPr>
              <w:pStyle w:val="Compact"/>
              <w:jc w:val="right"/>
            </w:pPr>
            <w:r>
              <w:t xml:space="preserve">81.8</w:t>
            </w:r>
          </w:p>
        </w:tc>
        <w:tc>
          <w:tcPr/>
          <w:p>
            <w:pPr>
              <w:pStyle w:val="Compact"/>
              <w:jc w:val="right"/>
            </w:pPr>
            <w:r>
              <w:t xml:space="preserve">79.3</w:t>
            </w:r>
          </w:p>
        </w:tc>
        <w:tc>
          <w:tcPr/>
          <w:p>
            <w:pPr>
              <w:pStyle w:val="Compact"/>
              <w:jc w:val="right"/>
            </w:pPr>
            <w:r>
              <w:t xml:space="preserve">81.4</w:t>
            </w:r>
          </w:p>
        </w:tc>
        <w:tc>
          <w:tcPr/>
          <w:p>
            <w:pPr>
              <w:pStyle w:val="Compact"/>
              <w:jc w:val="right"/>
            </w:pPr>
            <w:r>
              <w:t xml:space="preserve">79.8</w:t>
            </w:r>
          </w:p>
        </w:tc>
      </w:tr>
      <w:tr>
        <w:tc>
          <w:tcPr/>
          <w:p>
            <w:pPr>
              <w:pStyle w:val="Compact"/>
              <w:jc w:val="left"/>
            </w:pPr>
            <w:r>
              <w:t xml:space="preserve">R3 layer 1, plus whole credible interval of BF below 1/3, clear of bias dominance</w:t>
            </w:r>
          </w:p>
        </w:tc>
        <w:tc>
          <w:tcPr/>
          <w:p>
            <w:pPr>
              <w:pStyle w:val="Compact"/>
              <w:jc w:val="right"/>
            </w:pPr>
            <w:r>
              <w:t xml:space="preserve">29.9</w:t>
            </w:r>
          </w:p>
        </w:tc>
        <w:tc>
          <w:tcPr/>
          <w:p>
            <w:pPr>
              <w:pStyle w:val="Compact"/>
              <w:jc w:val="right"/>
            </w:pPr>
            <w:r>
              <w:t xml:space="preserve">81.2</w:t>
            </w:r>
          </w:p>
        </w:tc>
        <w:tc>
          <w:tcPr/>
          <w:p>
            <w:pPr>
              <w:pStyle w:val="Compact"/>
              <w:jc w:val="right"/>
            </w:pPr>
            <w:r>
              <w:t xml:space="preserve">82.0</w:t>
            </w:r>
          </w:p>
        </w:tc>
        <w:tc>
          <w:tcPr/>
          <w:p>
            <w:pPr>
              <w:pStyle w:val="Compact"/>
              <w:jc w:val="right"/>
            </w:pPr>
            <w:r>
              <w:t xml:space="preserve">51.0</w:t>
            </w:r>
          </w:p>
        </w:tc>
        <w:tc>
          <w:tcPr/>
          <w:p>
            <w:pPr>
              <w:pStyle w:val="Compact"/>
              <w:jc w:val="right"/>
            </w:pPr>
            <w:r>
              <w:t xml:space="preserve">95.0</w:t>
            </w:r>
          </w:p>
        </w:tc>
        <w:tc>
          <w:tcPr/>
          <w:p>
            <w:pPr>
              <w:pStyle w:val="Compact"/>
              <w:jc w:val="right"/>
            </w:pPr>
            <w:r>
              <w:t xml:space="preserve">95.8</w:t>
            </w:r>
          </w:p>
        </w:tc>
        <w:tc>
          <w:tcPr/>
          <w:p>
            <w:pPr>
              <w:pStyle w:val="Compact"/>
              <w:jc w:val="right"/>
            </w:pPr>
            <w:r>
              <w:t xml:space="preserve">58.2</w:t>
            </w:r>
          </w:p>
        </w:tc>
        <w:tc>
          <w:tcPr/>
          <w:p>
            <w:pPr>
              <w:pStyle w:val="Compact"/>
              <w:jc w:val="right"/>
            </w:pPr>
            <w:r>
              <w:t xml:space="preserve">71.7</w:t>
            </w:r>
          </w:p>
        </w:tc>
        <w:tc>
          <w:tcPr/>
          <w:p>
            <w:pPr>
              <w:pStyle w:val="Compact"/>
              <w:jc w:val="right"/>
            </w:pPr>
            <w:r>
              <w:t xml:space="preserve">92.6</w:t>
            </w:r>
          </w:p>
        </w:tc>
      </w:tr>
      <w:tr>
        <w:tc>
          <w:tcPr/>
          <w:p>
            <w:pPr>
              <w:pStyle w:val="Compact"/>
              <w:jc w:val="left"/>
            </w:pPr>
            <w:r>
              <w:t xml:space="preserve">R4 layer 1, plus probability of bias dominance below 15%</w:t>
            </w:r>
          </w:p>
        </w:tc>
        <w:tc>
          <w:tcPr/>
          <w:p>
            <w:pPr>
              <w:pStyle w:val="Compact"/>
              <w:jc w:val="right"/>
            </w:pPr>
            <w:r>
              <w:t xml:space="preserve">21.5</w:t>
            </w:r>
          </w:p>
        </w:tc>
        <w:tc>
          <w:tcPr/>
          <w:p>
            <w:pPr>
              <w:pStyle w:val="Compact"/>
              <w:jc w:val="right"/>
            </w:pPr>
            <w:r>
              <w:t xml:space="preserve">81.2</w:t>
            </w:r>
          </w:p>
        </w:tc>
        <w:tc>
          <w:tcPr/>
          <w:p>
            <w:pPr>
              <w:pStyle w:val="Compact"/>
              <w:jc w:val="right"/>
            </w:pPr>
            <w:r>
              <w:t xml:space="preserve">92.3</w:t>
            </w:r>
          </w:p>
        </w:tc>
        <w:tc>
          <w:tcPr/>
          <w:p>
            <w:pPr>
              <w:pStyle w:val="Compact"/>
              <w:jc w:val="right"/>
            </w:pPr>
            <w:r>
              <w:t xml:space="preserve">70.9</w:t>
            </w:r>
          </w:p>
        </w:tc>
        <w:tc>
          <w:tcPr/>
          <w:p>
            <w:pPr>
              <w:pStyle w:val="Compact"/>
              <w:jc w:val="right"/>
            </w:pPr>
            <w:r>
              <w:t xml:space="preserve">95.5</w:t>
            </w:r>
          </w:p>
        </w:tc>
        <w:tc>
          <w:tcPr/>
          <w:p>
            <w:pPr>
              <w:pStyle w:val="Compact"/>
              <w:jc w:val="right"/>
            </w:pPr>
            <w:r>
              <w:t xml:space="preserve">98.8</w:t>
            </w:r>
          </w:p>
        </w:tc>
        <w:tc>
          <w:tcPr/>
          <w:p>
            <w:pPr>
              <w:pStyle w:val="Compact"/>
              <w:jc w:val="right"/>
            </w:pPr>
            <w:r>
              <w:t xml:space="preserve">43.9</w:t>
            </w:r>
          </w:p>
        </w:tc>
        <w:tc>
          <w:tcPr/>
          <w:p>
            <w:pPr>
              <w:pStyle w:val="Compact"/>
              <w:jc w:val="right"/>
            </w:pPr>
            <w:r>
              <w:t xml:space="preserve">66.0</w:t>
            </w:r>
          </w:p>
        </w:tc>
        <w:tc>
          <w:tcPr/>
          <w:p>
            <w:pPr>
              <w:pStyle w:val="Compact"/>
              <w:jc w:val="right"/>
            </w:pPr>
            <w:r>
              <w:t xml:space="preserve">97.1</w:t>
            </w:r>
          </w:p>
        </w:tc>
      </w:tr>
      <w:tr>
        <w:tc>
          <w:tcPr/>
          <w:p>
            <w:pPr>
              <w:pStyle w:val="Compact"/>
              <w:jc w:val="left"/>
            </w:pPr>
            <w:r>
              <w:t xml:space="preserve">C1 BF point estimate below 0.5, the bias-dominated threshold, no layer 1</w:t>
            </w:r>
          </w:p>
        </w:tc>
        <w:tc>
          <w:tcPr/>
          <w:p>
            <w:pPr>
              <w:pStyle w:val="Compact"/>
              <w:jc w:val="right"/>
            </w:pPr>
            <w:r>
              <w:t xml:space="preserve">56.2</w:t>
            </w:r>
          </w:p>
        </w:tc>
        <w:tc>
          <w:tcPr/>
          <w:p>
            <w:pPr>
              <w:pStyle w:val="Compact"/>
              <w:jc w:val="right"/>
            </w:pPr>
            <w:r>
              <w:t xml:space="preserve">98.7</w:t>
            </w:r>
          </w:p>
        </w:tc>
        <w:tc>
          <w:tcPr/>
          <w:p>
            <w:pPr>
              <w:pStyle w:val="Compact"/>
              <w:jc w:val="right"/>
            </w:pPr>
            <w:r>
              <w:t xml:space="preserve">53.6</w:t>
            </w:r>
          </w:p>
        </w:tc>
        <w:tc>
          <w:tcPr/>
          <w:p>
            <w:pPr>
              <w:pStyle w:val="Compact"/>
              <w:jc w:val="right"/>
            </w:pPr>
            <w:r>
              <w:t xml:space="preserve">32.9</w:t>
            </w:r>
          </w:p>
        </w:tc>
        <w:tc>
          <w:tcPr/>
          <w:p>
            <w:pPr>
              <w:pStyle w:val="Compact"/>
              <w:jc w:val="right"/>
            </w:pPr>
            <w:r>
              <w:t xml:space="preserve">99.5</w:t>
            </w:r>
          </w:p>
        </w:tc>
        <w:tc>
          <w:tcPr/>
          <w:p>
            <w:pPr>
              <w:pStyle w:val="Compact"/>
              <w:jc w:val="right"/>
            </w:pPr>
            <w:r>
              <w:t xml:space="preserve">75.2</w:t>
            </w:r>
          </w:p>
        </w:tc>
        <w:tc>
          <w:tcPr/>
          <w:p>
            <w:pPr>
              <w:pStyle w:val="Compact"/>
              <w:jc w:val="right"/>
            </w:pPr>
            <w:r>
              <w:t xml:space="preserve">90.9</w:t>
            </w:r>
          </w:p>
        </w:tc>
        <w:tc>
          <w:tcPr/>
          <w:p>
            <w:pPr>
              <w:pStyle w:val="Compact"/>
              <w:jc w:val="right"/>
            </w:pPr>
            <w:r>
              <w:t xml:space="preserve">90.1</w:t>
            </w:r>
          </w:p>
        </w:tc>
        <w:tc>
          <w:tcPr/>
          <w:p>
            <w:pPr>
              <w:pStyle w:val="Compact"/>
              <w:jc w:val="right"/>
            </w:pPr>
            <w:r>
              <w:t xml:space="preserve">76.8</w:t>
            </w:r>
          </w:p>
        </w:tc>
      </w:tr>
      <w:tr>
        <w:tc>
          <w:tcPr/>
          <w:p>
            <w:pPr>
              <w:pStyle w:val="Compact"/>
              <w:jc w:val="left"/>
            </w:pPr>
            <w:r>
              <w:t xml:space="preserve">C2 whole credible interval of BF below 1/3, clear of bias dominance, no layer 1</w:t>
            </w:r>
          </w:p>
        </w:tc>
        <w:tc>
          <w:tcPr/>
          <w:p>
            <w:pPr>
              <w:pStyle w:val="Compact"/>
              <w:jc w:val="right"/>
            </w:pPr>
            <w:r>
              <w:t xml:space="preserve">31.9</w:t>
            </w:r>
          </w:p>
        </w:tc>
        <w:tc>
          <w:tcPr/>
          <w:p>
            <w:pPr>
              <w:pStyle w:val="Compact"/>
              <w:jc w:val="right"/>
            </w:pPr>
            <w:r>
              <w:t xml:space="preserve">85.3</w:t>
            </w:r>
          </w:p>
        </w:tc>
        <w:tc>
          <w:tcPr/>
          <w:p>
            <w:pPr>
              <w:pStyle w:val="Compact"/>
              <w:jc w:val="right"/>
            </w:pPr>
            <w:r>
              <w:t xml:space="preserve">80.4</w:t>
            </w:r>
          </w:p>
        </w:tc>
        <w:tc>
          <w:tcPr/>
          <w:p>
            <w:pPr>
              <w:pStyle w:val="Compact"/>
              <w:jc w:val="right"/>
            </w:pPr>
            <w:r>
              <w:t xml:space="preserve">50.1</w:t>
            </w:r>
          </w:p>
        </w:tc>
        <w:tc>
          <w:tcPr/>
          <w:p>
            <w:pPr>
              <w:pStyle w:val="Compact"/>
              <w:jc w:val="right"/>
            </w:pPr>
            <w:r>
              <w:t xml:space="preserve">96.0</w:t>
            </w:r>
          </w:p>
        </w:tc>
        <w:tc>
          <w:tcPr/>
          <w:p>
            <w:pPr>
              <w:pStyle w:val="Compact"/>
              <w:jc w:val="right"/>
            </w:pPr>
            <w:r>
              <w:t xml:space="preserve">94.8</w:t>
            </w:r>
          </w:p>
        </w:tc>
        <w:tc>
          <w:tcPr/>
          <w:p>
            <w:pPr>
              <w:pStyle w:val="Compact"/>
              <w:jc w:val="right"/>
            </w:pPr>
            <w:r>
              <w:t xml:space="preserve">61.4</w:t>
            </w:r>
          </w:p>
        </w:tc>
        <w:tc>
          <w:tcPr/>
          <w:p>
            <w:pPr>
              <w:pStyle w:val="Compact"/>
              <w:jc w:val="right"/>
            </w:pPr>
            <w:r>
              <w:t xml:space="preserve">73.1</w:t>
            </w:r>
          </w:p>
        </w:tc>
        <w:tc>
          <w:tcPr/>
          <w:p>
            <w:pPr>
              <w:pStyle w:val="Compact"/>
              <w:jc w:val="right"/>
            </w:pPr>
            <w:r>
              <w:t xml:space="preserve">91.4</w:t>
            </w:r>
          </w:p>
        </w:tc>
      </w:tr>
    </w:tbl>
    <w:bookmarkEnd w:id="16"/>
    <w:bookmarkStart w:id="17" w:name="s3.4-decision-flow-by-stage"/>
    <w:p>
      <w:pPr>
        <w:pStyle w:val="Heading3"/>
      </w:pPr>
      <w:r>
        <w:t xml:space="preserve">S3.4 Decision flow by stage</w:t>
      </w:r>
    </w:p>
    <w:p>
      <w:pPr>
        <w:pStyle w:val="TableCaption"/>
      </w:pPr>
      <w:r>
        <w:t xml:space="preserve">Table S5. Decision flow across layers of the rule.</w:t>
      </w:r>
    </w:p>
    <w:tbl>
      <w:tblPr>
        <w:tblStyle w:val="Table"/>
        <w:tblW w:type="pct" w:w="5000"/>
        <w:tblLayout w:type="fixed"/>
        <w:tblLook w:firstRow="1" w:lastRow="0" w:firstColumn="0" w:lastColumn="0" w:noHBand="0" w:noVBand="0" w:val="0020"/>
        <w:tblCaption w:val="Table S5. Decision flow across layers of the rule."/>
      </w:tblPr>
      <w:tblGrid>
        <w:gridCol w:w="3855"/>
        <w:gridCol w:w="729"/>
        <w:gridCol w:w="1980"/>
        <w:gridCol w:w="1354"/>
      </w:tblGrid>
      <w:tr>
        <w:trPr>
          <w:tblHeader w:val="on"/>
        </w:trPr>
        <w:tc>
          <w:tcPr/>
          <w:p>
            <w:pPr>
              <w:pStyle w:val="Compact"/>
              <w:jc w:val="left"/>
            </w:pPr>
            <w:r>
              <w:t xml:space="preserve">Stage</w:t>
            </w:r>
          </w:p>
        </w:tc>
        <w:tc>
          <w:tcPr/>
          <w:p>
            <w:pPr>
              <w:pStyle w:val="Compact"/>
              <w:jc w:val="right"/>
            </w:pPr>
            <w:r>
              <w:t xml:space="preserve">N</w:t>
            </w:r>
          </w:p>
        </w:tc>
        <w:tc>
          <w:tcPr/>
          <w:p>
            <w:pPr>
              <w:pStyle w:val="Compact"/>
              <w:jc w:val="right"/>
            </w:pPr>
            <w:r>
              <w:t xml:space="preserve">Bias.dominated..n.</w:t>
            </w:r>
          </w:p>
        </w:tc>
        <w:tc>
          <w:tcPr/>
          <w:p>
            <w:pPr>
              <w:pStyle w:val="Compact"/>
              <w:jc w:val="left"/>
            </w:pPr>
            <w:r>
              <w:t xml:space="preserve">BD.share….</w:t>
            </w:r>
          </w:p>
        </w:tc>
      </w:tr>
      <w:tr>
        <w:tc>
          <w:tcPr/>
          <w:p>
            <w:pPr>
              <w:pStyle w:val="Compact"/>
              <w:jc w:val="left"/>
            </w:pPr>
            <w:r>
              <w:t xml:space="preserve">all repetitions</w:t>
            </w:r>
          </w:p>
        </w:tc>
        <w:tc>
          <w:tcPr/>
          <w:p>
            <w:pPr>
              <w:pStyle w:val="Compact"/>
              <w:jc w:val="right"/>
            </w:pPr>
            <w:r>
              <w:t xml:space="preserve">960000</w:t>
            </w:r>
          </w:p>
        </w:tc>
        <w:tc>
          <w:tcPr/>
          <w:p>
            <w:pPr>
              <w:pStyle w:val="Compact"/>
              <w:jc w:val="right"/>
            </w:pPr>
            <w:r>
              <w:t xml:space="preserve">504000</w:t>
            </w:r>
          </w:p>
        </w:tc>
        <w:tc>
          <w:tcPr/>
          <w:p>
            <w:pPr>
              <w:pStyle w:val="Compact"/>
              <w:jc w:val="left"/>
            </w:pPr>
            <w:r>
              <w:t xml:space="preserve">52.5</w:t>
            </w:r>
          </w:p>
        </w:tc>
      </w:tr>
      <w:tr>
        <w:tc>
          <w:tcPr/>
          <w:p>
            <w:pPr>
              <w:pStyle w:val="Compact"/>
              <w:jc w:val="left"/>
            </w:pPr>
            <w:r>
              <w:t xml:space="preserve">layer 1 pass (calibrated p &lt; .05)</w:t>
            </w:r>
          </w:p>
        </w:tc>
        <w:tc>
          <w:tcPr/>
          <w:p>
            <w:pPr>
              <w:pStyle w:val="Compact"/>
              <w:jc w:val="right"/>
            </w:pPr>
            <w:r>
              <w:t xml:space="preserve">593963</w:t>
            </w:r>
          </w:p>
        </w:tc>
        <w:tc>
          <w:tcPr/>
          <w:p>
            <w:pPr>
              <w:pStyle w:val="Compact"/>
              <w:jc w:val="right"/>
            </w:pPr>
            <w:r>
              <w:t xml:space="preserve">214023</w:t>
            </w:r>
          </w:p>
        </w:tc>
        <w:tc>
          <w:tcPr/>
          <w:p>
            <w:pPr>
              <w:pStyle w:val="Compact"/>
              <w:jc w:val="left"/>
            </w:pPr>
            <w:r>
              <w:t xml:space="preserve">36.0</w:t>
            </w:r>
          </w:p>
        </w:tc>
      </w:tr>
      <w:tr>
        <w:tc>
          <w:tcPr/>
          <w:p>
            <w:pPr>
              <w:pStyle w:val="Compact"/>
              <w:jc w:val="left"/>
            </w:pPr>
            <w:r>
              <w:t xml:space="preserve">layer 1 pass and usable verdict</w:t>
            </w:r>
          </w:p>
        </w:tc>
        <w:tc>
          <w:tcPr/>
          <w:p>
            <w:pPr>
              <w:pStyle w:val="Compact"/>
              <w:jc w:val="right"/>
            </w:pPr>
            <w:r>
              <w:t xml:space="preserve">205971</w:t>
            </w:r>
          </w:p>
        </w:tc>
        <w:tc>
          <w:tcPr/>
          <w:p>
            <w:pPr>
              <w:pStyle w:val="Compact"/>
              <w:jc w:val="right"/>
            </w:pPr>
            <w:r>
              <w:t xml:space="preserve">5978</w:t>
            </w:r>
          </w:p>
        </w:tc>
        <w:tc>
          <w:tcPr/>
          <w:p>
            <w:pPr>
              <w:pStyle w:val="Compact"/>
              <w:jc w:val="left"/>
            </w:pPr>
            <w:r>
              <w:t xml:space="preserve">2.9</w:t>
            </w:r>
          </w:p>
        </w:tc>
      </w:tr>
      <w:tr>
        <w:tc>
          <w:tcPr/>
          <w:p>
            <w:pPr>
              <w:pStyle w:val="Compact"/>
              <w:jc w:val="left"/>
            </w:pPr>
            <w:r>
              <w:t xml:space="preserve">layer 1 pass and mixed verdict</w:t>
            </w:r>
          </w:p>
        </w:tc>
        <w:tc>
          <w:tcPr/>
          <w:p>
            <w:pPr>
              <w:pStyle w:val="Compact"/>
              <w:jc w:val="right"/>
            </w:pPr>
            <w:r>
              <w:t xml:space="preserve">133931</w:t>
            </w:r>
          </w:p>
        </w:tc>
        <w:tc>
          <w:tcPr/>
          <w:p>
            <w:pPr>
              <w:pStyle w:val="Compact"/>
              <w:jc w:val="right"/>
            </w:pPr>
            <w:r>
              <w:t xml:space="preserve">27164</w:t>
            </w:r>
          </w:p>
        </w:tc>
        <w:tc>
          <w:tcPr/>
          <w:p>
            <w:pPr>
              <w:pStyle w:val="Compact"/>
              <w:jc w:val="left"/>
            </w:pPr>
            <w:r>
              <w:t xml:space="preserve">20.3</w:t>
            </w:r>
          </w:p>
        </w:tc>
      </w:tr>
      <w:tr>
        <w:tc>
          <w:tcPr/>
          <w:p>
            <w:pPr>
              <w:pStyle w:val="Compact"/>
              <w:jc w:val="left"/>
            </w:pPr>
            <w:r>
              <w:t xml:space="preserve">layer 1 pass and competitive verdict</w:t>
            </w:r>
          </w:p>
        </w:tc>
        <w:tc>
          <w:tcPr/>
          <w:p>
            <w:pPr>
              <w:pStyle w:val="Compact"/>
              <w:jc w:val="right"/>
            </w:pPr>
            <w:r>
              <w:t xml:space="preserve">129128</w:t>
            </w:r>
          </w:p>
        </w:tc>
        <w:tc>
          <w:tcPr/>
          <w:p>
            <w:pPr>
              <w:pStyle w:val="Compact"/>
              <w:jc w:val="right"/>
            </w:pPr>
            <w:r>
              <w:t xml:space="preserve">69650</w:t>
            </w:r>
          </w:p>
        </w:tc>
        <w:tc>
          <w:tcPr/>
          <w:p>
            <w:pPr>
              <w:pStyle w:val="Compact"/>
              <w:jc w:val="left"/>
            </w:pPr>
            <w:r>
              <w:t xml:space="preserve">53.9</w:t>
            </w:r>
          </w:p>
        </w:tc>
      </w:tr>
      <w:tr>
        <w:tc>
          <w:tcPr/>
          <w:p>
            <w:pPr>
              <w:pStyle w:val="Compact"/>
              <w:jc w:val="left"/>
            </w:pPr>
            <w:r>
              <w:t xml:space="preserve">layer 1 pass and not-usable verdict</w:t>
            </w:r>
          </w:p>
        </w:tc>
        <w:tc>
          <w:tcPr/>
          <w:p>
            <w:pPr>
              <w:pStyle w:val="Compact"/>
              <w:jc w:val="right"/>
            </w:pPr>
            <w:r>
              <w:t xml:space="preserve">124933</w:t>
            </w:r>
          </w:p>
        </w:tc>
        <w:tc>
          <w:tcPr/>
          <w:p>
            <w:pPr>
              <w:pStyle w:val="Compact"/>
              <w:jc w:val="right"/>
            </w:pPr>
            <w:r>
              <w:t xml:space="preserve">111231</w:t>
            </w:r>
          </w:p>
        </w:tc>
        <w:tc>
          <w:tcPr/>
          <w:p>
            <w:pPr>
              <w:pStyle w:val="Compact"/>
              <w:jc w:val="left"/>
            </w:pPr>
            <w:r>
              <w:t xml:space="preserve">89.0</w:t>
            </w:r>
          </w:p>
        </w:tc>
      </w:tr>
    </w:tbl>
    <w:bookmarkEnd w:id="17"/>
    <w:bookmarkStart w:id="18" w:name="Xd78e56bb12f9e2371ec2c22f32e99345cf1f2a5"/>
    <w:p>
      <w:pPr>
        <w:pStyle w:val="Heading3"/>
      </w:pPr>
      <w:r>
        <w:t xml:space="preserve">S3.5 Verdict versus truth (3 by 3 confusion)</w:t>
      </w:r>
    </w:p>
    <w:p>
      <w:pPr>
        <w:pStyle w:val="TableCaption"/>
      </w:pPr>
      <w:r>
        <w:t xml:space="preserve">Table S6. Confusion matrix of assigned verdict zone against simulated truth.</w:t>
      </w:r>
    </w:p>
    <w:tbl>
      <w:tblPr>
        <w:tblStyle w:val="Table"/>
        <w:tblW w:type="auto" w:w="0"/>
        <w:tblLook w:firstRow="1" w:lastRow="0" w:firstColumn="0" w:lastColumn="0" w:noHBand="0" w:noVBand="0" w:val="0020"/>
        <w:tblCaption w:val="Table S6. Confusion matrix of assigned verdict zone against simulated truth."/>
      </w:tblPr>
      <w:tblGrid>
        <w:gridCol w:w="1584"/>
        <w:gridCol w:w="1584"/>
        <w:gridCol w:w="1584"/>
        <w:gridCol w:w="1584"/>
        <w:gridCol w:w="1584"/>
      </w:tblGrid>
      <w:tr>
        <w:trPr>
          <w:tblHeader w:val="on"/>
        </w:trPr>
        <w:tc>
          <w:tcPr/>
          <w:p>
            <w:pPr>
              <w:pStyle w:val="Compact"/>
              <w:jc w:val="left"/>
            </w:pPr>
            <w:r>
              <w:t xml:space="preserve">Truth</w:t>
            </w:r>
          </w:p>
        </w:tc>
        <w:tc>
          <w:tcPr/>
          <w:p>
            <w:pPr>
              <w:pStyle w:val="Compact"/>
              <w:jc w:val="right"/>
            </w:pPr>
            <w:r>
              <w:t xml:space="preserve">bias.dominated</w:t>
            </w:r>
          </w:p>
        </w:tc>
        <w:tc>
          <w:tcPr/>
          <w:p>
            <w:pPr>
              <w:pStyle w:val="Compact"/>
              <w:jc w:val="right"/>
            </w:pPr>
            <w:r>
              <w:t xml:space="preserve">mixed</w:t>
            </w:r>
          </w:p>
        </w:tc>
        <w:tc>
          <w:tcPr/>
          <w:p>
            <w:pPr>
              <w:pStyle w:val="Compact"/>
              <w:jc w:val="right"/>
            </w:pPr>
            <w:r>
              <w:t xml:space="preserve">effect.dominated</w:t>
            </w:r>
          </w:p>
        </w:tc>
        <w:tc>
          <w:tcPr/>
          <w:p>
            <w:pPr>
              <w:pStyle w:val="Compact"/>
              <w:jc w:val="right"/>
            </w:pPr>
            <w:r>
              <w:t xml:space="preserve">Row.total</w:t>
            </w:r>
          </w:p>
        </w:tc>
      </w:tr>
      <w:tr>
        <w:tc>
          <w:tcPr/>
          <w:p>
            <w:pPr>
              <w:pStyle w:val="Compact"/>
              <w:jc w:val="left"/>
            </w:pPr>
            <w:r>
              <w:t xml:space="preserve">bias-dominated</w:t>
            </w:r>
          </w:p>
        </w:tc>
        <w:tc>
          <w:tcPr/>
          <w:p>
            <w:pPr>
              <w:pStyle w:val="Compact"/>
              <w:jc w:val="right"/>
            </w:pPr>
            <w:r>
              <w:t xml:space="preserve">211831</w:t>
            </w:r>
          </w:p>
        </w:tc>
        <w:tc>
          <w:tcPr/>
          <w:p>
            <w:pPr>
              <w:pStyle w:val="Compact"/>
              <w:jc w:val="right"/>
            </w:pPr>
            <w:r>
              <w:t xml:space="preserve">265826</w:t>
            </w:r>
          </w:p>
        </w:tc>
        <w:tc>
          <w:tcPr/>
          <w:p>
            <w:pPr>
              <w:pStyle w:val="Compact"/>
              <w:jc w:val="right"/>
            </w:pPr>
            <w:r>
              <w:t xml:space="preserve">26343</w:t>
            </w:r>
          </w:p>
        </w:tc>
        <w:tc>
          <w:tcPr/>
          <w:p>
            <w:pPr>
              <w:pStyle w:val="Compact"/>
              <w:jc w:val="right"/>
            </w:pPr>
            <w:r>
              <w:t xml:space="preserve">504000</w:t>
            </w:r>
          </w:p>
        </w:tc>
      </w:tr>
      <w:tr>
        <w:tc>
          <w:tcPr/>
          <w:p>
            <w:pPr>
              <w:pStyle w:val="Compact"/>
              <w:jc w:val="left"/>
            </w:pPr>
            <w:r>
              <w:t xml:space="preserve">effect-dominated</w:t>
            </w:r>
          </w:p>
        </w:tc>
        <w:tc>
          <w:tcPr/>
          <w:p>
            <w:pPr>
              <w:pStyle w:val="Compact"/>
              <w:jc w:val="right"/>
            </w:pPr>
            <w:r>
              <w:t xml:space="preserve">149</w:t>
            </w:r>
          </w:p>
        </w:tc>
        <w:tc>
          <w:tcPr/>
          <w:p>
            <w:pPr>
              <w:pStyle w:val="Compact"/>
              <w:jc w:val="right"/>
            </w:pPr>
            <w:r>
              <w:t xml:space="preserve">26293</w:t>
            </w:r>
          </w:p>
        </w:tc>
        <w:tc>
          <w:tcPr/>
          <w:p>
            <w:pPr>
              <w:pStyle w:val="Compact"/>
              <w:jc w:val="right"/>
            </w:pPr>
            <w:r>
              <w:t xml:space="preserve">153558</w:t>
            </w:r>
          </w:p>
        </w:tc>
        <w:tc>
          <w:tcPr/>
          <w:p>
            <w:pPr>
              <w:pStyle w:val="Compact"/>
              <w:jc w:val="right"/>
            </w:pPr>
            <w:r>
              <w:t xml:space="preserve">180000</w:t>
            </w:r>
          </w:p>
        </w:tc>
      </w:tr>
      <w:tr>
        <w:tc>
          <w:tcPr/>
          <w:p>
            <w:pPr>
              <w:pStyle w:val="Compact"/>
              <w:jc w:val="left"/>
            </w:pPr>
            <w:r>
              <w:t xml:space="preserve">mixed</w:t>
            </w:r>
          </w:p>
        </w:tc>
        <w:tc>
          <w:tcPr/>
          <w:p>
            <w:pPr>
              <w:pStyle w:val="Compact"/>
              <w:jc w:val="right"/>
            </w:pPr>
            <w:r>
              <w:t xml:space="preserve">5273</w:t>
            </w:r>
          </w:p>
        </w:tc>
        <w:tc>
          <w:tcPr/>
          <w:p>
            <w:pPr>
              <w:pStyle w:val="Compact"/>
              <w:jc w:val="right"/>
            </w:pPr>
            <w:r>
              <w:t xml:space="preserve">144191</w:t>
            </w:r>
          </w:p>
        </w:tc>
        <w:tc>
          <w:tcPr/>
          <w:p>
            <w:pPr>
              <w:pStyle w:val="Compact"/>
              <w:jc w:val="right"/>
            </w:pPr>
            <w:r>
              <w:t xml:space="preserve">126536</w:t>
            </w:r>
          </w:p>
        </w:tc>
        <w:tc>
          <w:tcPr/>
          <w:p>
            <w:pPr>
              <w:pStyle w:val="Compact"/>
              <w:jc w:val="right"/>
            </w:pPr>
            <w:r>
              <w:t xml:space="preserve">276000</w:t>
            </w:r>
          </w:p>
        </w:tc>
      </w:tr>
    </w:tbl>
    <w:p>
      <w:pPr>
        <w:pStyle w:val="BodyText"/>
      </w:pPr>
      <w:r>
        <w:t xml:space="preserve">Zone accuracy was 53.1 overall, 42.0 among bias-dominated, 52.2 among mixed, and 85.3 among effect-dominated repetitions.</w:t>
      </w:r>
    </w:p>
    <w:bookmarkEnd w:id="18"/>
    <w:bookmarkStart w:id="19" w:name="s3.6-subgroup-robustness"/>
    <w:p>
      <w:pPr>
        <w:pStyle w:val="Heading3"/>
      </w:pPr>
      <w:r>
        <w:t xml:space="preserve">S3.6 Subgroup robustness</w:t>
      </w:r>
    </w:p>
    <w:p>
      <w:pPr>
        <w:pStyle w:val="TableCaption"/>
      </w:pPr>
      <w:r>
        <w:t xml:space="preserve">Table S7. Misuse rate across 7 pre-specified subgroups.</w:t>
      </w:r>
    </w:p>
    <w:tbl>
      <w:tblPr>
        <w:tblStyle w:val="Table"/>
        <w:tblW w:type="pct" w:w="5000"/>
        <w:tblLayout w:type="fixed"/>
        <w:tblLook w:firstRow="1" w:lastRow="0" w:firstColumn="0" w:lastColumn="0" w:noHBand="0" w:noVBand="0" w:val="0020"/>
        <w:tblCaption w:val="Table S7. Misuse rate across 7 pre-specified subgroups."/>
      </w:tblPr>
      <w:tblGrid>
        <w:gridCol w:w="1856"/>
        <w:gridCol w:w="433"/>
        <w:gridCol w:w="990"/>
        <w:gridCol w:w="1113"/>
        <w:gridCol w:w="1175"/>
        <w:gridCol w:w="1237"/>
        <w:gridCol w:w="1113"/>
      </w:tblGrid>
      <w:tr>
        <w:trPr>
          <w:tblHeader w:val="on"/>
        </w:trPr>
        <w:tc>
          <w:tcPr/>
          <w:p>
            <w:pPr>
              <w:pStyle w:val="Compact"/>
              <w:jc w:val="left"/>
            </w:pPr>
            <w:r>
              <w:t xml:space="preserve">Subgroup</w:t>
            </w:r>
          </w:p>
        </w:tc>
        <w:tc>
          <w:tcPr/>
          <w:p>
            <w:pPr>
              <w:pStyle w:val="Compact"/>
              <w:jc w:val="right"/>
            </w:pPr>
            <w:r>
              <w:t xml:space="preserve">N</w:t>
            </w:r>
          </w:p>
        </w:tc>
        <w:tc>
          <w:tcPr/>
          <w:p>
            <w:pPr>
              <w:pStyle w:val="Compact"/>
              <w:jc w:val="left"/>
            </w:pPr>
            <w:r>
              <w:t xml:space="preserve">Layer1.pass….</w:t>
            </w:r>
          </w:p>
        </w:tc>
        <w:tc>
          <w:tcPr/>
          <w:p>
            <w:pPr>
              <w:pStyle w:val="Compact"/>
              <w:jc w:val="left"/>
            </w:pPr>
            <w:r>
              <w:t xml:space="preserve">BD.among.pass….</w:t>
            </w:r>
          </w:p>
        </w:tc>
        <w:tc>
          <w:tcPr/>
          <w:p>
            <w:pPr>
              <w:pStyle w:val="Compact"/>
              <w:jc w:val="left"/>
            </w:pPr>
            <w:r>
              <w:t xml:space="preserve">Declare.usable….</w:t>
            </w:r>
          </w:p>
        </w:tc>
        <w:tc>
          <w:tcPr/>
          <w:p>
            <w:pPr>
              <w:pStyle w:val="Compact"/>
              <w:jc w:val="left"/>
            </w:pPr>
            <w:r>
              <w:t xml:space="preserve">BD.among.usable….</w:t>
            </w:r>
          </w:p>
        </w:tc>
        <w:tc>
          <w:tcPr/>
          <w:p>
            <w:pPr>
              <w:pStyle w:val="Compact"/>
              <w:jc w:val="right"/>
            </w:pPr>
            <w:r>
              <w:t xml:space="preserve">Median.half.width</w:t>
            </w:r>
          </w:p>
        </w:tc>
      </w:tr>
      <w:tr>
        <w:tc>
          <w:tcPr/>
          <w:p>
            <w:pPr>
              <w:pStyle w:val="Compact"/>
              <w:jc w:val="left"/>
            </w:pPr>
            <w:r>
              <w:t xml:space="preserve">K = 12 negative controls</w:t>
            </w:r>
          </w:p>
        </w:tc>
        <w:tc>
          <w:tcPr/>
          <w:p>
            <w:pPr>
              <w:pStyle w:val="Compact"/>
              <w:jc w:val="right"/>
            </w:pPr>
            <w:r>
              <w:t xml:space="preserve">320000</w:t>
            </w:r>
          </w:p>
        </w:tc>
        <w:tc>
          <w:tcPr/>
          <w:p>
            <w:pPr>
              <w:pStyle w:val="Compact"/>
              <w:jc w:val="left"/>
            </w:pPr>
            <w:r>
              <w:t xml:space="preserve">62.4</w:t>
            </w:r>
          </w:p>
        </w:tc>
        <w:tc>
          <w:tcPr/>
          <w:p>
            <w:pPr>
              <w:pStyle w:val="Compact"/>
              <w:jc w:val="left"/>
            </w:pPr>
            <w:r>
              <w:t xml:space="preserve">36.4</w:t>
            </w:r>
          </w:p>
        </w:tc>
        <w:tc>
          <w:tcPr/>
          <w:p>
            <w:pPr>
              <w:pStyle w:val="Compact"/>
              <w:jc w:val="left"/>
            </w:pPr>
            <w:r>
              <w:t xml:space="preserve">21.9</w:t>
            </w:r>
          </w:p>
        </w:tc>
        <w:tc>
          <w:tcPr/>
          <w:p>
            <w:pPr>
              <w:pStyle w:val="Compact"/>
              <w:jc w:val="left"/>
            </w:pPr>
            <w:r>
              <w:t xml:space="preserve">3.54</w:t>
            </w:r>
          </w:p>
        </w:tc>
        <w:tc>
          <w:tcPr/>
          <w:p>
            <w:pPr>
              <w:pStyle w:val="Compact"/>
              <w:jc w:val="right"/>
            </w:pPr>
            <w:r>
              <w:t xml:space="preserve">0.193</w:t>
            </w:r>
          </w:p>
        </w:tc>
      </w:tr>
      <w:tr>
        <w:tc>
          <w:tcPr/>
          <w:p>
            <w:pPr>
              <w:pStyle w:val="Compact"/>
              <w:jc w:val="left"/>
            </w:pPr>
            <w:r>
              <w:t xml:space="preserve">K = 25 negative controls</w:t>
            </w:r>
          </w:p>
        </w:tc>
        <w:tc>
          <w:tcPr/>
          <w:p>
            <w:pPr>
              <w:pStyle w:val="Compact"/>
              <w:jc w:val="right"/>
            </w:pPr>
            <w:r>
              <w:t xml:space="preserve">320000</w:t>
            </w:r>
          </w:p>
        </w:tc>
        <w:tc>
          <w:tcPr/>
          <w:p>
            <w:pPr>
              <w:pStyle w:val="Compact"/>
              <w:jc w:val="left"/>
            </w:pPr>
            <w:r>
              <w:t xml:space="preserve">61.8</w:t>
            </w:r>
          </w:p>
        </w:tc>
        <w:tc>
          <w:tcPr/>
          <w:p>
            <w:pPr>
              <w:pStyle w:val="Compact"/>
              <w:jc w:val="left"/>
            </w:pPr>
            <w:r>
              <w:t xml:space="preserve">35.9</w:t>
            </w:r>
          </w:p>
        </w:tc>
        <w:tc>
          <w:tcPr/>
          <w:p>
            <w:pPr>
              <w:pStyle w:val="Compact"/>
              <w:jc w:val="left"/>
            </w:pPr>
            <w:r>
              <w:t xml:space="preserve">21.5</w:t>
            </w:r>
          </w:p>
        </w:tc>
        <w:tc>
          <w:tcPr/>
          <w:p>
            <w:pPr>
              <w:pStyle w:val="Compact"/>
              <w:jc w:val="left"/>
            </w:pPr>
            <w:r>
              <w:t xml:space="preserve">2.83</w:t>
            </w:r>
          </w:p>
        </w:tc>
        <w:tc>
          <w:tcPr/>
          <w:p>
            <w:pPr>
              <w:pStyle w:val="Compact"/>
              <w:jc w:val="right"/>
            </w:pPr>
            <w:r>
              <w:t xml:space="preserve">0.121</w:t>
            </w:r>
          </w:p>
        </w:tc>
      </w:tr>
      <w:tr>
        <w:tc>
          <w:tcPr/>
          <w:p>
            <w:pPr>
              <w:pStyle w:val="Compact"/>
              <w:jc w:val="left"/>
            </w:pPr>
            <w:r>
              <w:t xml:space="preserve">K = 50 negative controls</w:t>
            </w:r>
          </w:p>
        </w:tc>
        <w:tc>
          <w:tcPr/>
          <w:p>
            <w:pPr>
              <w:pStyle w:val="Compact"/>
              <w:jc w:val="right"/>
            </w:pPr>
            <w:r>
              <w:t xml:space="preserve">320000</w:t>
            </w:r>
          </w:p>
        </w:tc>
        <w:tc>
          <w:tcPr/>
          <w:p>
            <w:pPr>
              <w:pStyle w:val="Compact"/>
              <w:jc w:val="left"/>
            </w:pPr>
            <w:r>
              <w:t xml:space="preserve">61.4</w:t>
            </w:r>
          </w:p>
        </w:tc>
        <w:tc>
          <w:tcPr/>
          <w:p>
            <w:pPr>
              <w:pStyle w:val="Compact"/>
              <w:jc w:val="left"/>
            </w:pPr>
            <w:r>
              <w:t xml:space="preserve">35.8</w:t>
            </w:r>
          </w:p>
        </w:tc>
        <w:tc>
          <w:tcPr/>
          <w:p>
            <w:pPr>
              <w:pStyle w:val="Compact"/>
              <w:jc w:val="left"/>
            </w:pPr>
            <w:r>
              <w:t xml:space="preserve">20.9</w:t>
            </w:r>
          </w:p>
        </w:tc>
        <w:tc>
          <w:tcPr/>
          <w:p>
            <w:pPr>
              <w:pStyle w:val="Compact"/>
              <w:jc w:val="left"/>
            </w:pPr>
            <w:r>
              <w:t xml:space="preserve">2.31</w:t>
            </w:r>
          </w:p>
        </w:tc>
        <w:tc>
          <w:tcPr/>
          <w:p>
            <w:pPr>
              <w:pStyle w:val="Compact"/>
              <w:jc w:val="right"/>
            </w:pPr>
            <w:r>
              <w:t xml:space="preserve">0.081</w:t>
            </w:r>
          </w:p>
        </w:tc>
      </w:tr>
      <w:tr>
        <w:tc>
          <w:tcPr/>
          <w:p>
            <w:pPr>
              <w:pStyle w:val="Compact"/>
              <w:jc w:val="left"/>
            </w:pPr>
            <w:r>
              <w:t xml:space="preserve">bias exchangeability held</w:t>
            </w:r>
          </w:p>
        </w:tc>
        <w:tc>
          <w:tcPr/>
          <w:p>
            <w:pPr>
              <w:pStyle w:val="Compact"/>
              <w:jc w:val="right"/>
            </w:pPr>
            <w:r>
              <w:t xml:space="preserve">480000</w:t>
            </w:r>
          </w:p>
        </w:tc>
        <w:tc>
          <w:tcPr/>
          <w:p>
            <w:pPr>
              <w:pStyle w:val="Compact"/>
              <w:jc w:val="left"/>
            </w:pPr>
            <w:r>
              <w:t xml:space="preserve">60.5</w:t>
            </w:r>
          </w:p>
        </w:tc>
        <w:tc>
          <w:tcPr/>
          <w:p>
            <w:pPr>
              <w:pStyle w:val="Compact"/>
              <w:jc w:val="left"/>
            </w:pPr>
            <w:r>
              <w:t xml:space="preserve">35.5</w:t>
            </w:r>
          </w:p>
        </w:tc>
        <w:tc>
          <w:tcPr/>
          <w:p>
            <w:pPr>
              <w:pStyle w:val="Compact"/>
              <w:jc w:val="left"/>
            </w:pPr>
            <w:r>
              <w:t xml:space="preserve">15.9</w:t>
            </w:r>
          </w:p>
        </w:tc>
        <w:tc>
          <w:tcPr/>
          <w:p>
            <w:pPr>
              <w:pStyle w:val="Compact"/>
              <w:jc w:val="left"/>
            </w:pPr>
            <w:r>
              <w:t xml:space="preserve">0.91</w:t>
            </w:r>
          </w:p>
        </w:tc>
        <w:tc>
          <w:tcPr/>
          <w:p>
            <w:pPr>
              <w:pStyle w:val="Compact"/>
              <w:jc w:val="right"/>
            </w:pPr>
            <w:r>
              <w:t xml:space="preserve">0.123</w:t>
            </w:r>
          </w:p>
        </w:tc>
      </w:tr>
      <w:tr>
        <w:tc>
          <w:tcPr/>
          <w:p>
            <w:pPr>
              <w:pStyle w:val="Compact"/>
              <w:jc w:val="left"/>
            </w:pPr>
            <w:r>
              <w:t xml:space="preserve">30% exchangeability violation</w:t>
            </w:r>
          </w:p>
        </w:tc>
        <w:tc>
          <w:tcPr/>
          <w:p>
            <w:pPr>
              <w:pStyle w:val="Compact"/>
              <w:jc w:val="right"/>
            </w:pPr>
            <w:r>
              <w:t xml:space="preserve">480000</w:t>
            </w:r>
          </w:p>
        </w:tc>
        <w:tc>
          <w:tcPr/>
          <w:p>
            <w:pPr>
              <w:pStyle w:val="Compact"/>
              <w:jc w:val="left"/>
            </w:pPr>
            <w:r>
              <w:t xml:space="preserve">63.2</w:t>
            </w:r>
          </w:p>
        </w:tc>
        <w:tc>
          <w:tcPr/>
          <w:p>
            <w:pPr>
              <w:pStyle w:val="Compact"/>
              <w:jc w:val="left"/>
            </w:pPr>
            <w:r>
              <w:t xml:space="preserve">36.6</w:t>
            </w:r>
          </w:p>
        </w:tc>
        <w:tc>
          <w:tcPr/>
          <w:p>
            <w:pPr>
              <w:pStyle w:val="Compact"/>
              <w:jc w:val="left"/>
            </w:pPr>
            <w:r>
              <w:t xml:space="preserve">27.0</w:t>
            </w:r>
          </w:p>
        </w:tc>
        <w:tc>
          <w:tcPr/>
          <w:p>
            <w:pPr>
              <w:pStyle w:val="Compact"/>
              <w:jc w:val="left"/>
            </w:pPr>
            <w:r>
              <w:t xml:space="preserve">4.08</w:t>
            </w:r>
          </w:p>
        </w:tc>
        <w:tc>
          <w:tcPr/>
          <w:p>
            <w:pPr>
              <w:pStyle w:val="Compact"/>
              <w:jc w:val="right"/>
            </w:pPr>
            <w:r>
              <w:t xml:space="preserve">0.137</w:t>
            </w:r>
          </w:p>
        </w:tc>
      </w:tr>
      <w:tr>
        <w:tc>
          <w:tcPr/>
          <w:p>
            <w:pPr>
              <w:pStyle w:val="Compact"/>
              <w:jc w:val="left"/>
            </w:pPr>
            <w:r>
              <w:t xml:space="preserve">sigma_ps = 0.06</w:t>
            </w:r>
          </w:p>
        </w:tc>
        <w:tc>
          <w:tcPr/>
          <w:p>
            <w:pPr>
              <w:pStyle w:val="Compact"/>
              <w:jc w:val="right"/>
            </w:pPr>
            <w:r>
              <w:t xml:space="preserve">480000</w:t>
            </w:r>
          </w:p>
        </w:tc>
        <w:tc>
          <w:tcPr/>
          <w:p>
            <w:pPr>
              <w:pStyle w:val="Compact"/>
              <w:jc w:val="left"/>
            </w:pPr>
            <w:r>
              <w:t xml:space="preserve">69.9</w:t>
            </w:r>
          </w:p>
        </w:tc>
        <w:tc>
          <w:tcPr/>
          <w:p>
            <w:pPr>
              <w:pStyle w:val="Compact"/>
              <w:jc w:val="left"/>
            </w:pPr>
            <w:r>
              <w:t xml:space="preserve">38.4</w:t>
            </w:r>
          </w:p>
        </w:tc>
        <w:tc>
          <w:tcPr/>
          <w:p>
            <w:pPr>
              <w:pStyle w:val="Compact"/>
              <w:jc w:val="left"/>
            </w:pPr>
            <w:r>
              <w:t xml:space="preserve">22.6</w:t>
            </w:r>
          </w:p>
        </w:tc>
        <w:tc>
          <w:tcPr/>
          <w:p>
            <w:pPr>
              <w:pStyle w:val="Compact"/>
              <w:jc w:val="left"/>
            </w:pPr>
            <w:r>
              <w:t xml:space="preserve">2.07</w:t>
            </w:r>
          </w:p>
        </w:tc>
        <w:tc>
          <w:tcPr/>
          <w:p>
            <w:pPr>
              <w:pStyle w:val="Compact"/>
              <w:jc w:val="right"/>
            </w:pPr>
            <w:r>
              <w:t xml:space="preserve">0.132</w:t>
            </w:r>
          </w:p>
        </w:tc>
      </w:tr>
      <w:tr>
        <w:tc>
          <w:tcPr/>
          <w:p>
            <w:pPr>
              <w:pStyle w:val="Compact"/>
              <w:jc w:val="left"/>
            </w:pPr>
            <w:r>
              <w:t xml:space="preserve">sigma_ps = 0.10</w:t>
            </w:r>
          </w:p>
        </w:tc>
        <w:tc>
          <w:tcPr/>
          <w:p>
            <w:pPr>
              <w:pStyle w:val="Compact"/>
              <w:jc w:val="right"/>
            </w:pPr>
            <w:r>
              <w:t xml:space="preserve">480000</w:t>
            </w:r>
          </w:p>
        </w:tc>
        <w:tc>
          <w:tcPr/>
          <w:p>
            <w:pPr>
              <w:pStyle w:val="Compact"/>
              <w:jc w:val="left"/>
            </w:pPr>
            <w:r>
              <w:t xml:space="preserve">53.8</w:t>
            </w:r>
          </w:p>
        </w:tc>
        <w:tc>
          <w:tcPr/>
          <w:p>
            <w:pPr>
              <w:pStyle w:val="Compact"/>
              <w:jc w:val="left"/>
            </w:pPr>
            <w:r>
              <w:t xml:space="preserve">32.9</w:t>
            </w:r>
          </w:p>
        </w:tc>
        <w:tc>
          <w:tcPr/>
          <w:p>
            <w:pPr>
              <w:pStyle w:val="Compact"/>
              <w:jc w:val="left"/>
            </w:pPr>
            <w:r>
              <w:t xml:space="preserve">20.4</w:t>
            </w:r>
          </w:p>
        </w:tc>
        <w:tc>
          <w:tcPr/>
          <w:p>
            <w:pPr>
              <w:pStyle w:val="Compact"/>
              <w:jc w:val="left"/>
            </w:pPr>
            <w:r>
              <w:t xml:space="preserve">3.82</w:t>
            </w:r>
          </w:p>
        </w:tc>
        <w:tc>
          <w:tcPr/>
          <w:p>
            <w:pPr>
              <w:pStyle w:val="Compact"/>
              <w:jc w:val="right"/>
            </w:pPr>
            <w:r>
              <w:t xml:space="preserve">0.128</w:t>
            </w:r>
          </w:p>
        </w:tc>
      </w:tr>
    </w:tbl>
    <w:bookmarkEnd w:id="19"/>
    <w:bookmarkStart w:id="20" w:name="s3.7-discrimination"/>
    <w:p>
      <w:pPr>
        <w:pStyle w:val="Heading3"/>
      </w:pPr>
      <w:r>
        <w:t xml:space="preserve">S3.7 Discrimination</w:t>
      </w:r>
    </w:p>
    <w:p>
      <w:pPr>
        <w:pStyle w:val="TableCaption"/>
      </w:pPr>
      <w:r>
        <w:t xml:space="preserve">Table S8. Discrimination (AUC). The area under the curve is read from the bias-dominated view, meaning that withholding a repetition is a positive call and being truly bias-dominated is a positive truth. Figure 8 of the main text reports the same three scores from both viewpoints.</w:t>
      </w:r>
    </w:p>
    <w:tbl>
      <w:tblPr>
        <w:tblStyle w:val="Table"/>
        <w:tblW w:type="pct" w:w="5000"/>
        <w:tblLayout w:type="fixed"/>
        <w:tblLook w:firstRow="1" w:lastRow="0" w:firstColumn="0" w:lastColumn="0" w:noHBand="0" w:noVBand="0" w:val="0020"/>
        <w:tblCaption w:val="Table S8. Discrimination (AUC). The area under the curve is read from the bias-dominated view, meaning that withholding a repetition is a positive call and being truly bias-dominated is a positive truth. Figure 8 of the main text reports the same three scores from both viewpoints."/>
      </w:tblPr>
      <w:tblGrid>
        <w:gridCol w:w="3908"/>
        <w:gridCol w:w="617"/>
        <w:gridCol w:w="3394"/>
      </w:tblGrid>
      <w:tr>
        <w:trPr>
          <w:tblHeader w:val="on"/>
        </w:trPr>
        <w:tc>
          <w:tcPr/>
          <w:p>
            <w:pPr>
              <w:pStyle w:val="Compact"/>
              <w:jc w:val="left"/>
            </w:pPr>
            <w:r>
              <w:t xml:space="preserve">Predictor</w:t>
            </w:r>
          </w:p>
        </w:tc>
        <w:tc>
          <w:tcPr/>
          <w:p>
            <w:pPr>
              <w:pStyle w:val="Compact"/>
              <w:jc w:val="left"/>
            </w:pPr>
            <w:r>
              <w:t xml:space="preserve">AUC</w:t>
            </w:r>
          </w:p>
        </w:tc>
        <w:tc>
          <w:tcPr/>
          <w:p>
            <w:pPr>
              <w:pStyle w:val="Compact"/>
              <w:jc w:val="left"/>
            </w:pPr>
            <w:r>
              <w:t xml:space="preserve">LR.chi2.note</w:t>
            </w:r>
          </w:p>
        </w:tc>
      </w:tr>
      <w:tr>
        <w:tc>
          <w:tcPr/>
          <w:p>
            <w:pPr>
              <w:pStyle w:val="Compact"/>
              <w:jc w:val="left"/>
            </w:pPr>
            <w:r>
              <w:t xml:space="preserve">calibrated p-value alone</w:t>
            </w:r>
          </w:p>
        </w:tc>
        <w:tc>
          <w:tcPr/>
          <w:p>
            <w:pPr>
              <w:pStyle w:val="Compact"/>
              <w:jc w:val="left"/>
            </w:pPr>
            <w:r>
              <w:t xml:space="preserve">0.787</w:t>
            </w:r>
          </w:p>
        </w:tc>
        <w:tc>
          <w:tcPr/>
          <w:p>
            <w:pPr>
              <w:pStyle w:val="Compact"/>
              <w:jc w:val="left"/>
            </w:pPr>
            <w:r>
              <w:t xml:space="preserve">-</w:t>
            </w:r>
          </w:p>
        </w:tc>
      </w:tr>
      <w:tr>
        <w:tc>
          <w:tcPr/>
          <w:p>
            <w:pPr>
              <w:pStyle w:val="Compact"/>
              <w:jc w:val="left"/>
            </w:pPr>
            <w:r>
              <w:t xml:space="preserve">BF_hat alone</w:t>
            </w:r>
          </w:p>
        </w:tc>
        <w:tc>
          <w:tcPr/>
          <w:p>
            <w:pPr>
              <w:pStyle w:val="Compact"/>
              <w:jc w:val="left"/>
            </w:pPr>
            <w:r>
              <w:t xml:space="preserve">0.918</w:t>
            </w:r>
          </w:p>
        </w:tc>
        <w:tc>
          <w:tcPr/>
          <w:p>
            <w:pPr>
              <w:pStyle w:val="Compact"/>
              <w:jc w:val="left"/>
            </w:pPr>
            <w:r>
              <w:t xml:space="preserve">-</w:t>
            </w:r>
          </w:p>
        </w:tc>
      </w:tr>
      <w:tr>
        <w:tc>
          <w:tcPr/>
          <w:p>
            <w:pPr>
              <w:pStyle w:val="Compact"/>
              <w:jc w:val="left"/>
            </w:pPr>
            <w:r>
              <w:t xml:space="preserve">BF_hat + CI half-width</w:t>
            </w:r>
          </w:p>
        </w:tc>
        <w:tc>
          <w:tcPr/>
          <w:p>
            <w:pPr>
              <w:pStyle w:val="Compact"/>
              <w:jc w:val="left"/>
            </w:pPr>
            <w:r>
              <w:t xml:space="preserve">0.918</w:t>
            </w:r>
          </w:p>
        </w:tc>
        <w:tc>
          <w:tcPr/>
          <w:p>
            <w:pPr>
              <w:pStyle w:val="Compact"/>
              <w:jc w:val="left"/>
            </w:pPr>
            <w:r>
              <w:t xml:space="preserve">LR chi2 = 70.3, df = 1, p &lt; .001</w:t>
            </w:r>
          </w:p>
        </w:tc>
      </w:tr>
      <w:tr>
        <w:tc>
          <w:tcPr/>
          <w:p>
            <w:pPr>
              <w:pStyle w:val="Compact"/>
              <w:jc w:val="left"/>
            </w:pPr>
            <w:r>
              <w:t xml:space="preserve">BF_hat + CI half-width + calibrated p</w:t>
            </w:r>
          </w:p>
        </w:tc>
        <w:tc>
          <w:tcPr/>
          <w:p>
            <w:pPr>
              <w:pStyle w:val="Compact"/>
              <w:jc w:val="left"/>
            </w:pPr>
            <w:r>
              <w:t xml:space="preserve">0.919</w:t>
            </w:r>
          </w:p>
        </w:tc>
        <w:tc>
          <w:tcPr/>
          <w:p>
            <w:pPr>
              <w:pStyle w:val="Compact"/>
              <w:jc w:val="left"/>
            </w:pPr>
            <w:r>
              <w:t xml:space="preserve">-</w:t>
            </w:r>
          </w:p>
        </w:tc>
      </w:tr>
    </w:tbl>
    <w:p>
      <w:pPr>
        <w:pStyle w:val="BodyText"/>
      </w:pPr>
      <w:r>
        <w:t xml:space="preserve">The likelihood-ratio chi-square test for adding credible-interval half-width to BF̂ was χ² = 70.3, df = 1, p &lt; .001. The odds ratio per unit increase in CI half-width was 1.30.</w:t>
      </w:r>
    </w:p>
    <w:bookmarkEnd w:id="20"/>
    <w:bookmarkStart w:id="21" w:name="Xa44da2396c88fb7e008623c59cf63a514819040"/>
    <w:p>
      <w:pPr>
        <w:pStyle w:val="Heading3"/>
      </w:pPr>
      <w:r>
        <w:t xml:space="preserve">S3.8 Credible-interval width and coverage</w:t>
      </w:r>
    </w:p>
    <w:p>
      <w:pPr>
        <w:pStyle w:val="FirstParagraph"/>
      </w:pPr>
      <w:r>
        <w:t xml:space="preserve">The median half-width was 0.130 (quartiles 0.088, 0.191). Coverage of the MCMC 95% credible interval was 71.1 overall, 58.5 for narrow intervals, and 83.8 for wide intervals. Mean half-width by K was 0.218 for K = 12 and 0.144 for K = 25. The calibrated P-value at the 0.05 threshold declared 61.9 of repetitions passable versus 91.7 for the uncalibrated P-value; the pass rate among bias-dominated truth was 42.5, among mixed 80.2, and among effect-dominated 88.1.</w:t>
      </w:r>
    </w:p>
    <w:p>
      <w:r>
        <w:pict>
          <v:rect style="width:0;height:1.5pt" o:hralign="center" o:hrstd="t" o:hr="t"/>
        </w:pict>
      </w:r>
    </w:p>
    <w:bookmarkEnd w:id="21"/>
    <w:bookmarkEnd w:id="22"/>
    <w:bookmarkStart w:id="26" w:name="X1469099585c03b400cbcc854bd85b1fcd14e28e"/>
    <w:p>
      <w:pPr>
        <w:pStyle w:val="Heading2"/>
      </w:pPr>
      <w:r>
        <w:t xml:space="preserve">S4. Part III supplementary: case-study estimation</w:t>
      </w:r>
    </w:p>
    <w:bookmarkStart w:id="23" w:name="s4.1-negative-control-empirical-null"/>
    <w:p>
      <w:pPr>
        <w:pStyle w:val="Heading3"/>
      </w:pPr>
      <w:r>
        <w:t xml:space="preserve">S4.1 Negative-control empirical null</w:t>
      </w:r>
    </w:p>
    <w:p>
      <w:pPr>
        <w:pStyle w:val="FirstParagraph"/>
      </w:pPr>
      <w:r>
        <w:t xml:space="preserve">The jointly estimated empirical null had center μ̂_B = -0.190 and scale σ̂_B = 0.068; the Shapiro-Wilk test of the 12 negative-control residuals gave p = 0.168, and the calibrated log relative risks of the controls ranged from -0.531 to -0.002.</w:t>
      </w:r>
    </w:p>
    <w:bookmarkEnd w:id="23"/>
    <w:bookmarkStart w:id="24" w:name="s4.2-full-case-estimation"/>
    <w:p>
      <w:pPr>
        <w:pStyle w:val="Heading3"/>
      </w:pPr>
      <w:r>
        <w:t xml:space="preserve">S4.2 Full case estimation</w:t>
      </w:r>
    </w:p>
    <w:p>
      <w:pPr>
        <w:pStyle w:val="TableCaption"/>
      </w:pPr>
      <w:r>
        <w:t xml:space="preserve">Table S9. Full estimation output for the two clinical questions.</w:t>
      </w:r>
    </w:p>
    <w:tbl>
      <w:tblPr>
        <w:tblStyle w:val="Table"/>
        <w:tblW w:type="pct" w:w="5000"/>
        <w:tblLayout w:type="fixed"/>
        <w:tblLook w:firstRow="1" w:lastRow="0" w:firstColumn="0" w:lastColumn="0" w:noHBand="0" w:noVBand="0" w:val="0020"/>
        <w:tblCaption w:val="Table S9. Full estimation output for the two clinical questions."/>
      </w:tblPr>
      <w:tblGrid>
        <w:gridCol w:w="2172"/>
        <w:gridCol w:w="630"/>
        <w:gridCol w:w="490"/>
        <w:gridCol w:w="490"/>
        <w:gridCol w:w="420"/>
        <w:gridCol w:w="420"/>
        <w:gridCol w:w="420"/>
        <w:gridCol w:w="770"/>
        <w:gridCol w:w="2102"/>
      </w:tblGrid>
      <w:tr>
        <w:trPr>
          <w:tblHeader w:val="on"/>
        </w:trPr>
        <w:tc>
          <w:tcPr/>
          <w:p>
            <w:pPr>
              <w:pStyle w:val="Compact"/>
              <w:jc w:val="left"/>
            </w:pPr>
            <w:r>
              <w:t xml:space="preserve">Question</w:t>
            </w:r>
          </w:p>
        </w:tc>
        <w:tc>
          <w:tcPr/>
          <w:p>
            <w:pPr>
              <w:pStyle w:val="Compact"/>
              <w:jc w:val="right"/>
            </w:pPr>
            <w:r>
              <w:t xml:space="preserve">Uncal.RR</w:t>
            </w:r>
          </w:p>
        </w:tc>
        <w:tc>
          <w:tcPr/>
          <w:p>
            <w:pPr>
              <w:pStyle w:val="Compact"/>
              <w:jc w:val="right"/>
            </w:pPr>
            <w:r>
              <w:t xml:space="preserve">Cal.RR</w:t>
            </w:r>
          </w:p>
        </w:tc>
        <w:tc>
          <w:tcPr/>
          <w:p>
            <w:pPr>
              <w:pStyle w:val="Compact"/>
              <w:jc w:val="right"/>
            </w:pPr>
            <w:r>
              <w:t xml:space="preserve">Cal.P</w:t>
            </w:r>
          </w:p>
        </w:tc>
        <w:tc>
          <w:tcPr/>
          <w:p>
            <w:pPr>
              <w:pStyle w:val="Compact"/>
              <w:jc w:val="right"/>
            </w:pPr>
            <w:r>
              <w:t xml:space="preserve">BFhat</w:t>
            </w:r>
          </w:p>
        </w:tc>
        <w:tc>
          <w:tcPr/>
          <w:p>
            <w:pPr>
              <w:pStyle w:val="Compact"/>
              <w:jc w:val="right"/>
            </w:pPr>
            <w:r>
              <w:t xml:space="preserve">BF.lo</w:t>
            </w:r>
          </w:p>
        </w:tc>
        <w:tc>
          <w:tcPr/>
          <w:p>
            <w:pPr>
              <w:pStyle w:val="Compact"/>
              <w:jc w:val="right"/>
            </w:pPr>
            <w:r>
              <w:t xml:space="preserve">BF.hi</w:t>
            </w:r>
          </w:p>
        </w:tc>
        <w:tc>
          <w:tcPr/>
          <w:p>
            <w:pPr>
              <w:pStyle w:val="Compact"/>
              <w:jc w:val="right"/>
            </w:pPr>
            <w:r>
              <w:t xml:space="preserve">p.bias.dom</w:t>
            </w:r>
          </w:p>
        </w:tc>
        <w:tc>
          <w:tcPr/>
          <w:p>
            <w:pPr>
              <w:pStyle w:val="Compact"/>
              <w:jc w:val="left"/>
            </w:pPr>
            <w:r>
              <w:t xml:space="preserve">Verdict</w:t>
            </w:r>
          </w:p>
        </w:tc>
      </w:tr>
      <w:tr>
        <w:tc>
          <w:tcPr/>
          <w:p>
            <w:pPr>
              <w:pStyle w:val="Compact"/>
              <w:jc w:val="left"/>
            </w:pPr>
            <w:r>
              <w:t xml:space="preserve">Beta-blocker &gt;=50% target dose</w:t>
            </w:r>
          </w:p>
        </w:tc>
        <w:tc>
          <w:tcPr/>
          <w:p>
            <w:pPr>
              <w:pStyle w:val="Compact"/>
              <w:jc w:val="right"/>
            </w:pPr>
            <w:r>
              <w:t xml:space="preserve">0.832</w:t>
            </w:r>
          </w:p>
        </w:tc>
        <w:tc>
          <w:tcPr/>
          <w:p>
            <w:pPr>
              <w:pStyle w:val="Compact"/>
              <w:jc w:val="right"/>
            </w:pPr>
            <w:r>
              <w:t xml:space="preserve">1.006</w:t>
            </w:r>
          </w:p>
        </w:tc>
        <w:tc>
          <w:tcPr/>
          <w:p>
            <w:pPr>
              <w:pStyle w:val="Compact"/>
              <w:jc w:val="right"/>
            </w:pPr>
            <w:r>
              <w:t xml:space="preserve">0.9433</w:t>
            </w:r>
          </w:p>
        </w:tc>
        <w:tc>
          <w:tcPr/>
          <w:p>
            <w:pPr>
              <w:pStyle w:val="Compact"/>
              <w:jc w:val="right"/>
            </w:pPr>
            <w:r>
              <w:t xml:space="preserve">0.906</w:t>
            </w:r>
          </w:p>
        </w:tc>
        <w:tc>
          <w:tcPr/>
          <w:p>
            <w:pPr>
              <w:pStyle w:val="Compact"/>
              <w:jc w:val="right"/>
            </w:pPr>
            <w:r>
              <w:t xml:space="preserve">0.740</w:t>
            </w:r>
          </w:p>
        </w:tc>
        <w:tc>
          <w:tcPr/>
          <w:p>
            <w:pPr>
              <w:pStyle w:val="Compact"/>
              <w:jc w:val="right"/>
            </w:pPr>
            <w:r>
              <w:t xml:space="preserve">0.993</w:t>
            </w:r>
          </w:p>
        </w:tc>
        <w:tc>
          <w:tcPr/>
          <w:p>
            <w:pPr>
              <w:pStyle w:val="Compact"/>
              <w:jc w:val="right"/>
            </w:pPr>
            <w:r>
              <w:t xml:space="preserve">0.997</w:t>
            </w:r>
          </w:p>
        </w:tc>
        <w:tc>
          <w:tcPr/>
          <w:p>
            <w:pPr>
              <w:pStyle w:val="Compact"/>
              <w:jc w:val="left"/>
            </w:pPr>
            <w:r>
              <w:t xml:space="preserve">not usable as effect evidence</w:t>
            </w:r>
          </w:p>
        </w:tc>
      </w:tr>
      <w:tr>
        <w:tc>
          <w:tcPr/>
          <w:p>
            <w:pPr>
              <w:pStyle w:val="Compact"/>
              <w:jc w:val="left"/>
            </w:pPr>
            <w:r>
              <w:t xml:space="preserve">GDMT &gt;=2 of 3 classes</w:t>
            </w:r>
          </w:p>
        </w:tc>
        <w:tc>
          <w:tcPr/>
          <w:p>
            <w:pPr>
              <w:pStyle w:val="Compact"/>
              <w:jc w:val="right"/>
            </w:pPr>
            <w:r>
              <w:t xml:space="preserve">0.646</w:t>
            </w:r>
          </w:p>
        </w:tc>
        <w:tc>
          <w:tcPr/>
          <w:p>
            <w:pPr>
              <w:pStyle w:val="Compact"/>
              <w:jc w:val="right"/>
            </w:pPr>
            <w:r>
              <w:t xml:space="preserve">0.781</w:t>
            </w:r>
          </w:p>
        </w:tc>
        <w:tc>
          <w:tcPr/>
          <w:p>
            <w:pPr>
              <w:pStyle w:val="Compact"/>
              <w:jc w:val="right"/>
            </w:pPr>
            <w:r>
              <w:t xml:space="preserve">0.0066</w:t>
            </w:r>
          </w:p>
        </w:tc>
        <w:tc>
          <w:tcPr/>
          <w:p>
            <w:pPr>
              <w:pStyle w:val="Compact"/>
              <w:jc w:val="right"/>
            </w:pPr>
            <w:r>
              <w:t xml:space="preserve">0.446</w:t>
            </w:r>
          </w:p>
        </w:tc>
        <w:tc>
          <w:tcPr/>
          <w:p>
            <w:pPr>
              <w:pStyle w:val="Compact"/>
              <w:jc w:val="right"/>
            </w:pPr>
            <w:r>
              <w:t xml:space="preserve">0.312</w:t>
            </w:r>
          </w:p>
        </w:tc>
        <w:tc>
          <w:tcPr/>
          <w:p>
            <w:pPr>
              <w:pStyle w:val="Compact"/>
              <w:jc w:val="right"/>
            </w:pPr>
            <w:r>
              <w:t xml:space="preserve">0.528</w:t>
            </w:r>
          </w:p>
        </w:tc>
        <w:tc>
          <w:tcPr/>
          <w:p>
            <w:pPr>
              <w:pStyle w:val="Compact"/>
              <w:jc w:val="right"/>
            </w:pPr>
            <w:r>
              <w:t xml:space="preserve">0.502</w:t>
            </w:r>
          </w:p>
        </w:tc>
        <w:tc>
          <w:tcPr/>
          <w:p>
            <w:pPr>
              <w:pStyle w:val="Compact"/>
              <w:jc w:val="left"/>
            </w:pPr>
            <w:r>
              <w:t xml:space="preserve">competitive, no verdict</w:t>
            </w:r>
          </w:p>
        </w:tc>
      </w:tr>
    </w:tbl>
    <w:bookmarkEnd w:id="24"/>
    <w:bookmarkStart w:id="25" w:name="s4.3-sensitivity-analyses-question-1"/>
    <w:p>
      <w:pPr>
        <w:pStyle w:val="Heading3"/>
      </w:pPr>
      <w:r>
        <w:t xml:space="preserve">S4.3 Sensitivity analyses (question 1)</w:t>
      </w:r>
    </w:p>
    <w:p>
      <w:pPr>
        <w:pStyle w:val="FirstParagraph"/>
      </w:pPr>
      <w:r>
        <w:t xml:space="preserve">Leave-one-out across the 12 negative controls gave BF̂ ranging from 0.890 to 0.989 (fall-back BF̂ = 0.982). Replacement of the Super Learner library gave BF̂ = 0.901 (0.748 to 0.995), 0.896 (0.753 to 0.995), and 0.918 (0.718 to 0.995) under the three alternative libraries. The Gaussian-process propensity-score perturbation gave calibrated relative risk 0.995 to 1.048 and BF̂ 0.801 to 0.976. All sensitivity analyses preserved the</w:t>
      </w:r>
      <w:r>
        <w:t xml:space="preserve"> </w:t>
      </w:r>
      <w:r>
        <w:t xml:space="preserve">“not usable as effect evidence”</w:t>
      </w:r>
      <w:r>
        <w:t xml:space="preserve"> </w:t>
      </w:r>
      <w:r>
        <w:t xml:space="preserve">verdict for question 1 and the</w:t>
      </w:r>
      <w:r>
        <w:t xml:space="preserve"> </w:t>
      </w:r>
      <w:r>
        <w:t xml:space="preserve">“competitive, no verdict”</w:t>
      </w:r>
      <w:r>
        <w:t xml:space="preserve"> </w:t>
      </w:r>
      <w:r>
        <w:t xml:space="preserve">zone for question 2.</w:t>
      </w:r>
    </w:p>
    <w:p>
      <w:r>
        <w:pict>
          <v:rect style="width:0;height:1.5pt" o:hralign="center" o:hrstd="t" o:hr="t"/>
        </w:pict>
      </w:r>
    </w:p>
    <w:bookmarkEnd w:id="25"/>
    <w:bookmarkEnd w:id="26"/>
    <w:bookmarkStart w:id="30" w:name="s5.-software-and-reproducibility"/>
    <w:p>
      <w:pPr>
        <w:pStyle w:val="Heading2"/>
      </w:pPr>
      <w:r>
        <w:t xml:space="preserve">S5. Software and reproducibility</w:t>
      </w:r>
    </w:p>
    <w:p>
      <w:pPr>
        <w:pStyle w:val="FirstParagraph"/>
      </w:pPr>
      <w:r>
        <w:t xml:space="preserve">The estimator is implemented in the R package EmpiricalCalibration</w:t>
      </w:r>
      <w:r>
        <w:rPr>
          <w:vertAlign w:val="superscript"/>
        </w:rPr>
        <w:t xml:space="preserve">1</w:t>
      </w:r>
      <w:r>
        <w:t xml:space="preserve">; the BF extension is provided by the accompanying R code archived with this manuscript. The analysis pipeline reads MIMIC IV and MIMIC IV ECG under approved data-use agreements; the derived negative-control and estimation tables, the simulation frame, and the single JSON of reported numbers are released with the manuscript repository. The companion interactive explainer consumes the same JSON so that every figure and table in the manuscript and the explainer are guaranteed to agree.</w:t>
      </w:r>
    </w:p>
    <w:bookmarkStart w:id="29" w:name="refs"/>
    <w:bookmarkStart w:id="28" w:name="ref-schuemie2018empirical"/>
    <w:p>
      <w:pPr>
        <w:pStyle w:val="Bibliography"/>
      </w:pPr>
      <w:r>
        <w:t xml:space="preserve">1.</w:t>
      </w:r>
      <w:r>
        <w:t xml:space="preserve"> </w:t>
      </w:r>
      <w:r>
        <w:t xml:space="preserve">	</w:t>
      </w:r>
      <w:r>
        <w:t xml:space="preserve">Schuemie MJ, Hripcsak G, Ryan PB, Madigan D, Suchard MA. Empirical confidence interval calibration for population-level effect estimation studies in observational healthcare data.</w:t>
      </w:r>
      <w:r>
        <w:t xml:space="preserve"> </w:t>
      </w:r>
      <w:r>
        <w:rPr>
          <w:i/>
          <w:iCs/>
        </w:rPr>
        <w:t xml:space="preserve">Proceedings of the National Academy of Sciences</w:t>
      </w:r>
      <w:r>
        <w:t xml:space="preserve">. 2018;115(11):2571-2577. doi:</w:t>
      </w:r>
      <w:hyperlink r:id="rId27">
        <w:r>
          <w:rPr>
            <w:rStyle w:val="Hyperlink"/>
          </w:rPr>
          <w:t xml:space="preserve">10.1073/pnas.1708282114</w:t>
        </w:r>
      </w:hyperlink>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7" Target="https://doi.org/10.1073/pnas.1708282114" TargetMode="External" /></Relationships>
</file>

<file path=word/_rels/footnotes.xml.rels><?xml version="1.0" encoding="UTF-8"?><Relationships xmlns="http://schemas.openxmlformats.org/package/2006/relationships"><Relationship Type="http://schemas.openxmlformats.org/officeDocument/2006/relationships/hyperlink" Id="rId27" Target="https://doi.org/10.1073/pnas.170828211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Appendix: Quantifying Systematic Bias in Observational Causal Estimates Using Negative Controls: The Bias Fraction</dc:title>
  <dc:creator>Zeng Zhechun; Wang Jinwen; Zuo Huijuan; Shu Lixia</dc:creator>
  <cp:keywords/>
  <dcterms:created xsi:type="dcterms:W3CDTF">2026-09-03T04:20:07Z</dcterms:created>
  <dcterms:modified xsi:type="dcterms:W3CDTF">2026-09-03T04:20:07Z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american-medical-association.csl</vt:lpwstr>
  </property>
  <property fmtid="{D5CDD505-2E9C-101B-9397-08002B2CF9AE}" pid="9" name="date">
    <vt:lpwstr>2026-08-27</vt:lpwstr>
  </property>
  <property fmtid="{D5CDD505-2E9C-101B-9397-08002B2CF9AE}" pid="10" name="engines">
    <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oc-title">
    <vt:lpwstr>Table of contents</vt:lpwstr>
  </property>
</Properties>
</file>