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Bias in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101149,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a metric derived from negative control calibration, quantify the fraction of systematic bias in observational causal estimates?</w:t>
      </w:r>
    </w:p>
    <w:p>
      <w:pPr>
        <w:pStyle w:val="BodyText"/>
      </w:pPr>
      <w:r>
        <w:rPr>
          <w:i/>
          <w:iCs/>
        </w:rPr>
        <w:t xml:space="preserve">Findings:</w:t>
      </w:r>
      <w:r>
        <w:t xml:space="preserve"> </w:t>
      </w:r>
      <w:r>
        <w:t xml:space="preserve">In a 1,920,000-repetition simulation, Bland-Altman analysis showed moderate agreement of the BAF estimator with truth (mean difference -0.04; concordance 0.81, full two-grid design); the calibrated P value, BAF, and its interval reduced the misuse rate from 36.0% to 3.0%. In the beta-blocker case study (14,677 patients), BAF returned two distinct determinations despite a TARGET-compliant design and doubly robust TMLE: the target-dose question was bias-dominated (BAF = 0.87, not usable as effect evidence) and the guideline-directed therapy question gave a competitive determination with no usable determination, with BAF = 0.46 in the mixed zone and its 95% credible interval spanning both zone boundaries. The calibrated P value did not separate the two questions; BAF did.</w:t>
      </w:r>
    </w:p>
    <w:p>
      <w:pPr>
        <w:pStyle w:val="BodyText"/>
      </w:pPr>
      <w:r>
        <w:rPr>
          <w:i/>
          <w:iCs/>
        </w:rPr>
        <w:t xml:space="preserve">Meaning:</w:t>
      </w:r>
      <w:r>
        <w:t xml:space="preserve"> </w:t>
      </w:r>
      <w:r>
        <w:t xml:space="preserve">BAF extends the binary calibrated P value into a three-part assessment: whether a signal exists, its size, and the fraction attributable to bias, at no additional data cost, making observational findings more interpretable and comparable within a common negative-control framework.</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Observational comparative effectiveness studies rely on the no-unmeasured-confounding assumption; only 30.8% of 237 target trial emulation (TTE) studies used statistical methods to assess it. Negative control calibration detects residual bias but returns only a calibrated P value, a binary pass-or-fail threshold, without quantifying the magnitude of bias relative to the surviving effect.</w:t>
      </w:r>
    </w:p>
    <w:p>
      <w:pPr>
        <w:pStyle w:val="BodyText"/>
      </w:pPr>
      <w:r>
        <w:rPr>
          <w:b/>
          <w:i w:val="0"/>
          <w:iCs/>
        </w:rPr>
        <w:t xml:space="preserve">Objective.</w:t>
      </w:r>
      <w:r>
        <w:t xml:space="preserve"> </w:t>
      </w:r>
      <w:r>
        <w:t xml:space="preserve">To develop and evaluate the Bias Attribution Fraction (BAF), a bounded credibility metric quantifying the fraction of systematic bias in a calibrated observational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for all performance analyses) evaluated the BAF estimator by Bland-Altman agreement (primary) and, as a secondary outcome, by a two-layer decision rule, a calibrated P value followed by the BAF and its interval, calibrated against the known truth. The estimator was then applied in a beta-blocker case study under a TARGET-compliant TTE design with doubly robust targeted maximum likelihood estimation (TMLE) and 12 negative controls, comparing two treatment strategies with respect to 1-year mortality among 14,677 hospitalized heart failure patients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(mean bias, limits of agreement, Lin concordance); the two-layer decision rule and the case study BAF determinations were secondary.</w:t>
      </w:r>
    </w:p>
    <w:p>
      <w:pPr>
        <w:pStyle w:val="BodyText"/>
      </w:pPr>
      <w:r>
        <w:rPr>
          <w:b/>
          <w:i w:val="0"/>
          <w:iCs/>
        </w:rPr>
        <w:t xml:space="preserve">Results.</w:t>
      </w:r>
      <w:r>
        <w:t xml:space="preserve"> </w:t>
      </w:r>
      <w:r>
        <w:t xml:space="preserve">The primary Bland-Altman analysis showed mean bias -0.020 in the interior analysis (1,728,000 repetitions; concordance 0.84) and -0.040 across all 1,920,000 repetitions (93.9% within limits of agreement; concordance 0.81), with stronger proportional bias near BAF = 1. The two-layer rule cut the misuse rate (declared usable while truth was bias-dominated) from 36.0% to 3.0%. Across K = 12 to 50 negative controls, precision and safety improved monotonically with no plateau (median interval half-width 0.144 to 0.060; misuse 3.5% to 2.6%). In the case study, question 1 was bias-dominated (BAF = 0.87 [95% credible interval, 0.38-0.99]) despite the TARGET-compliant design and doubly robust TMLE; question 2 had a BAF point estimate of 0.46 [95% credible interval, 0.19-0.62], and because neither question passed the calibrated-P screen the two were separated by BAF and its interval rather than by the calibrated P value, the calibrated probability that bias dominated question 2 being 0.588, a level that supported a competitive determination with no usable determination.</w:t>
      </w:r>
    </w:p>
    <w:p>
      <w:pPr>
        <w:pStyle w:val="BodyText"/>
      </w:pPr>
      <w:r>
        <w:rPr>
          <w:b/>
          <w:i w:val="0"/>
          <w:iCs/>
        </w:rPr>
        <w:t xml:space="preserve">Conclusions and Relevance.</w:t>
      </w:r>
      <w:r>
        <w:t xml:space="preserve"> </w:t>
      </w:r>
      <w:r>
        <w:t xml:space="preserve">BAF quantifies the fraction of systematic bias in the calibrated signal, providing a bounded, continuous complement to the calibrated P value. Even a rigorously designed and analyzed case study showed the beta-blocker target-dose question to be bias-dominated, indicating that empirical bias diagnostics are necessary, not optional. This methodological demonstration does not constitute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 (TMLE)</w:t>
      </w:r>
      <w:r>
        <w:rPr>
          <w:vertAlign w:val="superscript"/>
        </w:rPr>
        <w:t xml:space="preserve">2,3</w:t>
      </w:r>
      <w:r>
        <w:t xml:space="preserve"> </w:t>
      </w:r>
      <w:r>
        <w:t xml:space="preserve">have narrowed the gap between observational and randomized evidence, yet cannot eliminate the threat of unmeasured confounding. A cross-sectional survey of 237 target trial emulation studies found that only 30.8% used statistical methods to assess it</w:t>
      </w:r>
      <w:r>
        <w:rPr>
          <w:vertAlign w:val="superscript"/>
        </w:rPr>
        <w:t xml:space="preserve">4</w:t>
      </w:r>
      <w:r>
        <w:t xml:space="preserve">. The healthy adherer effect, in which adherent patients fare better even on outcomes the therapy cannot plausibly affect, exemplifies the threat in pharmacoepidemiology</w:t>
      </w:r>
      <w:r>
        <w:rPr>
          <w:vertAlign w:val="superscript"/>
        </w:rPr>
        <w:t xml:space="preserve">5,6</w:t>
      </w:r>
      <w:r>
        <w:t xml:space="preserve">. Sensitivity analyses such as the E-value and related tipping-point analyses</w:t>
      </w:r>
      <w:r>
        <w:rPr>
          <w:vertAlign w:val="superscript"/>
        </w:rPr>
        <w:t xml:space="preserve">7</w:t>
      </w:r>
      <w:r>
        <w:t xml:space="preserve"> </w:t>
      </w:r>
      <w:r>
        <w:t xml:space="preserve">quantify the minimum confounding strength required to overturn a result but do not estimate how much of the observed association is attributable to bias.</w:t>
      </w:r>
    </w:p>
    <w:p>
      <w:pPr>
        <w:pStyle w:val="BodyText"/>
      </w:pPr>
      <w:r>
        <w:t xml:space="preserve">Explicit eligibility criteria, time-zero alignment, and doubly robust estimation remove bias that is visible in the measured covariates, but none constrains the bias that remains when a prognostic factor was never recorded. An estimate produced by the most careful available observational design can still be dominated by systematic error, and nothing in the conventional reporting of that estimate, an effect size, a confidence interval, and a P value, reveals that this has occurred.</w:t>
      </w:r>
    </w:p>
    <w:p>
      <w:pPr>
        <w:pStyle w:val="BodyText"/>
      </w:pPr>
      <w:r>
        <w:t xml:space="preserve">The Observational Health Data Sciences and Informatics consortium addresses this problem by estimating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Existing calibration methods, however, answer only whether the calibrated P value rejects the null; they do not report how large the estimated bias is relative to the effect that survives calibration. A calibrated estimate near the null could reflect either a genuinely null treatment effect or an estimate overwhelmed by bias.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a credibility metric that reports the fraction of the calibrated signal attributable to systematic bias on a bounded [0, 1] scale; it builds on, but is not part of, the OHDSI empirical calibration framework and its EmpiricalCalibration R package, and is computed from quantities that the pipeline already produces, requiring no additional data. We evaluate three questions. First, how accurately does the BAF estimator recover the true bias, assessed by Bland-Altman agreement as the primary outcome in a factorial simulation of 1,920,000 repetitions across 1920 conditions. Second, whether adding BAF and its interval to the calibrated P value improves discrimination of bias-dominated estimates and reduces their misuse through a two-layer decision rule (secondary). Third, what BAF reveals in a real-world target trial emulation. We first define the metric, then evaluate it in simulation, and finally demonstrate it in a deliberately demanding case study: a target trial emulation designed in accordance with the TARGET guideline, estimated with doubly robust TMLE and calibrated with 12 negative controls, asking whether systematic bias persists even under a rigorous observational design.</w:t>
      </w:r>
    </w:p>
    <w:p>
      <w:pPr>
        <w:pStyle w:val="BodyText"/>
      </w:pPr>
      <w:r>
        <w:t xml:space="preserve">Several existing approaches also probe unmeasured confounding, and BAF is designed to complement rather than replace them. Quantitative bias analysis asks the analyst to specify a bias model from external evidence, propagate it, and report a bias-adjusted estimate and interval</w:t>
      </w:r>
      <w:r>
        <w:rPr>
          <w:vertAlign w:val="superscript"/>
        </w:rPr>
        <w:t xml:space="preserve">10,11</w:t>
      </w:r>
      <w:r>
        <w:t xml:space="preserve">; it is most informative when such external evidence exists, and least informative precisely when the bias is unknown, which is the situation BAF addresses. External-adjustment and bounding approaches follow the same logic, requiring an assumed magnitude for the unmeasured confounder and returning an adjusted estimate rather than a share of the observed association</w:t>
      </w:r>
      <w:r>
        <w:rPr>
          <w:vertAlign w:val="superscript"/>
        </w:rPr>
        <w:t xml:space="preserve">12,13</w:t>
      </w:r>
      <w:r>
        <w:t xml:space="preserve">. Negative-control methods, including the empirical calibration we build on, ask whether an estimate is distinguishable from a distribution of bias estimated from the data themselves, but stop at a calibrated P value</w:t>
      </w:r>
      <w:r>
        <w:rPr>
          <w:vertAlign w:val="superscript"/>
        </w:rPr>
        <w:t xml:space="preserve">8,14</w:t>
      </w:r>
      <w:r>
        <w:t xml:space="preserve">. BAF uses that same empirical null and reports the share of the calibrated signal attributable to bias on a scale bounded between 0 and 1.</w:t>
      </w:r>
      <w:r>
        <w:t xml:space="preserve"> </w:t>
      </w:r>
      <w:r>
        <w:t xml:space="preserve">## Methods</w:t>
      </w:r>
    </w:p>
    <w:p>
      <w:pPr>
        <w:pStyle w:val="BodyText"/>
      </w:pPr>
      <w:r>
        <w:rPr>
          <w:b/>
          <w:bCs/>
        </w:rPr>
        <w:t xml:space="preserve">The credibility metric.</w:t>
      </w:r>
      <w:r>
        <w:t xml:space="preserve"> </w:t>
      </w:r>
      <w:r>
        <w:t xml:space="preserve">Consider an observational study estimating the effect of a binary treatment</w:t>
      </w:r>
      <w:r>
        <w:t xml:space="preserve"> </w:t>
      </w:r>
      <m:oMath>
        <m:r>
          <m:t>A</m:t>
        </m:r>
      </m:oMath>
      <w:r>
        <w:t xml:space="preserve"> </w:t>
      </w:r>
      <w:r>
        <w:t xml:space="preserve">on an outcome</w:t>
      </w:r>
      <w:r>
        <w:t xml:space="preserve"> </w:t>
      </w:r>
      <m:oMath>
        <m:r>
          <m:t>Y</m:t>
        </m:r>
      </m:oMath>
      <w:r>
        <w:t xml:space="preserve">, 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An estimator (eg, TMLE with Super Learner) yields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are available, each sharing the confounding structure of</w:t>
      </w:r>
      <w:r>
        <w:t xml:space="preserve"> </w:t>
      </w:r>
      <m:oMath>
        <m:r>
          <m:t>Y</m:t>
        </m:r>
      </m:oMath>
      <w:r>
        <w:t xml:space="preserve"> </w:t>
      </w:r>
      <w:r>
        <w:t xml:space="preserve">but not causally affected by</w:t>
      </w:r>
      <w:r>
        <w:t xml:space="preserve"> </w:t>
      </w:r>
      <m:oMath>
        <m:r>
          <m:t>A</m:t>
        </m:r>
      </m:oMath>
      <w:r>
        <w:t xml:space="preserve">; for each control the same estimator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the measured covariates, the distribution of residual bias affecting</w:t>
      </w:r>
      <w:r>
        <w:t xml:space="preserve"> </w:t>
      </w:r>
      <m:oMath>
        <m:sSub>
          <m:e>
            <m:acc>
              <m:accPr>
                <m:chr m:val="̂"/>
              </m:accPr>
              <m:e>
                <m:r>
                  <m:t>ψ</m:t>
                </m:r>
              </m:e>
            </m:acc>
          </m:e>
          <m:sub>
            <m:r>
              <m:rPr>
                <m:nor/>
                <m:sty m:val="p"/>
              </m:rPr>
              <m:t>obs</m:t>
            </m:r>
          </m:sub>
        </m:sSub>
      </m:oMath>
      <w:r>
        <w:t xml:space="preserve"> </w:t>
      </w:r>
      <w:r>
        <w:t xml:space="preserve">is approximately the same as that governing the negative control estimates</w:t>
      </w:r>
      <w:r>
        <w:t xml:space="preserve"> </w:t>
      </w:r>
      <m:oMath>
        <m:sSub>
          <m:e>
            <m:acc>
              <m:accPr>
                <m:chr m:val="̂"/>
              </m:accPr>
              <m:e>
                <m:r>
                  <m:t>γ</m:t>
                </m:r>
              </m:e>
            </m:acc>
          </m:e>
          <m:sub>
            <m:r>
              <m:t>1</m:t>
            </m:r>
          </m:sub>
        </m:sSub>
        <m:r>
          <m:rPr>
            <m:sty m:val="p"/>
          </m:rPr>
          <m:t>,</m:t>
        </m:r>
        <m:r>
          <m:rPr>
            <m:sty m:val="p"/>
          </m:rPr>
          <m:t>…</m:t>
        </m:r>
        <m:r>
          <m:rPr>
            <m:sty m:val="p"/>
          </m:rPr>
          <m:t>,</m:t>
        </m:r>
        <m:sSub>
          <m:e>
            <m:acc>
              <m:accPr>
                <m:chr m:val="̂"/>
              </m:accPr>
              <m:e>
                <m:r>
                  <m:t>γ</m:t>
                </m:r>
              </m:e>
            </m:acc>
          </m:e>
          <m:sub>
            <m:r>
              <m:t>K</m:t>
            </m:r>
          </m:sub>
        </m:sSub>
      </m:oMath>
      <w:r>
        <w:t xml:space="preserve">. Like the no-unmeasured-confounding assumption it is meant to diagnose, this cannot be verified from the data; its plausibility rests on domain knowledge and sensitivity analyses.</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direction of either component. The metric is scale-invariant and bounded, in the spirit of how the E-value summarizes a sensitivity analysis in a single number</w:t>
      </w:r>
      <w:r>
        <w:rPr>
          <w:vertAlign w:val="superscript"/>
        </w:rPr>
        <w:t xml:space="preserve">7</w:t>
      </w:r>
      <w:r>
        <w:t xml:space="preserve">: it quantifies the magnitude of bias instead of merely testing for its presence, and because it uses absolute values it does not indicate whether the bias and the calibrated effect point in the same or opposite direction: one BAF is consistent with bias that inflates the effect, bias that shrinks it toward the null, or bias that reverses its sign, all of which call for different interpretation. The simulation below covers the full range of BAF, but its primary data-generating grid sets the true effect and the true systematic bias to the same sign, so the effect it produces is an inflated one. A companion grid of identical size flips the sign of the true bias and thereby reproduces the three opposing roles, in which the bias shrinks the apparent effect, cancels it, or reverses it; that grid is analysed role by role in eMethods, eTable 13, and eTable 14 in Supplement 1, its consequences are summarized in Limitations, and the two grids are pooled for every performance analysis reported below. Values near 0 mean the calibrated signal is mostly the estimated effect; values near 1 mean it is mostly bias. To make the continuous scale actionable, we define three regions by cut-points on BAF: bias-dominated when BAF exceeds 0.5, equivalently when the bias magnitude exceeds the effect it accompanies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equivalently when the bias amounts to less than half the effect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 Two boundary conventions apply. When</w:t>
      </w:r>
      <w:r>
        <w:t xml:space="preserve"> </w:t>
      </w:r>
      <m:oMath>
        <m:acc>
          <m:accPr>
            <m:chr m:val="̃"/>
          </m:accPr>
          <m:e>
            <m:r>
              <m:t>ψ</m:t>
            </m:r>
          </m:e>
        </m:acc>
      </m:oMath>
      <w:r>
        <w:t xml:space="preserve"> </w:t>
      </w:r>
      <w:r>
        <w:t xml:space="preserve">= 0 the denominator reduces to</w:t>
      </w:r>
      <w:r>
        <w:t xml:space="preserve"> </w:t>
      </w:r>
      <m:oMath>
        <m:r>
          <m:rPr>
            <m:sty m:val="p"/>
          </m:rPr>
          <m:t>|</m:t>
        </m:r>
        <m:sSub>
          <m:e>
            <m:acc>
              <m:accPr>
                <m:chr m:val="̂"/>
              </m:accPr>
              <m:e>
                <m:r>
                  <m:t>μ</m:t>
                </m:r>
              </m:e>
            </m:acc>
          </m:e>
          <m:sub>
            <m:r>
              <m:t>B</m:t>
            </m:r>
          </m:sub>
        </m:sSub>
        <m:r>
          <m:rPr>
            <m:sty m:val="p"/>
          </m:rPr>
          <m:t>|</m:t>
        </m:r>
      </m:oMath>
      <w:r>
        <w:t xml:space="preserve">, so BAF = 1, meaning the calibrated signal is attributed entirely to bias; when both</w:t>
      </w:r>
      <w:r>
        <w:t xml:space="preserve"> </w:t>
      </w:r>
      <m:oMath>
        <m:sSub>
          <m:e>
            <m:acc>
              <m:accPr>
                <m:chr m:val="̂"/>
              </m:accPr>
              <m:e>
                <m:r>
                  <m:t>μ</m:t>
                </m:r>
              </m:e>
            </m:acc>
          </m:e>
          <m:sub>
            <m:r>
              <m:t>B</m:t>
            </m:r>
          </m:sub>
        </m:sSub>
      </m:oMath>
      <w:r>
        <w:t xml:space="preserve"> </w:t>
      </w:r>
      <w:r>
        <w:t xml:space="preserve">and</w:t>
      </w:r>
      <w:r>
        <w:t xml:space="preserve"> </w:t>
      </w:r>
      <m:oMath>
        <m:acc>
          <m:accPr>
            <m:chr m:val="̃"/>
          </m:accPr>
          <m:e>
            <m:r>
              <m:t>ψ</m:t>
            </m:r>
          </m:e>
        </m:acc>
      </m:oMath>
      <w:r>
        <w:t xml:space="preserve"> </w:t>
      </w:r>
      <w:r>
        <w:t xml:space="preserve">are 0 the ratio is 0/0 and undefined, and we report BAF = 1 under that same convention while flagging the estimate as uninformative, because no calibrated effect remains to offset the bias. The cut-points are not thresholds chosen for their own sake: each is simply where the corresponding inequality between</w:t>
      </w:r>
      <w:r>
        <w:t xml:space="preserve"> </w:t>
      </w:r>
      <m:oMath>
        <m:r>
          <m:rPr>
            <m:sty m:val="p"/>
          </m:rPr>
          <m:t>|</m:t>
        </m:r>
        <m:sSub>
          <m:e>
            <m:r>
              <m:t>μ</m:t>
            </m:r>
          </m:e>
          <m:sub>
            <m:r>
              <m:t>B</m:t>
            </m:r>
          </m:sub>
        </m:sSub>
        <m:r>
          <m:rPr>
            <m:sty m:val="p"/>
          </m:rPr>
          <m:t>|</m:t>
        </m:r>
      </m:oMath>
      <w:r>
        <w:t xml:space="preserve"> </w:t>
      </w:r>
      <w:r>
        <w:t xml:space="preserve">and</w:t>
      </w:r>
      <w:r>
        <w:t xml:space="preserve"> </w:t>
      </w:r>
      <m:oMath>
        <m:r>
          <m:rPr>
            <m:sty m:val="p"/>
          </m:rPr>
          <m:t>|</m:t>
        </m:r>
        <m:acc>
          <m:accPr>
            <m:chr m:val="̃"/>
          </m:accPr>
          <m:e>
            <m:r>
              <m:t>ψ</m:t>
            </m:r>
          </m:e>
        </m:acc>
        <m:r>
          <m:rPr>
            <m:sty m:val="p"/>
          </m:rPr>
          <m:t>|</m:t>
        </m:r>
      </m:oMath>
      <w:r>
        <w:t xml:space="preserve"> </w:t>
      </w:r>
      <w:r>
        <w:t xml:space="preserve">happens to fall on the BAF scale, so a classification by BAF reports how bias and effect compare in absolute size.</w:t>
      </w:r>
    </w:p>
    <w:p>
      <w:pPr>
        <w:pStyle w:val="BodyText"/>
      </w:pPr>
      <w:r>
        <w:rPr>
          <w:b/>
          <w:bCs/>
        </w:rPr>
        <w:t xml:space="preserve">Interval estimation.</w:t>
      </w:r>
      <w:r>
        <w:t xml:space="preserve"> </w:t>
      </w:r>
      <w:r>
        <w:t xml:space="preserve">BAF is a ratio whose denominator is itself the difference between two estimated quantities, so its uncertainty cannot be inherited from a standard error in the usual way. We therefore propagate uncertainty instead of approximating it: a set of draws of</w:t>
      </w:r>
      <w:r>
        <w:t xml:space="preserve"> </w:t>
      </w:r>
      <m:oMath>
        <m:sSub>
          <m:e>
            <m:r>
              <m:t>μ</m:t>
            </m:r>
          </m:e>
          <m:sub>
            <m:r>
              <m:t>B</m:t>
            </m:r>
          </m:sub>
        </m:sSub>
      </m:oMath>
      <w:r>
        <w:t xml:space="preserve"> </w:t>
      </w:r>
      <w:r>
        <w:t xml:space="preserve">is generated and each is passed through the same function,</w:t>
      </w:r>
      <w:r>
        <w:t xml:space="preserve"> </w:t>
      </w:r>
      <m:oMath>
        <m:r>
          <m:rPr>
            <m:sty m:val="p"/>
          </m:rPr>
          <m:t>B</m:t>
        </m:r>
        <m:r>
          <m:rPr>
            <m:sty m:val="p"/>
          </m:rPr>
          <m:t>A</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sty m:val="p"/>
              </m:rPr>
              <m:t>o</m:t>
            </m:r>
            <m:r>
              <m:rPr>
                <m:sty m:val="p"/>
              </m:rPr>
              <m:t>b</m:t>
            </m:r>
            <m:r>
              <m:rPr>
                <m:sty m:val="p"/>
              </m:rPr>
              <m:t>s</m:t>
            </m:r>
          </m:sub>
        </m:sSub>
        <m:r>
          <m:rPr>
            <m:sty m:val="p"/>
          </m:rPr>
          <m:t>−</m:t>
        </m:r>
        <m:sSub>
          <m:e>
            <m:acc>
              <m:accPr>
                <m:chr m:val="̂"/>
              </m:accPr>
              <m:e>
                <m:r>
                  <m:t>μ</m:t>
                </m:r>
              </m:e>
            </m:acc>
          </m:e>
          <m:sub>
            <m:r>
              <m:t>B</m:t>
            </m:r>
          </m:sub>
        </m:sSub>
        <m:r>
          <m:rPr>
            <m:sty m:val="p"/>
          </m:rPr>
          <m:t>|</m:t>
        </m:r>
        <m:r>
          <m:rPr>
            <m:sty m:val="p"/>
          </m:rPr>
          <m:t>)</m:t>
        </m:r>
      </m:oMath>
      <w:r>
        <w:t xml:space="preserve">,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at its observed value; the interval is the 2.5th to 97.5th percentile of the resulting distribution of BAF, and the point estimate is the median of that same distribution, so an estimate always lies inside the interval reported for it. The point estimate is the posterior median of the propagated distribution, which differs from the plug-in value obtained by substituting the point estimates</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ψ</m:t>
                </m:r>
              </m:e>
            </m:acc>
          </m:e>
          <m:sub>
            <m:r>
              <m:rPr>
                <m:sty m:val="p"/>
              </m:rPr>
              <m:t>c</m:t>
            </m:r>
            <m:r>
              <m:rPr>
                <m:sty m:val="p"/>
              </m:rPr>
              <m:t>a</m:t>
            </m:r>
            <m:r>
              <m:rPr>
                <m:sty m:val="p"/>
              </m:rPr>
              <m:t>l</m:t>
            </m:r>
          </m:sub>
        </m:sSub>
      </m:oMath>
      <w:r>
        <w:t xml:space="preserve"> </w:t>
      </w:r>
      <w:r>
        <w:t xml:space="preserve">into the BAF definition; the gap is largest when</w:t>
      </w:r>
      <w:r>
        <w:t xml:space="preserve"> </w:t>
      </w:r>
      <m:oMath>
        <m:sSub>
          <m:e>
            <m:acc>
              <m:accPr>
                <m:chr m:val="̂"/>
              </m:accPr>
              <m:e>
                <m:r>
                  <m:t>ψ</m:t>
                </m:r>
              </m:e>
            </m:acc>
          </m:e>
          <m:sub>
            <m:r>
              <m:rPr>
                <m:sty m:val="p"/>
              </m:rPr>
              <m:t>c</m:t>
            </m:r>
            <m:r>
              <m:rPr>
                <m:sty m:val="p"/>
              </m:rPr>
              <m:t>a</m:t>
            </m:r>
            <m:r>
              <m:rPr>
                <m:sty m:val="p"/>
              </m:rPr>
              <m:t>l</m:t>
            </m:r>
          </m:sub>
        </m:sSub>
      </m:oMath>
      <w:r>
        <w:t xml:space="preserve"> </w:t>
      </w:r>
      <w:r>
        <w:t xml:space="preserve">is near 0, where the ratio is strongly nonlinear, so the two can disagree substantially (for question 1 the plug-in value is about 0.97 whereas the posterior median is the BAF reported above). The draws come from the fitted systematic error model; the sampling schemes, the prior specification, and the reading of a bootstrap percentile distribution as an approximation to a posterior under an uninformative prior are given in eMethods in Supplement 1. We call the result a credible interval because it is a percentile range of a distribution for the quantity being estimated, not the output of a procedure constructed to cover the true value in 95% of repeated samples; no sampling distribution is inverted, so it carries no guarantee of frequentist coverage. The sampling scheme differs by setting and is stated explicitly. In the simulation the draws are M = 300 posterior draws from a Gibbs sampler (400 iterations, 100 discarded as warm-up; eMethods in Supplement 1). In the case study they are nonparametric bootstrap resamples of the negative control panel, with the empirical null refitted within each resample. The modest case-study resample count means the 2.5th and 97.5th percentiles carry Monte Carlo uncertainty, compounding the undercoverage from holding the observed effect estimate fixed (see Limitations). We summarize each interval by its half-width,</w:t>
      </w:r>
      <w:r>
        <w:t xml:space="preserve"> </w:t>
      </w:r>
      <m:oMath>
        <m:r>
          <m:rPr>
            <m:sty m:val="p"/>
          </m:rPr>
          <m:t>(</m:t>
        </m:r>
        <m:sSub>
          <m:e>
            <m:acc>
              <m:accPr>
                <m:chr m:val="̂"/>
              </m:accPr>
              <m:e>
                <m:r>
                  <m:rPr>
                    <m:sty m:val="p"/>
                  </m:rPr>
                  <m:t>B</m:t>
                </m:r>
                <m:r>
                  <m:rPr>
                    <m:sty m:val="p"/>
                  </m:rPr>
                  <m:t>A</m:t>
                </m:r>
                <m:r>
                  <m:rPr>
                    <m:sty m:val="p"/>
                  </m:rPr>
                  <m:t>F</m:t>
                </m:r>
              </m:e>
            </m:acc>
          </m:e>
          <m:sub>
            <m:r>
              <m:rPr>
                <m:sty m:val="p"/>
              </m:rPr>
              <m:t>h</m:t>
            </m:r>
            <m:r>
              <m:rPr>
                <m:sty m:val="p"/>
              </m:rPr>
              <m:t>i</m:t>
            </m:r>
          </m:sub>
        </m:sSub>
        <m:r>
          <m:rPr>
            <m:sty m:val="p"/>
          </m:rPr>
          <m:t>−</m:t>
        </m:r>
        <m:sSub>
          <m:e>
            <m:acc>
              <m:accPr>
                <m:chr m:val="̂"/>
              </m:accPr>
              <m:e>
                <m:r>
                  <m:rPr>
                    <m:sty m:val="p"/>
                  </m:rPr>
                  <m:t>B</m:t>
                </m:r>
                <m:r>
                  <m:rPr>
                    <m:sty m:val="p"/>
                  </m:rPr>
                  <m:t>A</m:t>
                </m:r>
                <m:r>
                  <m:rPr>
                    <m:sty m:val="p"/>
                  </m:rPr>
                  <m:t>F</m:t>
                </m:r>
              </m:e>
            </m:acc>
          </m:e>
          <m:sub>
            <m:r>
              <m:rPr>
                <m:sty m:val="p"/>
              </m:rPr>
              <m:t>l</m:t>
            </m:r>
            <m:r>
              <m:rPr>
                <m:sty m:val="p"/>
              </m:rPr>
              <m:t>o</m:t>
            </m:r>
          </m:sub>
        </m:sSub>
        <m:r>
          <m:rPr>
            <m:sty m:val="p"/>
          </m:rPr>
          <m:t>)</m:t>
        </m:r>
        <m:r>
          <m:rPr>
            <m:sty m:val="p"/>
          </m:rPr>
          <m:t>/</m:t>
        </m:r>
        <m:r>
          <m:t>2</m:t>
        </m:r>
      </m:oMath>
      <w:r>
        <w:t xml:space="preserve">, and not by its two bounds: because BAF is bounded, the bounds convey where the estimate sits as well as how precise it is, whereas the half-width extracts precision alone, in the same units as the estimate.</w:t>
      </w:r>
    </w:p>
    <w:p>
      <w:pPr>
        <w:pStyle w:val="BodyText"/>
      </w:pPr>
      <w:r>
        <w:rPr>
          <w:b/>
          <w:bCs/>
        </w:rPr>
        <w:t xml:space="preserve">Simulation.</w:t>
      </w:r>
      <w:r>
        <w:t xml:space="preserve"> </w:t>
      </w:r>
      <w:r>
        <w:t xml:space="preserve">Because the true bias is unknown in any application, we cannot judge from data how accurate</w:t>
      </w:r>
      <w:r>
        <w:t xml:space="preserve"> </w:t>
      </w:r>
      <m:oMath>
        <m:acc>
          <m:accPr>
            <m:chr m:val="̂"/>
          </m:accPr>
          <m:e>
            <m:r>
              <m:rPr>
                <m:sty m:val="p"/>
              </m:rPr>
              <m:t>B</m:t>
            </m:r>
            <m:r>
              <m:rPr>
                <m:sty m:val="p"/>
              </m:rPr>
              <m:t>A</m:t>
            </m:r>
            <m:r>
              <m:rPr>
                <m:sty m:val="p"/>
              </m:rPr>
              <m:t>F</m:t>
            </m:r>
          </m:e>
        </m:acc>
      </m:oMath>
      <w:r>
        <w:t xml:space="preserve"> </w:t>
      </w:r>
      <w:r>
        <w:t xml:space="preserve">is or how any rule based on it will perform. We therefore conducted a factorial simulation in which the truth is known by construction, covering both settings where bias exchangeability holds and settings where it is deliberately violated, so that the design examines the assumption’s failure instead of presupposing that it holds. Five factors were crossed following the ADEMP framework</w:t>
      </w:r>
      <w:r>
        <w:rPr>
          <w:vertAlign w:val="superscript"/>
        </w:rPr>
        <w:t xml:space="preserve">15</w:t>
      </w:r>
      <w:r>
        <w:t xml:space="preserve"> </w:t>
      </w:r>
      <w:r>
        <w:t xml:space="preserve">in the primary grid, 960 conditions × 1000 repetitions (960,000). Table 1 lists the five factors with the bias center shown at both signs, so that the levels shown define the 1920 conditions of the pooled design, and, separately, the three quantities redrawn in every repetition. Ranges of each factor were anchored to quantities measured in the case study described below and to published adherence-bias estimates</w:t>
      </w:r>
      <w:r>
        <w:rPr>
          <w:vertAlign w:val="superscript"/>
        </w:rPr>
        <w:t xml:space="preserve">5</w:t>
      </w:r>
      <w:r>
        <w:t xml:space="preserve">, with the justification for every level in eMethods in Supplement 1. Within a condition the truth, including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is fixed, so its 1000 repetitions differ through the sampling variation. Each repetition refits the empirical null and records</w:t>
      </w:r>
      <w:r>
        <w:t xml:space="preserve"> </w:t>
      </w:r>
      <m:oMath>
        <m:acc>
          <m:accPr>
            <m:chr m:val="̂"/>
          </m:accPr>
          <m:e>
            <m:r>
              <m:rPr>
                <m:sty m:val="p"/>
              </m:rPr>
              <m:t>B</m:t>
            </m:r>
            <m:r>
              <m:rPr>
                <m:sty m:val="p"/>
              </m:rPr>
              <m:t>A</m:t>
            </m:r>
            <m:r>
              <m:rPr>
                <m:sty m:val="p"/>
              </m:rPr>
              <m:t>F</m:t>
            </m:r>
          </m:e>
        </m:acc>
      </m:oMath>
      <w:r>
        <w:t xml:space="preserve"> </w:t>
      </w:r>
      <w:r>
        <w:t xml:space="preserve">and the calibrated P value. The companion grid described above repeats the same factorial design with the sign of the true systematic bias flipped; pooling the two grids yields 1,920,000 repetitions across 1920 conditions, and every performance measure reported in this article, the agreement analysis of Step 1, the lookup table, and the reporting rules of Step 2, is computed on that pooled evidence base. All simulations and analyses were implemented in R (version 4.4.1) using the bafratio (version 0.4.0), EmpiricalCalibration (version 3.1.4), and ltmle (version 1.3.0) packages, and the Monte Carlo grids were generated with fixed random seeds (43 for the primary grid and 100 043 for the companion grid, whose random number stream is disjoint from the primary one) for reproducibility.</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their levels is one condition. The lower block lists the quantities redrawn independently in each repetition of a condition. Because the truth is held fixed within a condition, these three quantities are the only sources of variation across its repetitions. All effects are on the log relative-risk scale. The relative risks given in parentheses are the exponentials of the log-scale values beside them, included so that the magnitudes can be read on the scale clinicians use; for example, a log relative risk of -0.40 is a relative risk of 0.67, a 33% lower risk. Standard errors describe spread on the log scale rather than an effect, so they have no relative-risk equivalent and none is given. The true effect</w:t>
      </w:r>
      <w:r>
        <w:t xml:space="preserve"> </w:t>
      </w:r>
      <m:oMath>
        <m:r>
          <m:t>ψ</m:t>
        </m:r>
      </m:oMath>
      <w:r>
        <w:t xml:space="preserve"> </w:t>
      </w:r>
      <w:r>
        <w:t xml:space="preserve">is negative at every level.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in eMethods and eTables 13 and 14 in Supplement 1. Justification for each level appears in eMethods in Supplement 1.</w:t>
      </w:r>
    </w:p>
    <w:p>
      <w:pPr>
        <w:pStyle w:val="BodyText"/>
      </w:pPr>
      <w:r>
        <w:rPr>
          <w:b/>
          <w:bCs/>
        </w:rPr>
        <w:t xml:space="preserve">Performance measures.</w:t>
      </w:r>
      <w:r>
        <w:t xml:space="preserve"> </w:t>
      </w:r>
      <w:r>
        <w:t xml:space="preserve">Two questions were put to the simulated repetitions in sequence. Step 1 asked how closely</w:t>
      </w:r>
      <w:r>
        <w:t xml:space="preserve"> </w:t>
      </w:r>
      <m:oMath>
        <m:acc>
          <m:accPr>
            <m:chr m:val="̂"/>
          </m:accPr>
          <m:e>
            <m:r>
              <m:rPr>
                <m:sty m:val="p"/>
              </m:rPr>
              <m:t>B</m:t>
            </m:r>
            <m:r>
              <m:rPr>
                <m:sty m:val="p"/>
              </m:rPr>
              <m:t>A</m:t>
            </m:r>
            <m:r>
              <m:rPr>
                <m:sty m:val="p"/>
              </m:rPr>
              <m:t>F</m:t>
            </m:r>
          </m:e>
        </m:acc>
      </m:oMath>
      <w:r>
        <w:t xml:space="preserve"> </w:t>
      </w:r>
      <w:r>
        <w:t xml:space="preserve">tracks the truth. Agreement was assessed by Bland-Altman analysis</w:t>
      </w:r>
      <w:r>
        <w:rPr>
          <w:vertAlign w:val="superscript"/>
        </w:rPr>
        <w:t xml:space="preserve">16</w:t>
      </w:r>
      <w:r>
        <w:t xml:space="preserve">, 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on the vertical axis. We used the classic formulation, plotting that difference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and not against the average of the two quantities, because in a simulation the truth is known by construction and is therefore the appropriate reference; averaging the two would mix the reference with the quantity being judged. The prespecified summaries were the mean signed difference, the SD of the difference, the 95% limits of agreement (mean difference ± 1.96 SD), and the Lin concordance correlation coefficient</w:t>
      </w:r>
      <w:r>
        <w:rPr>
          <w:vertAlign w:val="superscript"/>
        </w:rPr>
        <w:t xml:space="preserve">17</w:t>
      </w:r>
      <w:r>
        <w:t xml:space="preserve">. Proportional bias, meaning error that grows with the true value, was tested by regressing the signed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and testing the slope against zero.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toward its upper bound of 1, where the estimator is compressed against the boundary, we prespecified two analysis sets: the full pooled design, and an interior set that excludes that single level. Because the excluded level is the one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its upper bound of 1, the interior set most directly characterizes estimates in the middle of the BAF scale; the near-boundary compression that produces the highest-BAF case-study estimates (question 1,</w:t>
      </w:r>
      <w:r>
        <w:t xml:space="preserve"> </w:t>
      </w:r>
      <m:oMath>
        <m:acc>
          <m:accPr>
            <m:chr m:val="̂"/>
          </m:accPr>
          <m:e>
            <m:r>
              <m:rPr>
                <m:sty m:val="p"/>
              </m:rPr>
              <m:t>B</m:t>
            </m:r>
            <m:r>
              <m:rPr>
                <m:sty m:val="p"/>
              </m:rPr>
              <m:t>A</m:t>
            </m:r>
            <m:r>
              <m:rPr>
                <m:sty m:val="p"/>
              </m:rPr>
              <m:t>F</m:t>
            </m:r>
          </m:e>
        </m:acc>
      </m:oMath>
      <w:r>
        <w:t xml:space="preserve"> </w:t>
      </w:r>
      <w:r>
        <w:t xml:space="preserve">≈ 0.87) is captured by the full design, and the interior conclusions should not be read as applying to estimates close to 1.</w:t>
      </w:r>
    </w:p>
    <w:p>
      <w:pPr>
        <w:pStyle w:val="BodyText"/>
      </w:pPr>
      <w:r>
        <w:t xml:space="preserve">Step 2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jointly with its interval half-width through a lookup table (eTable 1 in Supplement 1), calibrated against the known truth. The table is built from the 1,920,000 simulated repetitions of the pooled design, sorted into 12 equal-quantile intervals of the BAF estimate; within each interval the empirical proportion that were in truth bias-dominated is computed separately for narrow and wide intervals (split at the median half-width), and the larger is taken as the conservative probability (eTable 2 in Supplement 1). Because the table and the rule evaluations in Table 2 are built on the same 1,920,000 repetitions, the reported rule performance reflects in-sample agreement; with at least 44,000 repetitions behind each of the 24 empirical proportions, the standard error of each cell’s bias-dominated proportion is at most about 0.2 percentage points, so the optimism from this is expected to be small, and a held-out validation confirms it (eTable 8 in Supplement 1). That conservative probability is mapped onto the probability that the repetition is truly bias-dominated, meaning that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exceeds 0.5, and from that probability to one of four determinations, in ascending order of that probability: usable as effect evidence below a prespecified 15%, mixed and hypothesis-generating below a prespecified 45%, competitive determination with no usable determination below a prespecified 65%, and not usable as effect evidence at 65% or above. Two proportions summarize each rule: the proportion of repetitions it declared usable, meaning free enough of systematic error to be reported as evidence about the effect, and the proportion of those declared usable that were in fact dominated by bias, the misuse rate. Discrimination was compared across three predictors,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interval half-width, by receiver operating characteristic analysis. Because the mixed zone is negative in both readings, the bias-dominated and effect-dominated views are not mirror images, so the analysis is reported from both: in the bias-dominated view a positive call is withheld and a positive truth is truly bias-dominated, and in the effect-dominated view a positive call is declared usable and a positive truth is truly effect-dominated; the area under the curve is the summary measure and nested predictors are compared by likelihood ratio test. Each rule is also plotted as an operating point in that space, where its vertical coordinate is its sensitivity and its horizontal coordinate one minus its specificity.</w:t>
      </w:r>
    </w:p>
    <w:p>
      <w:pPr>
        <w:pStyle w:val="BodyText"/>
      </w:pPr>
      <w:r>
        <w:rPr>
          <w:b/>
          <w:bCs/>
        </w:rPr>
        <w:t xml:space="preserve">TTE Case study.</w:t>
      </w:r>
      <w:r>
        <w:t xml:space="preserve"> </w:t>
      </w:r>
      <w:r>
        <w:t xml:space="preserve">The purpose of the case study was to illustrate how the BAF metric and its reporting rules are applied and interpreted in a real-world target trial emulation, where the truth is unknown. 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item by item against the TARGET guideline</w:t>
      </w:r>
      <w:r>
        <w:rPr>
          <w:vertAlign w:val="superscript"/>
        </w:rPr>
        <w:t xml:space="preserve">20</w:t>
      </w:r>
      <w:r>
        <w:t xml:space="preserve">. Both emulations shared the same patients (P) and outcome (O) and differed only in the treatment strategies compared. The patients were adults hospitalized for heart failure who were new users of beta-blockers, and the outcome was one-year all-cause mortality; the new-user restriction applies to question 1, whereas question 2 compares receipt versus non-receipt of guideline-directed medical therapy without a new-user requirement. Treatment strategies were ascertained over a 7-day grace period, and time zero was set at the end of that period so that follow-up and outcome ascertainment began on day 8, which avoids immortal time bias; because the strategies are defined over a single fixed baseline window and the primary analysis follows intention-to-treat without modeling time-varying treatment or censoring, the design avoids time-varying confounding, at the cost of estimating a baseline-strategy contrast rather than the effect of sustained adherence. Question 1 compared achievement of at least 50% of the guideline-recommended beta-blocker target dose (I) with failure to reach that target (C); the three qualifying agents, their target doses, and the derivation of the in-hospital daily dose are given under</w:t>
      </w:r>
      <w:r>
        <w:t xml:space="preserve"> </w:t>
      </w:r>
      <w:r>
        <w:t xml:space="preserve">“Beta-blocker exposure and guideline target dose”</w:t>
      </w:r>
      <w:r>
        <w:t xml:space="preserve"> </w:t>
      </w:r>
      <w:r>
        <w:t xml:space="preserve">in eMethods in Supplement 1. Question 2 compared receipt of guideline-directed medical therapy, defined as at least two of the three foundational drug classes (beta-blocker, renin-angiotensin system inhibitor, mineralocorticoid receptor antagonist) at adequate dose (I), with not receiving such therapy (C). This three-class definition reflects the treatment era captured by the data, which predates the widespread use of sodium-glucose cotransporter 2 inhibitors in heart failure</w:t>
      </w:r>
      <w:r>
        <w:rPr>
          <w:vertAlign w:val="superscript"/>
        </w:rPr>
        <w:t xml:space="preserve">21,22</w:t>
      </w:r>
      <w:r>
        <w:t xml:space="preserve">. The assigned strategy was the target regimen over 12 months; in the primary intention-to-treat analysis adherence was not enforced, and per-protocol and as-treated analyses were conducted as sensitivity checks.</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targeting the log relative risk. For Question 1, the treatment mechanism was modeled with a Super Learner</w:t>
      </w:r>
      <w:r>
        <w:rPr>
          <w:vertAlign w:val="superscript"/>
        </w:rPr>
        <w:t xml:space="preserve">23</w:t>
      </w:r>
      <w:r>
        <w:t xml:space="preserve"> </w:t>
      </w:r>
      <w:r>
        <w:t xml:space="preserve">of two candidate learners (main-term logistic regression and Lasso logistic regression), selected by cross-validated out-of-sample risk, and the outcome model with a main-term logistic regression; for Question 2, the same doubly robust TMLE was used with a main-term logistic regression outcome model and a main-term logistic regression treatment model (a single Super Learner library, SL.glm), the specification also used for the negative controls; because the treatment model is doubly robust, this simpler main-term specification remains consistent even if the outcome model is misspecified. The negative controls were carried on the same hospitalizations over the same one-year window, with the same 7-day grace-period exclusion (excluding day-0 outcome events), the same 10 baseline covariates, and the same single-point treatment node and estimator as the target estimates. They also share its exposure contrast: the panel was fitted on the guideline-restricted cohort, in which exposure is defined, as for question 1, by receipt of carvedilol, metoprolol succinate, or bisoprolol at or above 50% of the target dose, which covers 12.1% of the analytic cohort, so that no element of the negative-control pipeline, including the contrast that defines exposure, differs from the pipeline applied to the target estimates. The 12 negative controls were estimated under that single contrast and applied to both questions, so a single empirical null (mean systematic bias -0.168, SD 0.113) was fitted from them and used for both. Both were fit on the baseline covariates listed in Table 3. The 12 negative controls, prespecified before any case-study analysis and used to estimate residual systematic bias, were infection, gastrointestinal bleeding, falls without fracture, urinary tract infection, cellulitis, cataract, osteoarthritis, traffic accidents, hemorrhoids, benign prostatic hyperplasia, gout, and tendinitis, selected from the OHDSI standard panel for cardiovascular outcomes (see eTable 6 in Supplement 1 for the full list)</w:t>
      </w:r>
      <w:r>
        <w:rPr>
          <w:vertAlign w:val="superscript"/>
        </w:rPr>
        <w:t xml:space="preserve">9,24</w:t>
      </w:r>
      <w:r>
        <w:t xml:space="preserve">. Each control was required to have no plausible causal effect of the study drugs and at least 50 observed events in the database, and the panel spanned six clinical domains; the candidate list, the screening levels with the number excluded at each, the full code lists, the event counts,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1.0.1), covering intensive care unit admissions at Beth Israel Deaconess Medical Center between 2008 and 2019</w:t>
      </w:r>
      <w:r>
        <w:rPr>
          <w:vertAlign w:val="superscript"/>
        </w:rPr>
        <w:t xml:space="preserve">18,19</w:t>
      </w:r>
      <w:r>
        <w:t xml:space="preserve">. Eligible adults were aged 18 years or older with a first intensive care unit stay, at least 24 hours of continuous monitoring, and a 12-lead electrocardiogram during the index stay; we excluded previous admissions for the index condition, discharge within 24 hours, and missing values in key covariates. Of 15,053 heart-failure hospitalizations assessed for eligibility, 376 did not survive the 7-day grace period to time zero and were excluded, leaving 14,677 in the analytic cohort. Heart failure was ascertained from discharge diagnosis codes rather than from measured ejection fraction, which these data do not contain; the code set, the full eligibility criteria, and a prespecified ejection-fraction proxy analysis appear under</w:t>
      </w:r>
      <w:r>
        <w:t xml:space="preserve"> </w:t>
      </w:r>
      <w:r>
        <w:t xml:space="preserve">“Heart failure cohort and the ejection-fraction proxy”</w:t>
      </w:r>
      <w:r>
        <w:t xml:space="preserve"> </w:t>
      </w:r>
      <w:r>
        <w:t xml:space="preserve">in eMethods in Supplement 1. The deidentified data were approved by the Massachusetts Institute of Technology and Beth Israel Deaconess Medical Center institutional review boards with a waiver of informed consent.</w:t>
      </w:r>
    </w:p>
    <w:bookmarkEnd w:id="11"/>
    <w:bookmarkStart w:id="21"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design, which excludes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full design repetitions, which retain that boundary level and are reported as a transparency analysis, the mean difference was -0.040 (SD of the differences, 0.133) with 95% limits of agreement -0.301 to 0.221, concordance 0.810, and 93.9% of repetitions within the limits of agreement; proportional bias was significant (slope -0.2106, 95% CI -0.2113 to -0.2098, t = -536.9, P &lt; .001).</w:t>
      </w:r>
      <w:r>
        <w:t xml:space="preserve"> </w:t>
      </w:r>
      <m:oMath>
        <m:acc>
          <m:accPr>
            <m:chr m:val="̂"/>
          </m:accPr>
          <m:e>
            <m:r>
              <m:rPr>
                <m:sty m:val="p"/>
              </m:rPr>
              <m:t>B</m:t>
            </m:r>
            <m:r>
              <m:rPr>
                <m:sty m:val="p"/>
              </m:rPr>
              <m:t>A</m:t>
            </m:r>
            <m:r>
              <m:rPr>
                <m:sty m:val="p"/>
              </m:rPr>
              <m:t>F</m:t>
            </m:r>
          </m:e>
        </m:acc>
      </m:oMath>
      <w:r>
        <w:t xml:space="preserve"> </w:t>
      </w:r>
      <w:r>
        <w:t xml:space="preserve">therefore systematically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which motivates truth calibration; the larger full-grid bias than interior bias shows that the underestimation is concentrated at the boundary rather than spread uniformly across the scale, so the near-boundary compression that produces the highest case-study estimate (question 1,</w:t>
      </w:r>
      <w:r>
        <w:t xml:space="preserve"> </w:t>
      </w:r>
      <m:oMath>
        <m:acc>
          <m:accPr>
            <m:chr m:val="̂"/>
          </m:accPr>
          <m:e>
            <m:r>
              <m:rPr>
                <m:sty m:val="p"/>
              </m:rPr>
              <m:t>B</m:t>
            </m:r>
            <m:r>
              <m:rPr>
                <m:sty m:val="p"/>
              </m:rPr>
              <m:t>A</m:t>
            </m:r>
            <m:r>
              <m:rPr>
                <m:sty m:val="p"/>
              </m:rPr>
              <m:t>F</m:t>
            </m:r>
          </m:e>
        </m:acc>
      </m:oMath>
      <w:r>
        <w:t xml:space="preserve"> </w:t>
      </w:r>
      <w:r>
        <w:t xml:space="preserve">≈ 0.87) is captured by the full design while the interior results describe the middle of the scale. Figure 1 shows the Bland-Altman agreement.</w:t>
      </w:r>
    </w:p>
    <w:p>
      <w:pPr>
        <w:pStyle w:val="BodyText"/>
      </w:pPr>
      <w:r>
        <w:rPr>
          <w:b/>
          <w:bCs/>
        </w:rPr>
        <w:t xml:space="preserve">Discrimination.</w:t>
      </w:r>
      <w:r>
        <w:t xml:space="preserve"> </w:t>
      </w:r>
      <w:r>
        <w:t xml:space="preserve">In receiver operating characteristic analysis read from the bias-dominated view (a positive call is withheld, a positive truth is truly bias-dominated),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(0.923; likelihood ratio χ² = 3835.1, df = 1, P &lt; .001), a difference large enough to detect at this number of repetitions and far too small to change any classification. Read from the effect-dominated view (a positive call is declared usable, a positive truth is truly effect-dominated),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is therefore more useful for ranking the effect-dominated view (AUC 0.95) than the bias-dominated view (AUC 0.92), the reverse of the calibrated P value (0.72 vs 0.79) is a finding that the two viewpoints together make visible. In either view,</w:t>
      </w:r>
      <w:r>
        <w:t xml:space="preserve"> </w:t>
      </w:r>
      <m:oMath>
        <m:acc>
          <m:accPr>
            <m:chr m:val="̂"/>
          </m:accPr>
          <m:e>
            <m:r>
              <m:rPr>
                <m:sty m:val="p"/>
              </m:rPr>
              <m:t>B</m:t>
            </m:r>
            <m:r>
              <m:rPr>
                <m:sty m:val="p"/>
              </m:rPr>
              <m:t>A</m:t>
            </m:r>
            <m:r>
              <m:rPr>
                <m:sty m:val="p"/>
              </m:rPr>
              <m:t>F</m:t>
            </m:r>
          </m:e>
        </m:acc>
      </m:oMath>
      <w:r>
        <w:t xml:space="preserve">, not the width of its interval, carries the discriminatory information beyond the calibrated P value.</w:t>
      </w:r>
    </w:p>
    <w:p>
      <w:pPr>
        <w:pStyle w:val="BodyText"/>
      </w:pPr>
      <w:r>
        <w:rPr>
          <w:b/>
          <w:bCs/>
        </w:rPr>
        <w:t xml:space="preserve">Reporting rule performance.</w:t>
      </w:r>
      <w:r>
        <w:t xml:space="preserve"> </w:t>
      </w:r>
      <w:r>
        <w:t xml:space="preserve">Ranking and deciding are separate tasks: the curve averages over every possible cutoff, so it cannot show the gain a rule obtains by imposing a stricter condition, which is how R3 and R4 improve. Figure 2 overlays each reporting rule of Table 2 as an operating point in the same space, with sensitivity on the vertical axis and one minus specificity on the horizontal axis, so the nested rules can be read directly as the trade-off between catching bias-dominated repetitions and sparing effect-dominated ones. Table 2 shows the same trade-off in numbers: with each added component, fewer estimates are declared usable as evidence about the effect, but a smaller share of those declarations is wrong. Under the calibrated P value alone, 61.8% of repetitions were declared usable and 36.0% of those were in truth dominated by bias. Under the most stringent rule (R4), which additionally requires a calibrated probability of bias dominance below 15%, 22.1% were declared usable and only 3.0% of those were in truth dominated by bias. The number of negative controls was itself a design lever: across K = 12 to 50 (640,000 repetitions each), the median half-width of the</w:t>
      </w:r>
      <w:r>
        <w:t xml:space="preserve"> </w:t>
      </w:r>
      <m:oMath>
        <m:acc>
          <m:accPr>
            <m:chr m:val="̂"/>
          </m:accPr>
          <m:e>
            <m:r>
              <m:rPr>
                <m:sty m:val="p"/>
              </m:rPr>
              <m:t>B</m:t>
            </m:r>
            <m:r>
              <m:rPr>
                <m:sty m:val="p"/>
              </m:rPr>
              <m:t>A</m:t>
            </m:r>
            <m:r>
              <m:rPr>
                <m:sty m:val="p"/>
              </m:rPr>
              <m:t>F</m:t>
            </m:r>
          </m:e>
        </m:acc>
      </m:oMath>
      <w:r>
        <w:t xml:space="preserve"> </w:t>
      </w:r>
      <w:r>
        <w:t xml:space="preserve">credible interval fell from 0.144 to 0.060 and the misuse rate among estimates declared usable fell from 3.5% to 2.6%, while the share declared usable was nearly unchanged (22.4% to 21.8%; eTable 3 in Supplement 1). Improvement was monotonic, with no plateau at K = 50, the largest value studied.</w:t>
      </w:r>
    </w:p>
    <w:p>
      <w:pPr>
        <w:pStyle w:val="BodyText"/>
      </w:pPr>
      <w:r>
        <w:drawing>
          <wp:inline>
            <wp:extent cx="5334000" cy="5573042"/>
            <wp:effectExtent b="0" l="0" r="0" t="0"/>
            <wp:docPr descr="" title="" id="13" name="Picture"/>
            <a:graphic>
              <a:graphicData uri="http://schemas.openxmlformats.org/drawingml/2006/picture">
                <pic:pic>
                  <pic:nvPicPr>
                    <pic:cNvPr descr="../output/figures/v40/figI_bland_altman_gibbs_2d_panel.png" id="14" name="Picture"/>
                    <pic:cNvPicPr>
                      <a:picLocks noChangeArrowheads="1" noChangeAspect="1"/>
                    </pic:cNvPicPr>
                  </pic:nvPicPr>
                  <pic:blipFill>
                    <a:blip r:embed="rId12"/>
                    <a:stretch>
                      <a:fillRect/>
                    </a:stretch>
                  </pic:blipFill>
                  <pic:spPr bwMode="auto">
                    <a:xfrm>
                      <a:off x="0" y="0"/>
                      <a:ext cx="5334000" cy="5573042"/>
                    </a:xfrm>
                    <a:prstGeom prst="rect">
                      <a:avLst/>
                    </a:prstGeom>
                    <a:noFill/>
                    <a:ln w="9525">
                      <a:noFill/>
                      <a:headEnd/>
                      <a:tailEnd/>
                    </a:ln>
                  </pic:spPr>
                </pic:pic>
              </a:graphicData>
            </a:graphic>
          </wp:inline>
        </w:drawing>
      </w:r>
    </w:p>
    <w:p>
      <w:pPr>
        <w:sectPr/>
      </w:pPr>
    </w:p>
    <w:p>
      <w:pPr>
        <w:pStyle w:val="BodyText"/>
      </w:pPr>
      <w:r>
        <w:drawing>
          <wp:inline>
            <wp:extent cx="5334000" cy="2667000"/>
            <wp:effectExtent b="0" l="0" r="0" t="0"/>
            <wp:docPr descr="" title="" id="16" name="Picture"/>
            <a:graphic>
              <a:graphicData uri="http://schemas.openxmlformats.org/drawingml/2006/picture">
                <pic:pic>
                  <pic:nvPicPr>
                    <pic:cNvPr descr="../output/figures/v40/figP2C_roc_paper.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p>
      <w:pPr>
        <w:pStyle w:val="BodyText"/>
      </w:pPr>
      <w:r>
        <w:rPr>
          <w:b/>
          <w:bCs/>
        </w:rPr>
        <w:t xml:space="preserve">TTE Case study.</w:t>
      </w:r>
      <w:r>
        <w:t xml:space="preserve"> </w:t>
      </w:r>
      <w:r>
        <w:t xml:space="preserve">Baseline characteristics of the 14,677 eligible patients by beta-blocker target-dose strategy appear in Table 3. For question 2, baseline characteristics of the 14,677 eligible patients by guideline-directed medical therapy strategy appear in eTable 7 in Supplement 1; of 16 baseline variables, 4 exceeded the 0.10 imbalance threshold before weighting and 0 remained above it after IPTW adjustment.</w:t>
      </w:r>
    </w:p>
    <w:p>
      <w:pPr>
        <w:pStyle w:val="TableCaption"/>
      </w:pPr>
      <w:r>
        <w:rPr>
          <w:b/>
          <w:bCs/>
        </w:rPr>
        <w:t xml:space="preserve">Table 3. Baseline characteristics of the 14,677 eligible patients by treatment strategy (beta-blocker target-dose question).</w:t>
      </w:r>
      <w:r>
        <w:t xml:space="preserve"> </w:t>
      </w:r>
      <w:r>
        <w:t xml:space="preserve">Values are mean (SD) for continuous variables and No. (%) for categorical variables. SMD is the absolute standardized mean difference between strategies. Of 16 baseline variables, 13 exceeded the conventional imbalance threshold of 0.10 (mean absolute SMD 0.125, maximum 0.199), indicating that the two strategies differed systematically at baseline even under the target trial framework.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1512"/>
        <w:gridCol w:w="1656"/>
        <w:gridCol w:w="1656"/>
        <w:gridCol w:w="792"/>
        <w:gridCol w:w="1037"/>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Target-dose strategy</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Standardized mean difference</w:t>
            </w:r>
          </w:p>
        </w:tc>
      </w:tr>
      <w:tr>
        <w:trPr>
          <w:trHeight w:val="360"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Characteristic</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Overall</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Achieved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Did not achieve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Unadjusted</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IPTW-adjusted</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14,677)</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1,772)</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12,905)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mean (SD), 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71.3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70.0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71.4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Female,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6702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702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6000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≥75 y,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6679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719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5960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Electrocardiographic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Heart rate, mean (SD), bpm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79.9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81.5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79.7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QRS duration,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106.7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108.9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106.4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QTc interval,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463.5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458.1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Atrial fibrillation,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4836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684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4152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Left bundle branch block,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1060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900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Prolonged QTc,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5660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811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4849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Wide QRS (≥120 ms),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3806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488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3318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Laboratory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Creatinine, mean (SD),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mean (SD), mL/min/1.73 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Hemoglobin, mean (SD),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11.1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Chloride,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Potassium,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&lt;60 mL/min/1.73 m², No.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7156 (50.4)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975 (55.4)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6181 (49.7)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0.028</w:t>
            </w:r>
          </w:p>
        </w:tc>
      </w:tr>
    </w:tbl>
    <w:p>
      <w:pPr>
        <w:pStyle w:val="BodyText"/>
      </w:pPr>
      <w:r>
        <w:t xml:space="preserve">Question 1 (beta-blocker target dose) failed layer 1 (the calibrated-P-below-.05 criterion); the bias fraction (BAF) was 0.875 (95% credible interval, 0.385 to 0.992). Under the TTE design and doubly robust TMLE estimation, the uncalibrated relative risk (RR) was 0.831 (95% CI, 0.745 to 0.928). Calibration against the empirical null, built from all 12 negative controls (uncalibrated RR range, 0.46 to 1.19; 10 below and 2 above the null, with the panel centered well below it) consistent with a pervasive healthy-adherer effect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0.894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single empirical null fitted from the 12 negative controls (mean bias -0.168, SD 0.113), shared with question 1, returned a calibrated P of 0.1026 and a calibrated RR of 0.807 (95% CI, 0.623 to 1.044).</w:t>
      </w:r>
    </w:p>
    <w:p>
      <w:pPr>
        <w:pStyle w:val="BodyText"/>
      </w:pPr>
      <w:r>
        <w:rPr>
          <w:b/>
          <w:bCs/>
        </w:rPr>
        <w:t xml:space="preserve">Bias fraction and determination.</w:t>
      </w:r>
      <w:r>
        <w:t xml:space="preserve"> </w:t>
      </w:r>
      <w:r>
        <w:t xml:space="preserve">Layer 2 (BAF and its interval) maps each estimate to a probability of bias dominance (eTable 1 in Supplement 1).</w:t>
      </w:r>
    </w:p>
    <w:p>
      <w:pPr>
        <w:pStyle w:val="BodyText"/>
      </w:pPr>
      <w:r>
        <w:t xml:space="preserve">Question 1 gave</w:t>
      </w:r>
      <w:r>
        <w:t xml:space="preserve"> </w:t>
      </w:r>
      <m:oMath>
        <m:acc>
          <m:accPr>
            <m:chr m:val="̂"/>
          </m:accPr>
          <m:e>
            <m:r>
              <m:rPr>
                <m:sty m:val="p"/>
              </m:rPr>
              <m:t>B</m:t>
            </m:r>
            <m:r>
              <m:rPr>
                <m:sty m:val="p"/>
              </m:rPr>
              <m:t>A</m:t>
            </m:r>
            <m:r>
              <m:rPr>
                <m:sty m:val="p"/>
              </m:rPr>
              <m:t>F</m:t>
            </m:r>
          </m:e>
        </m:acc>
      </m:oMath>
      <w:r>
        <w:t xml:space="preserve"> </w:t>
      </w:r>
      <w:r>
        <w:t xml:space="preserve">= 0.875 (95% credible interval 0.385 to 0.992), returning a probability of being bias-dominated of 0.999, above the 0.65 threshold; the determination was not usable as effect evidence.</w:t>
      </w:r>
    </w:p>
    <w:p>
      <w:pPr>
        <w:pStyle w:val="BodyText"/>
      </w:pPr>
      <w:r>
        <w:t xml:space="preserve">Question 2 gave</w:t>
      </w:r>
      <w:r>
        <w:t xml:space="preserve"> </w:t>
      </w:r>
      <m:oMath>
        <m:acc>
          <m:accPr>
            <m:chr m:val="̂"/>
          </m:accPr>
          <m:e>
            <m:r>
              <m:rPr>
                <m:sty m:val="p"/>
              </m:rPr>
              <m:t>B</m:t>
            </m:r>
            <m:r>
              <m:rPr>
                <m:sty m:val="p"/>
              </m:rPr>
              <m:t>A</m:t>
            </m:r>
            <m:r>
              <m:rPr>
                <m:sty m:val="p"/>
              </m:rPr>
              <m:t>F</m:t>
            </m:r>
          </m:e>
        </m:acc>
      </m:oMath>
      <w:r>
        <w:t xml:space="preserve"> </w:t>
      </w:r>
      <w:r>
        <w:t xml:space="preserve">= 0.460 (95% credible interval 0.186 to 0.619), returning a probability of 0.588, between the 0.45 and 0.65 thresholds; the BAF point estimate 0.460 fell in the mixed zone, and its 95% credible interval (0.186 to 0.619) spanned both zone boundaries, so the lookup table returned a competitive determination with no usable determination.</w:t>
      </w:r>
    </w:p>
    <w:p>
      <w:pPr>
        <w:pStyle w:val="BodyText"/>
      </w:pPr>
      <w:r>
        <w:t xml:space="preserve">Under the reporting rules of Table 2, both questions failed layer 1 and were therefore declared usable only by R0 (uncalibrated P &lt; .05) and withheld by R1 through R4, so the calibrated P value did not separate them; the separation came from the bias fraction and its interval. Complete output appears in eTable 5 in Supplement 1.</w:t>
      </w:r>
    </w:p>
    <w:p>
      <w:pPr>
        <w:pStyle w:val="BodyText"/>
      </w:pPr>
      <w:r>
        <w:rPr>
          <w:b/>
          <w:bCs/>
        </w:rPr>
        <w:t xml:space="preserve">Robustness.</w:t>
      </w:r>
      <w:r>
        <w:t xml:space="preserve"> </w:t>
      </w:r>
      <w:r>
        <w:t xml:space="preserve">The bias fraction for question 1 was estimated at 87%; none of the safeguards (TARGET-adherent design, doubly robust estimation, the full negative control panel) changed this central finding, because unmeasured confounding is not addressed by design or estimator sophistication. The determination was robust. Leave-one-out re-estimation across the 12 negative controls moved</w:t>
      </w:r>
      <w:r>
        <w:t xml:space="preserve"> </w:t>
      </w:r>
      <m:oMath>
        <m:acc>
          <m:accPr>
            <m:chr m:val="̂"/>
          </m:accPr>
          <m:e>
            <m:r>
              <m:rPr>
                <m:sty m:val="p"/>
              </m:rPr>
              <m:t>B</m:t>
            </m:r>
            <m:r>
              <m:rPr>
                <m:sty m:val="p"/>
              </m:rPr>
              <m:t>A</m:t>
            </m:r>
            <m:r>
              <m:rPr>
                <m:sty m:val="p"/>
              </m:rPr>
              <m:t>F</m:t>
            </m:r>
          </m:e>
        </m:acc>
      </m:oMath>
      <w:r>
        <w:t xml:space="preserve"> </w:t>
      </w:r>
      <w:r>
        <w:t xml:space="preserve">only between 0.815 and 0.955, and removing the single most influential control, falls without fracture, gave</w:t>
      </w:r>
      <w:r>
        <w:t xml:space="preserve"> </w:t>
      </w:r>
      <m:oMath>
        <m:acc>
          <m:accPr>
            <m:chr m:val="̂"/>
          </m:accPr>
          <m:e>
            <m:r>
              <m:rPr>
                <m:sty m:val="p"/>
              </m:rPr>
              <m:t>B</m:t>
            </m:r>
            <m:r>
              <m:rPr>
                <m:sty m:val="p"/>
              </m:rPr>
              <m:t>A</m:t>
            </m:r>
            <m:r>
              <m:rPr>
                <m:sty m:val="p"/>
              </m:rPr>
              <m:t>F</m:t>
            </m:r>
          </m:e>
        </m:acc>
      </m:oMath>
      <w:r>
        <w:t xml:space="preserve"> </w:t>
      </w:r>
      <w:r>
        <w:t xml:space="preserve">= 0.941; replacing the Super Learner library with each of three alternatives (main-term logistic regression, a generalized additive model, and gradient boosting; eTable 4 in Supplement 1, which also reports a Gaussian-process propensity-score perturbation) gave</w:t>
      </w:r>
      <w:r>
        <w:t xml:space="preserve"> </w:t>
      </w:r>
      <m:oMath>
        <m:acc>
          <m:accPr>
            <m:chr m:val="̂"/>
          </m:accPr>
          <m:e>
            <m:r>
              <m:rPr>
                <m:sty m:val="p"/>
              </m:rPr>
              <m:t>B</m:t>
            </m:r>
            <m:r>
              <m:rPr>
                <m:sty m:val="p"/>
              </m:rPr>
              <m:t>A</m:t>
            </m:r>
            <m:r>
              <m:rPr>
                <m:sty m:val="p"/>
              </m:rPr>
              <m:t>F</m:t>
            </m:r>
          </m:e>
        </m:acc>
      </m:oMath>
      <w:r>
        <w:t xml:space="preserve"> </w:t>
      </w:r>
      <w:r>
        <w:t xml:space="preserve">= 0.871, 0.871, and 0.876. The sensitivity analyses above cover question 1 only. Question 2 compares a different treatment contrast from the one under which the panel was estimated, so it additionally assumes that residual confounding is shared across treatment contrasts, and its determination demonstrates the reporting rule rather than constituting an independently validated finding.</w:t>
      </w:r>
    </w:p>
    <w:p>
      <w:pPr>
        <w:pStyle w:val="BodyText"/>
      </w:pPr>
      <w:r>
        <w:t xml:space="preserve">Figure 3A shows the empirical null distribution; Figure 3B shows BAF for the two questions on the three-zone scale.</w:t>
      </w:r>
    </w:p>
    <w:p>
      <w:pPr>
        <w:pStyle w:val="BodyText"/>
      </w:pPr>
      <w:r>
        <w:drawing>
          <wp:inline>
            <wp:extent cx="5334000" cy="5024437"/>
            <wp:effectExtent b="0" l="0" r="0" t="0"/>
            <wp:docPr descr="" title="" id="19" name="Picture"/>
            <a:graphic>
              <a:graphicData uri="http://schemas.openxmlformats.org/drawingml/2006/picture">
                <pic:pic>
                  <pic:nvPicPr>
                    <pic:cNvPr descr="../output/figures/v40/fig3_null_bf_panels.png" id="20" name="Picture"/>
                    <pic:cNvPicPr>
                      <a:picLocks noChangeArrowheads="1" noChangeAspect="1"/>
                    </pic:cNvPicPr>
                  </pic:nvPicPr>
                  <pic:blipFill>
                    <a:blip r:embed="rId18"/>
                    <a:stretch>
                      <a:fillRect/>
                    </a:stretch>
                  </pic:blipFill>
                  <pic:spPr bwMode="auto">
                    <a:xfrm>
                      <a:off x="0" y="0"/>
                      <a:ext cx="5334000" cy="5024437"/>
                    </a:xfrm>
                    <a:prstGeom prst="rect">
                      <a:avLst/>
                    </a:prstGeom>
                    <a:noFill/>
                    <a:ln w="9525">
                      <a:noFill/>
                      <a:headEnd/>
                      <a:tailEnd/>
                    </a:ln>
                  </pic:spPr>
                </pic:pic>
              </a:graphicData>
            </a:graphic>
          </wp:inline>
        </w:drawing>
      </w:r>
    </w:p>
    <w:bookmarkEnd w:id="21"/>
    <w:bookmarkStart w:id="22" w:name="discussion"/>
    <w:p>
      <w:pPr>
        <w:pStyle w:val="Heading2"/>
      </w:pPr>
      <w:r>
        <w:t xml:space="preserve">Discussion</w:t>
      </w:r>
    </w:p>
    <w:p>
      <w:pPr>
        <w:pStyle w:val="FirstParagraph"/>
      </w:pPr>
      <w:r>
        <w:t xml:space="preserve">Reporting the calibrated P value together with BAF and its interval converts a binary credibility judgment into three questions: whether a signal exists, how large it is, and what fraction is attributable to bias. The full rule is deliberately conservative: it declares few estimates usable because a usable determination requires positive evidence that bias does not dominate, not merely the absence of evidence that it does. Unlike sensitivity analyses such as the E-value</w:t>
      </w:r>
      <w:r>
        <w:rPr>
          <w:vertAlign w:val="superscript"/>
        </w:rPr>
        <w:t xml:space="preserve">7</w:t>
      </w:r>
      <w:r>
        <w:t xml:space="preserve">, which quantify the confounding needed to overturn a result, or OHDSI negative-control calibration</w:t>
      </w:r>
      <w:r>
        <w:rPr>
          <w:vertAlign w:val="superscript"/>
        </w:rPr>
        <w:t xml:space="preserve">9</w:t>
      </w:r>
      <w:r>
        <w:t xml:space="preserve">, which returns only a binary calibrated P value, BAF reports the fraction of the surviving signal attributable to bias on a bounded [0, 1] scale, so estimates with different outcomes or sample sizes can be compared directly.</w:t>
      </w:r>
    </w:p>
    <w:p>
      <w:pPr>
        <w:pStyle w:val="BodyText"/>
      </w:pPr>
      <w:r>
        <w:t xml:space="preserve">The primary Bland-Altman evaluation showed moderate agreement between the estimator and truth: Lin concordance was 0.81 across the full design and 0.84 in the interior, with mean difference -0.040 (full design) and -0.020 (interior). The estimator systematically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(proportional bias slope -0.2106, P &lt; .001), and this underestimation is concentrated near</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 1, where the estimator is compressed against its upper bound. A reported BAF near 1 is therefore a conservative lower bound on the true bias fraction, and the moderate concordance supports the use of BAF as a continuous diagnostic alongside the calibrated P value, not as a standalone estimator.</w:t>
      </w:r>
    </w:p>
    <w:p>
      <w:pPr>
        <w:pStyle w:val="BodyText"/>
      </w:pPr>
      <w:r>
        <w:t xml:space="preserve">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area under the receiver operating characteristic curve from 0.787 to 0.922 in the bias-dominated view and from 0.721 to 0.950 in the effect-dominated view:</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the reverse of the calibrated P value, so the two metrics are complementary, not interchangeable. Adding the interval half-width changed discrimination by +0.0010 in the bias-dominated view and by +0.0005 in the effect-dominated view, so the sign of its contribution is not consistent across the two views; in neither view does it add ranking information beyond</w:t>
      </w:r>
      <w:r>
        <w:t xml:space="preserve"> </w:t>
      </w:r>
      <m:oMath>
        <m:acc>
          <m:accPr>
            <m:chr m:val="̂"/>
          </m:accPr>
          <m:e>
            <m:r>
              <m:rPr>
                <m:sty m:val="p"/>
              </m:rPr>
              <m:t>B</m:t>
            </m:r>
            <m:r>
              <m:rPr>
                <m:sty m:val="p"/>
              </m:rPr>
              <m:t>A</m:t>
            </m:r>
            <m:r>
              <m:rPr>
                <m:sty m:val="p"/>
              </m:rPr>
              <m:t>F</m:t>
            </m:r>
          </m:e>
        </m:acc>
      </m:oMath>
      <w:r>
        <w:t xml:space="preserve">, and it is retained because rule R3 requires the whole credible interval to fall below 0.5, clear of the bias-dominated zone. The nested rules traded yield for safety: under the calibrated P value alone, 61.8% of estimates were declared usable and 36.0% of those were truly bias-dominated; under R4, 22.1% were usable and only 3.0% were misused. Across K = 12 to 50 negative controls, precision and safety improved monotonically without plateau (median interval half-width 0.144 to 0.060; misuse 3.5% to 2.6%), so the number of negative controls is a design parameter rather than a fixed cost.</w:t>
      </w:r>
    </w:p>
    <w:p>
      <w:pPr>
        <w:pStyle w:val="BodyText"/>
      </w:pPr>
      <w:r>
        <w:t xml:space="preserve">The case study was designed as a hard test of the diagnostic point and is methodological, not clinical: it makes no claim about beta-blocker therapy and mortality. Despite a TARGET-compliant target trial emulation, doubly robust TMLE, and calibration against 12 negative controls, for question 1, the two beta-blocker strategies differed systematically at baseline (Table 3; 13 of 16 variables exceeded the imbalance threshold before weighting and 0 of 16 after IPTW adjustment, maximum IPTW-adjusted SMD 0.028; the standardized difference is a diagnostic only, because the effect estimate itself comes from TMLE, not from weighting); for question 2, the two strategies also differed systematically at baseline, and unlike question 1 the imbalance was not resolved by weighting (eTable 7; 4 of 16 variables exceeded the threshold before weighting and 0 remained above it afterwards, with a maximum IPTW-adjusted standardized mean difference of 0.088; that residual imbalance is a diagnostic of the weighting, not of the TMLE estimate, which does not use the weights), and 10 of the 12 negative controls lay below the null (empirical null center -0.17), consistent with a pervasive healthy-adherer effect. For question 1, the uncalibrated relative risk of 0.83 collapsed to 0.98 after calibration (calibrated P = 0.89), with</w:t>
      </w:r>
      <w:r>
        <w:t xml:space="preserve"> </w:t>
      </w:r>
      <m:oMath>
        <m:acc>
          <m:accPr>
            <m:chr m:val="̂"/>
          </m:accPr>
          <m:e>
            <m:r>
              <m:rPr>
                <m:sty m:val="p"/>
              </m:rPr>
              <m:t>B</m:t>
            </m:r>
            <m:r>
              <m:rPr>
                <m:sty m:val="p"/>
              </m:rPr>
              <m:t>A</m:t>
            </m:r>
            <m:r>
              <m:rPr>
                <m:sty m:val="p"/>
              </m:rPr>
              <m:t>F</m:t>
            </m:r>
          </m:e>
        </m:acc>
      </m:oMath>
      <w:r>
        <w:t xml:space="preserve"> </w:t>
      </w:r>
      <w:r>
        <w:t xml:space="preserve">= 0.87 indicating that approximately 87% of the calibrated signal (the sum of bias and the surviving calibrated effect) was attributable to bias; given the estimator’s systematic underestimation established by the Bland-Altman analysis, the true bias fraction is likely even higher, strengthening the not-usable determination.</w:t>
      </w:r>
    </w:p>
    <w:p>
      <w:pPr>
        <w:pStyle w:val="BodyText"/>
      </w:pPr>
      <w:r>
        <w:t xml:space="preserve">For question 2, the calibrated relative risk was 0.81 (calibrated P = 0.103), and</w:t>
      </w:r>
      <w:r>
        <w:t xml:space="preserve"> </w:t>
      </w:r>
      <m:oMath>
        <m:acc>
          <m:accPr>
            <m:chr m:val="̂"/>
          </m:accPr>
          <m:e>
            <m:r>
              <m:rPr>
                <m:sty m:val="p"/>
              </m:rPr>
              <m:t>B</m:t>
            </m:r>
            <m:r>
              <m:rPr>
                <m:sty m:val="p"/>
              </m:rPr>
              <m:t>A</m:t>
            </m:r>
            <m:r>
              <m:rPr>
                <m:sty m:val="p"/>
              </m:rPr>
              <m:t>F</m:t>
            </m:r>
          </m:e>
        </m:acc>
      </m:oMath>
      <w:r>
        <w:t xml:space="preserve"> </w:t>
      </w:r>
      <w:r>
        <w:t xml:space="preserve">= 0.46 placed it in the mixed zone, with a 95% credible interval (0.19 to 0.62) spanning both zone boundaries, so the calibrated probability that bias dominates (0.59) left a competitive determination with no usable finding. The question-1 determination was robust to these safeguards: leave-one-out re-estimation across the 12 negative controls moved question-1</w:t>
      </w:r>
      <w:r>
        <w:t xml:space="preserve"> </w:t>
      </w:r>
      <m:oMath>
        <m:acc>
          <m:accPr>
            <m:chr m:val="̂"/>
          </m:accPr>
          <m:e>
            <m:r>
              <m:rPr>
                <m:sty m:val="p"/>
              </m:rPr>
              <m:t>B</m:t>
            </m:r>
            <m:r>
              <m:rPr>
                <m:sty m:val="p"/>
              </m:rPr>
              <m:t>A</m:t>
            </m:r>
            <m:r>
              <m:rPr>
                <m:sty m:val="p"/>
              </m:rPr>
              <m:t>F</m:t>
            </m:r>
          </m:e>
        </m:acc>
      </m:oMath>
      <w:r>
        <w:t xml:space="preserve"> </w:t>
      </w:r>
      <w:r>
        <w:t xml:space="preserve">only between 0.815 and 0.955, removing the single most influential control gave 0.941, and three alternative Super Learner libraries gave 0.871, 0.871, and 0.876.</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this study cannot support an effect claim, because the residual signal is small relative to the estimated bias and rests on an unverifiable exchangeability assumption; it does not mean the effect is zero. Conversely, a calibrated P value below .05 establishes only that the calibrated estimate is distinguishable from the empirical null, which is consistent with a true effect but does not prove one, since the same pattern arises if the negative controls understate the bias affecting the target. These results carry three implications for practice. Rigorous design and advanced estimation address measured confounding but not unmeasured confounding, so quantifying what remains complements them instead of replacing them. Because BAF is computed from negative-control estimates that many observational studies already obtain, it could be appended to existing reports without new data collection, although whether doing so improves how observational findings are interpreted remains to be established. Finally, the number of negative controls is itself a design parameter: within the range studied each increase improved precision and safety monotonically without leveling off by K = 50, and because negative controls are drawn from outcome phenotypes already in the data source, enlarging K costs specification effort rather than new data collection.</w:t>
      </w:r>
    </w:p>
    <w:bookmarkEnd w:id="22"/>
    <w:bookmarkStart w:id="23" w:name="limitations"/>
    <w:p>
      <w:pPr>
        <w:pStyle w:val="Heading2"/>
      </w:pPr>
      <w:r>
        <w:t xml:space="preserve">Limitations</w:t>
      </w:r>
    </w:p>
    <w:p>
      <w:pPr>
        <w:pStyle w:val="FirstParagraph"/>
      </w:pPr>
      <w:r>
        <w:t xml:space="preserve">BAF inherits the negative control assumption that the controls are truly null and exchangeable with the target estimate. Like the no-unmeasured-confounding assumption it is meant to probe, this cannot be verified from data. Because both questions were calibrated against one empirical null fitted from the same 12 negative controls, which were estimated under the question-1 contrast, we additionally assume the residual confounding distribution is shared across the two treatment contrasts; if the two contrasts differed in their unmeasured confounding, Q2’s BAF and determination would be biased in an undetected direction. A violation in which the bias affecting the target lies outside the negative control distribution will distort BAF in a direction that cannot be detected internally. We probed this by adding a simulation arm that explicitly violates exchangeability: where the assumption held, 1.39% of estimates declared usable were in truth bias-dominated, whereas under a 30% violation that proportion rose to 4.36%, with the share declared usable rising from 19.9% to 24.2%. The resulting misuse rates are therefore conditional on that design, not universal constants, and they show how much of the apparent safety of the rules rests on the exchangeability assumption itself. Negative controls must also be specified before their own results are examined; post hoc selection would bias the empirical null. Of the 12 negative controls, 10 have uncalibrated relative risks below the null and 2 above it (0.46 to 1.19), so the panel is predominantly but not exclusively protective; with only 12 controls the Shapiro-Wilk test of normality has little power (P = 0.171 in the case study), and the sensitivity of the calibration to deviations from normality is not examined.</w:t>
      </w:r>
    </w:p>
    <w:p>
      <w:pPr>
        <w:pStyle w:val="BodyText"/>
      </w:pPr>
      <w:r>
        <w:t xml:space="preserve">As defined in the Methods, the interval is a credible interval, not a confidence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below the nominal 95%. Two features of the construction contribute to this gap. First, the interval propagates uncertainty from the empirical null while holding the observed effect estimate fixed, omitting the sampling variability of the effect estimate. Second, the number of draws is modest (M = 300 in the simulation; a bootstrap of comparable size in the case study), so the 2.5th and 97.5th percentiles carry Monte Carlo uncertainty. Propagating the omitted term jointly restores coverage: adding the sampling variability of the calibrated estimate raised coverage from 78.8% to 97.7% across the conditions examined, at the cost of widening the median half-width from 0.132 to 0.222 and lowering the yield of the strictest interval rule from 24.3% to 13.2% of repetitions (eTable 9 in Supplement 1). Because the interval as reported is systematically narrower than its nominal coverage, the rules that consume its upper bound are affected, and not in the direction that is usually assumed. R3, and its case-study analogue C2, declare an estimate usable only when the entire interval lies below 0.5, a condition that a narrower interval satisfies more easily; the same narrowing also makes the interval more often classified as narrow by the width split of the lookup table. Restoring nominal coverage therefore lowers the yield of these rules rather than raising it, and because the repetitions that drop out are those with the least evidence against bias dominance, the misuse rate falls with it: propagating the omitted term jointly lowered the yield of R3 from 24.3% to 13.2% of repetitions and its misuse rate from 5.1% to 0.6% (eTable 9 in Supplement 1). The R3 misuse rate reported here is therefore an upper bound on the rate that would obtain at nominal coverage, not a lower bound. Because BAF is a ratio, the interval is wide by construction near</w:t>
      </w:r>
      <w:r>
        <w:t xml:space="preserve"> </w:t>
      </w:r>
      <m:oMath>
        <m:acc>
          <m:accPr>
            <m:chr m:val="̃"/>
          </m:accPr>
          <m:e>
            <m:r>
              <m:t>ψ</m:t>
            </m:r>
          </m:e>
        </m:acc>
      </m:oMath>
      <w:r>
        <w:t xml:space="preserve"> </w:t>
      </w:r>
      <w:r>
        <w:t xml:space="preserve">= 0; its half-width describes precision for the bias fraction estimate, not a test of it. The lookup table that maps BAF and interval half-width to a determination was built from the same 1,920,000 repetitions used to evaluate the rules, so its reported performance reflects in-sample agreement and is optimistically biased. Two held-out validations bound that optimism (eTable 8 in Supplement 1). Holding out 20% of repetitions within every condition left every rule’s misuse rate unchanged to two decimal places. Holding out 20% of the 1920 conditions instead, which also tests grid cells that never contributed to the lookup, left the share declared usable essentially unchanged and raised the misuse rate of the strictest rule from 2.7% to 2.8%, the largest excursion across the five folds being 4.0%. Finally, the absolute misuse rate depends on the truth composition induced by the factorial design; in this simulation that composition was 18.8% effect-dominated, 28.7% mixed, and 52.5% bias-dominated, and a different composition would shift the absolute misuse rate even though the relative ordering of the rules would not.</w:t>
      </w:r>
    </w:p>
    <w:p>
      <w:pPr>
        <w:pStyle w:val="BodyText"/>
      </w:pPr>
      <w:r>
        <w:t xml:space="preserve">Because the data-generating truth is fixed by the investigator, absolute misuse rates are illustrative and depend on the chosen ranges of the simulation factors. A second restriction is directional: the case study belongs to the regime in which the true effect and the true systematic bias share a sign, so the bias inflates the apparent effect. The primary grid covers that regime alone; every other role of the bias, shrinking the apparent effect, cancelling it, or reversing it, is reproduced in the companion grid of identical size, in which the sign of the true bias was flipped and every other design factor was held fixed. The performance numbers in this report pool the two grids, so they average over all four roles; the role-by-role breakdown appears in eMethods, eTable 13, and eTable 14 in Supplement 1. The point estimate carries across roles: its mean signed error stays small in all four roles and does not change sign, so BAF remains an interpretable summary when the bias shrinks, cancels, or reverses an effect. What does not carry across is the interval: when the bias and the effect have opposite signs the propagated ratio is stabilized rather than dispersed, the credible interval becomes markedly narrower, and its coverage of the true value falls far below the already-incomplete coverage reported above, with the shortfall persisting after conditions are matched on their true BAF, their number of negative controls, and their interval scale. A narrower interval is not a more accurate one, and in these roles the typical half-width approaches the error it is meant to bracket. Because R3 and C2 declare an estimate usable only when the upper bound of the interval lies below 0.5, the rules inherit this asymmetry in a way that depends on which side of 0.5 the estimate falls: the narrowing makes the condition easier to satisfy for an estimate below 0.5 and harder for one above it, so the yield of R3 is lowest in the role where the true BAF most often exceeds 0.5. Agreement between the BAF region and the truth, by contrast, remains high in all four roles, so the three-region classification is the part of the report that is most stable to the direction of the bias, and the interval is the part that is least stable. The pooled coverage, yield, and misuse rates reported here should therefore be read as averages over the four roles, not as properties of any single one, and an estimate whose bias opposes its effect should be interpreted alongside the role-specific results of Supplement 1 rather than by the pooled rates alone. What is robust is the relative ordering of strategies, which held across the prespecified subgroups, including the exchangeability-violation level. The number of negative controls was examined only up to K = 50; where the gain eventually levels off, and whether the marginal improvement beyond that point justifies the further specification burden, is unknown.</w:t>
      </w:r>
    </w:p>
    <w:p>
      <w:pPr>
        <w:pStyle w:val="BodyText"/>
      </w:pPr>
      <w:r>
        <w:t xml:space="preserve">The case study uses single-center critical care data restricted to patients with continuous monitoring and a recorded 12-lead electrocardiogram. This limits the generalizability of the empirical findings, but not of the metric, which depends only on estimates and their standard errors. Because the primary outcome is all-cause mortality, competing risks do not arise in the primary analysis; they would matter only for cause-specific or nonfatal endpoints, which here serve solely as negative controls. The GDMT strategy was defined by three foundational drug classes, not by contemporary four-drug therapy, because sodium-glucose cotransporter 2 inhibitors entered heart failure practice only after the period captured by these data, and incorporating them would introduce time-dependent confounding by indication. This limits the clinical currency of the GDMT estimate but not the demonstration of the metric, which applies to any prespecified treatment strategy. In question 2, 3,494 patients (23.8%) with a missing guideline-directed medical therapy score were classified as not optimized; if this missingness is related to the true exposure it is a nonrandom treatment misclassification that biases the question-2 estimate. We therefore re-estimated question 2 under four handling conventions (eTable 10 in Supplement 1): indeterminate treated as suboptimal, as published; complete-case; indeterminate treated as optimized; and multiple imputation from a logistic model of exposure on the baseline covariates. The uncalibrated relative risk moved from 0.68 to 0.91 across conventions, but no convention produced a calibratable signal, and none yielded a usable determination: the bias fraction rose from 0.46 under the published convention to as high as 0.68 under the others, and 2 of the four conventions placed question 2 in the least favourable determination of not usable as effect evidence. The published convention is thus the most favourable of the four, so the qualitative conclusion does not depend on it. The negative-control panel was refitted on the guideline-restricted cohort so that it shares the exposure contrast of the target estimates, and every result reported here uses that panel. Realigning it changed the empirical null (SD 0.068 under the earlier all-agent panel versus 0.113 here) and moved the question-2 calibrated P value from 0.045 to 0.103, so the layer-1 pass that question 2 would have obtained under the earlier panel was not robust to this realignment: with the realigned panel neither question passes layer 1, while both determinations are unchanged, question 1 remaining not usable as effect evidence (calibrated P 0.894 versus 0.946 before realignment) and question 2 remaining a competitive determination with no usable finding.</w:t>
      </w:r>
    </w:p>
    <w:bookmarkEnd w:id="23"/>
    <w:bookmarkStart w:id="24"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and the nested rules R0 to R4 traded yield for safety. The case study demonstrates the metric and the rules in use: applied to two clinical questions, BAF and R0 to R4 returned two distinct determinations, one not usable as effect evidence and the other a competitive determination with no usable determination, the separation arising from the BAF and its interval because neither question passed the calibrated-P screen. Rigorous design and advanced estimation are necessary but not sufficient, since neither can bound unmeasured confounding; empirical bias diagnostics may complement them but do not replace them.</w:t>
      </w:r>
    </w:p>
    <w:bookmarkEnd w:id="24"/>
    <w:bookmarkStart w:id="73" w:name="references"/>
    <w:p>
      <w:pPr>
        <w:pStyle w:val="Heading2"/>
      </w:pPr>
      <w:r>
        <w:t xml:space="preserve">References</w:t>
      </w:r>
    </w:p>
    <w:bookmarkStart w:id="72" w:name="refs"/>
    <w:bookmarkStart w:id="26"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25">
        <w:r>
          <w:rPr>
            <w:rStyle w:val="Hyperlink"/>
          </w:rPr>
          <w:t xml:space="preserve">10.1093/aje/kwv254</w:t>
        </w:r>
      </w:hyperlink>
    </w:p>
    <w:bookmarkEnd w:id="26"/>
    <w:bookmarkStart w:id="28"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27">
        <w:r>
          <w:rPr>
            <w:rStyle w:val="Hyperlink"/>
          </w:rPr>
          <w:t xml:space="preserve">10.18637/jss.v081.i01</w:t>
        </w:r>
      </w:hyperlink>
    </w:p>
    <w:bookmarkEnd w:id="28"/>
    <w:bookmarkStart w:id="30"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29">
        <w:r>
          <w:rPr>
            <w:rStyle w:val="Hyperlink"/>
          </w:rPr>
          <w:t xml:space="preserve">10.1007/978-1-4419-9782-1</w:t>
        </w:r>
      </w:hyperlink>
    </w:p>
    <w:bookmarkEnd w:id="30"/>
    <w:bookmarkStart w:id="32"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31">
        <w:r>
          <w:rPr>
            <w:rStyle w:val="Hyperlink"/>
          </w:rPr>
          <w:t xml:space="preserve">10.1001/jamanetworkopen.2025.58262</w:t>
        </w:r>
      </w:hyperlink>
    </w:p>
    <w:bookmarkEnd w:id="32"/>
    <w:bookmarkStart w:id="34"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3">
        <w:r>
          <w:rPr>
            <w:rStyle w:val="Hyperlink"/>
          </w:rPr>
          <w:t xml:space="preserve">10.1136/bmj.38875.675486.55</w:t>
        </w:r>
      </w:hyperlink>
    </w:p>
    <w:bookmarkEnd w:id="34"/>
    <w:bookmarkStart w:id="36"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35">
        <w:r>
          <w:rPr>
            <w:rStyle w:val="Hyperlink"/>
          </w:rPr>
          <w:t xml:space="preserve">10.1007/s11606-010-1609-1</w:t>
        </w:r>
      </w:hyperlink>
    </w:p>
    <w:bookmarkEnd w:id="36"/>
    <w:bookmarkStart w:id="38"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37">
        <w:r>
          <w:rPr>
            <w:rStyle w:val="Hyperlink"/>
          </w:rPr>
          <w:t xml:space="preserve">10.7326/M16-2607</w:t>
        </w:r>
      </w:hyperlink>
    </w:p>
    <w:bookmarkEnd w:id="38"/>
    <w:bookmarkStart w:id="40"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39">
        <w:r>
          <w:rPr>
            <w:rStyle w:val="Hyperlink"/>
          </w:rPr>
          <w:t xml:space="preserve">10.1002/sim.5925</w:t>
        </w:r>
      </w:hyperlink>
    </w:p>
    <w:bookmarkEnd w:id="40"/>
    <w:bookmarkStart w:id="42"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41">
        <w:r>
          <w:rPr>
            <w:rStyle w:val="Hyperlink"/>
          </w:rPr>
          <w:t xml:space="preserve">10.1073/pnas.1708282114</w:t>
        </w:r>
      </w:hyperlink>
    </w:p>
    <w:bookmarkEnd w:id="42"/>
    <w:bookmarkStart w:id="43"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43"/>
    <w:bookmarkStart w:id="45"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44">
        <w:r>
          <w:rPr>
            <w:rStyle w:val="Hyperlink"/>
          </w:rPr>
          <w:t xml:space="preserve">10.1093/ije/25.6.1107</w:t>
        </w:r>
      </w:hyperlink>
    </w:p>
    <w:bookmarkEnd w:id="45"/>
    <w:bookmarkStart w:id="47"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46">
        <w:r>
          <w:rPr>
            <w:rStyle w:val="Hyperlink"/>
          </w:rPr>
          <w:t xml:space="preserve">10.1002/pds.1200</w:t>
        </w:r>
      </w:hyperlink>
    </w:p>
    <w:bookmarkEnd w:id="47"/>
    <w:bookmarkStart w:id="49"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8">
        <w:r>
          <w:rPr>
            <w:rStyle w:val="Hyperlink"/>
          </w:rPr>
          <w:t xml:space="preserve">10.1097/01.ede.0000165364.69366.36</w:t>
        </w:r>
      </w:hyperlink>
    </w:p>
    <w:bookmarkEnd w:id="49"/>
    <w:bookmarkStart w:id="51"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50">
        <w:r>
          <w:rPr>
            <w:rStyle w:val="Hyperlink"/>
          </w:rPr>
          <w:t xml:space="preserve">10.1007/s40471-020-00243-4</w:t>
        </w:r>
      </w:hyperlink>
    </w:p>
    <w:bookmarkEnd w:id="51"/>
    <w:bookmarkStart w:id="53"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52">
        <w:r>
          <w:rPr>
            <w:rStyle w:val="Hyperlink"/>
          </w:rPr>
          <w:t xml:space="preserve">10.1002/sim.8086</w:t>
        </w:r>
      </w:hyperlink>
    </w:p>
    <w:bookmarkEnd w:id="53"/>
    <w:bookmarkStart w:id="55"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54">
        <w:r>
          <w:rPr>
            <w:rStyle w:val="Hyperlink"/>
          </w:rPr>
          <w:t xml:space="preserve">10.1016/S0140-6736(86)90837-8</w:t>
        </w:r>
      </w:hyperlink>
    </w:p>
    <w:bookmarkEnd w:id="55"/>
    <w:bookmarkStart w:id="57"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56">
        <w:r>
          <w:rPr>
            <w:rStyle w:val="Hyperlink"/>
          </w:rPr>
          <w:t xml:space="preserve">10.2307/2532051</w:t>
        </w:r>
      </w:hyperlink>
    </w:p>
    <w:bookmarkEnd w:id="57"/>
    <w:bookmarkStart w:id="59"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8">
        <w:r>
          <w:rPr>
            <w:rStyle w:val="Hyperlink"/>
          </w:rPr>
          <w:t xml:space="preserve">10.1038/s41597-022-01899-x</w:t>
        </w:r>
      </w:hyperlink>
    </w:p>
    <w:bookmarkEnd w:id="59"/>
    <w:bookmarkStart w:id="61"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60">
        <w:r>
          <w:rPr>
            <w:rStyle w:val="Hyperlink"/>
          </w:rPr>
          <w:t xml:space="preserve">10.13026/4nqg-sb35</w:t>
        </w:r>
      </w:hyperlink>
    </w:p>
    <w:bookmarkEnd w:id="61"/>
    <w:bookmarkStart w:id="63"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2">
        <w:r>
          <w:rPr>
            <w:rStyle w:val="Hyperlink"/>
          </w:rPr>
          <w:t xml:space="preserve">10.1136/bmj-2025-087179</w:t>
        </w:r>
      </w:hyperlink>
    </w:p>
    <w:bookmarkEnd w:id="63"/>
    <w:bookmarkStart w:id="65"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64">
        <w:r>
          <w:rPr>
            <w:rStyle w:val="Hyperlink"/>
          </w:rPr>
          <w:t xml:space="preserve">10.1056/NEJMoa1911303</w:t>
        </w:r>
      </w:hyperlink>
    </w:p>
    <w:bookmarkEnd w:id="65"/>
    <w:bookmarkStart w:id="67"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66">
        <w:r>
          <w:rPr>
            <w:rStyle w:val="Hyperlink"/>
          </w:rPr>
          <w:t xml:space="preserve">10.1056/NEJMoa2022190</w:t>
        </w:r>
      </w:hyperlink>
    </w:p>
    <w:bookmarkEnd w:id="67"/>
    <w:bookmarkStart w:id="69"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8">
        <w:r>
          <w:rPr>
            <w:rStyle w:val="Hyperlink"/>
          </w:rPr>
          <w:t xml:space="preserve">10.2202/1544-6115.1309</w:t>
        </w:r>
      </w:hyperlink>
    </w:p>
    <w:bookmarkEnd w:id="69"/>
    <w:bookmarkStart w:id="71"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70">
        <w:r>
          <w:rPr>
            <w:rStyle w:val="Hyperlink"/>
          </w:rPr>
          <w:t xml:space="preserve">10.1097/EDE.0b013e3181d61eeb</w:t>
        </w:r>
      </w:hyperlink>
    </w:p>
    <w:bookmarkEnd w:id="71"/>
    <w:bookmarkEnd w:id="72"/>
    <w:bookmarkEnd w:id="73"/>
    <w:bookmarkStart w:id="74"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4"/>
    <w:bookmarkStart w:id="75"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75"/>
    <w:p>
      <w:r>
        <w:rPr>
          <w:b/>
        </w:rPr>
        <w:t>Word Count. 7,621 words of text (excluding abstract, references, tables, and figure legends).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12" Type="http://schemas.openxmlformats.org/officeDocument/2006/relationships/image" Target="media/rId12.png"/><Relationship Id="rId15" Type="http://schemas.openxmlformats.org/officeDocument/2006/relationships/image" Target="media/rId15.png"/><Relationship Id="rId31" Type="http://schemas.openxmlformats.org/officeDocument/2006/relationships/hyperlink" Target="https://doi.org/10.1001/jamanetworkopen.2025.58262" TargetMode="External"/><Relationship Id="rId46" Type="http://schemas.openxmlformats.org/officeDocument/2006/relationships/hyperlink" Target="https://doi.org/10.1002/pds.1200" TargetMode="External"/><Relationship Id="rId39" Type="http://schemas.openxmlformats.org/officeDocument/2006/relationships/hyperlink" Target="https://doi.org/10.1002/sim.5925" TargetMode="External"/><Relationship Id="rId52" Type="http://schemas.openxmlformats.org/officeDocument/2006/relationships/hyperlink" Target="https://doi.org/10.1002/sim.8086" TargetMode="External"/><Relationship Id="rId29" Type="http://schemas.openxmlformats.org/officeDocument/2006/relationships/hyperlink" Target="https://doi.org/10.1007/978-1-4419-9782-1" TargetMode="External"/><Relationship Id="rId35" Type="http://schemas.openxmlformats.org/officeDocument/2006/relationships/hyperlink" Target="https://doi.org/10.1007/s11606-010-1609-1" TargetMode="External"/><Relationship Id="rId50" Type="http://schemas.openxmlformats.org/officeDocument/2006/relationships/hyperlink" Target="https://doi.org/10.1007/s40471-020-00243-4" TargetMode="External"/><Relationship Id="rId54" Type="http://schemas.openxmlformats.org/officeDocument/2006/relationships/hyperlink" Target="https://doi.org/10.1016/S0140-6736(86)90837-8" TargetMode="External"/><Relationship Id="rId58" Type="http://schemas.openxmlformats.org/officeDocument/2006/relationships/hyperlink" Target="https://doi.org/10.1038/s41597-022-01899-x" TargetMode="External"/><Relationship Id="rId64" Type="http://schemas.openxmlformats.org/officeDocument/2006/relationships/hyperlink" Target="https://doi.org/10.1056/NEJMoa1911303" TargetMode="External"/><Relationship Id="rId66" Type="http://schemas.openxmlformats.org/officeDocument/2006/relationships/hyperlink" Target="https://doi.org/10.1056/NEJMoa2022190" TargetMode="External"/><Relationship Id="rId41" Type="http://schemas.openxmlformats.org/officeDocument/2006/relationships/hyperlink" Target="https://doi.org/10.1073/pnas.1708282114" TargetMode="External"/><Relationship Id="rId25" Type="http://schemas.openxmlformats.org/officeDocument/2006/relationships/hyperlink" Target="https://doi.org/10.1093/aje/kwv254" TargetMode="External"/><Relationship Id="rId44" Type="http://schemas.openxmlformats.org/officeDocument/2006/relationships/hyperlink" Target="https://doi.org/10.1093/ije/25.6.1107" TargetMode="External"/><Relationship Id="rId48" Type="http://schemas.openxmlformats.org/officeDocument/2006/relationships/hyperlink" Target="https://doi.org/10.1097/01.ede.0000165364.69366.36" TargetMode="External"/><Relationship Id="rId70" Type="http://schemas.openxmlformats.org/officeDocument/2006/relationships/hyperlink" Target="https://doi.org/10.1097/EDE.0b013e3181d61eeb" TargetMode="External"/><Relationship Id="rId62" Type="http://schemas.openxmlformats.org/officeDocument/2006/relationships/hyperlink" Target="https://doi.org/10.1136/bmj-2025-087179" TargetMode="External"/><Relationship Id="rId33" Type="http://schemas.openxmlformats.org/officeDocument/2006/relationships/hyperlink" Target="https://doi.org/10.1136/bmj.38875.675486.55" TargetMode="External"/><Relationship Id="rId60" Type="http://schemas.openxmlformats.org/officeDocument/2006/relationships/hyperlink" Target="https://doi.org/10.13026/4nqg-sb35" TargetMode="External"/><Relationship Id="rId27" Type="http://schemas.openxmlformats.org/officeDocument/2006/relationships/hyperlink" Target="https://doi.org/10.18637/jss.v081.i01" TargetMode="External"/><Relationship Id="rId68" Type="http://schemas.openxmlformats.org/officeDocument/2006/relationships/hyperlink" Target="https://doi.org/10.2202/1544-6115.1309" TargetMode="External"/><Relationship Id="rId56" Type="http://schemas.openxmlformats.org/officeDocument/2006/relationships/hyperlink" Target="https://doi.org/10.2307/2532051" TargetMode="External"/><Relationship Id="rId37"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doi.org/10.1001/jamanetworkopen.2025.58262" TargetMode="External"/><Relationship Id="rId46" Type="http://schemas.openxmlformats.org/officeDocument/2006/relationships/hyperlink" Target="https://doi.org/10.1002/pds.1200" TargetMode="External"/><Relationship Id="rId39" Type="http://schemas.openxmlformats.org/officeDocument/2006/relationships/hyperlink" Target="https://doi.org/10.1002/sim.5925" TargetMode="External"/><Relationship Id="rId52" Type="http://schemas.openxmlformats.org/officeDocument/2006/relationships/hyperlink" Target="https://doi.org/10.1002/sim.8086" TargetMode="External"/><Relationship Id="rId29" Type="http://schemas.openxmlformats.org/officeDocument/2006/relationships/hyperlink" Target="https://doi.org/10.1007/978-1-4419-9782-1" TargetMode="External"/><Relationship Id="rId35" Type="http://schemas.openxmlformats.org/officeDocument/2006/relationships/hyperlink" Target="https://doi.org/10.1007/s11606-010-1609-1" TargetMode="External"/><Relationship Id="rId50" Type="http://schemas.openxmlformats.org/officeDocument/2006/relationships/hyperlink" Target="https://doi.org/10.1007/s40471-020-00243-4" TargetMode="External"/><Relationship Id="rId54" Type="http://schemas.openxmlformats.org/officeDocument/2006/relationships/hyperlink" Target="https://doi.org/10.1016/S0140-6736(86)90837-8" TargetMode="External"/><Relationship Id="rId58" Type="http://schemas.openxmlformats.org/officeDocument/2006/relationships/hyperlink" Target="https://doi.org/10.1038/s41597-022-01899-x" TargetMode="External"/><Relationship Id="rId64" Type="http://schemas.openxmlformats.org/officeDocument/2006/relationships/hyperlink" Target="https://doi.org/10.1056/NEJMoa1911303" TargetMode="External"/><Relationship Id="rId66" Type="http://schemas.openxmlformats.org/officeDocument/2006/relationships/hyperlink" Target="https://doi.org/10.1056/NEJMoa2022190" TargetMode="External"/><Relationship Id="rId41" Type="http://schemas.openxmlformats.org/officeDocument/2006/relationships/hyperlink" Target="https://doi.org/10.1073/pnas.1708282114" TargetMode="External"/><Relationship Id="rId25" Type="http://schemas.openxmlformats.org/officeDocument/2006/relationships/hyperlink" Target="https://doi.org/10.1093/aje/kwv254" TargetMode="External"/><Relationship Id="rId44" Type="http://schemas.openxmlformats.org/officeDocument/2006/relationships/hyperlink" Target="https://doi.org/10.1093/ije/25.6.1107" TargetMode="External"/><Relationship Id="rId48" Type="http://schemas.openxmlformats.org/officeDocument/2006/relationships/hyperlink" Target="https://doi.org/10.1097/01.ede.0000165364.69366.36" TargetMode="External"/><Relationship Id="rId70" Type="http://schemas.openxmlformats.org/officeDocument/2006/relationships/hyperlink" Target="https://doi.org/10.1097/EDE.0b013e3181d61eeb" TargetMode="External"/><Relationship Id="rId62" Type="http://schemas.openxmlformats.org/officeDocument/2006/relationships/hyperlink" Target="https://doi.org/10.1136/bmj-2025-087179" TargetMode="External"/><Relationship Id="rId33" Type="http://schemas.openxmlformats.org/officeDocument/2006/relationships/hyperlink" Target="https://doi.org/10.1136/bmj.38875.675486.55" TargetMode="External"/><Relationship Id="rId60" Type="http://schemas.openxmlformats.org/officeDocument/2006/relationships/hyperlink" Target="https://doi.org/10.13026/4nqg-sb35" TargetMode="External"/><Relationship Id="rId27" Type="http://schemas.openxmlformats.org/officeDocument/2006/relationships/hyperlink" Target="https://doi.org/10.18637/jss.v081.i01" TargetMode="External"/><Relationship Id="rId68" Type="http://schemas.openxmlformats.org/officeDocument/2006/relationships/hyperlink" Target="https://doi.org/10.2202/1544-6115.1309" TargetMode="External"/><Relationship Id="rId56" Type="http://schemas.openxmlformats.org/officeDocument/2006/relationships/hyperlink" Target="https://doi.org/10.2307/2532051" TargetMode="External"/><Relationship Id="rId37"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Bias in Causal Estimates Using Negative Controls: The Bias Attribution Fraction</dc:title>
  <dc:creator>Zeng Zhechun; Wang Jinwen; Zuo Huijuan; Shu Lixia</dc:creator>
  <cp:keywords/>
  <dcterms:created xsi:type="dcterms:W3CDTF">2026-09-24T08:54:15Z</dcterms:created>
  <dcterms:modified xsi:type="dcterms:W3CDTF">2026-09-24T08:54:15Z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