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Appendix for</w:t>
      </w:r>
      <w:r>
        <w:t xml:space="preserve"> </w:t>
      </w:r>
      <w:r>
        <w:t xml:space="preserve">‘Quantifying Systematic Bias in Observational Causal Estimates: The Bias Attribution Fraction’</w:t>
      </w:r>
    </w:p>
    <w:p>
      <w:pPr>
        <w:pStyle w:val="Author"/>
      </w:pPr>
      <w:r>
        <w:t xml:space="preserve">Zeng Zhechun</w:t>
      </w:r>
    </w:p>
    <w:p>
      <w:pPr>
        <w:pStyle w:val="Author"/>
      </w:pPr>
      <w:r>
        <w:t xml:space="preserve">Wang Jinwen</w:t>
      </w:r>
    </w:p>
    <w:p>
      <w:pPr>
        <w:pStyle w:val="Author"/>
      </w:pPr>
      <w:r>
        <w:t xml:space="preserve">Zuo Huijuan</w:t>
      </w:r>
    </w:p>
    <w:p>
      <w:pPr>
        <w:pStyle w:val="Author"/>
      </w:pPr>
      <w:r>
        <w:t xml:space="preserve">Shu Lixia</w:t>
      </w:r>
    </w:p>
    <w:p>
      <w:pPr>
        <w:pStyle w:val="Date"/>
      </w:pPr>
      <w:r>
        <w:t xml:space="preserve">2026-08-27</w:t>
      </w:r>
    </w:p>
    <w:p>
      <w:pPr>
        <w:pStyle w:val="FirstParagraph"/>
      </w:pPr>
      <w:r>
        <w:rPr>
          <w:vertAlign w:val="superscript"/>
        </w:rPr>
        <w:t xml:space="preserve">1</w:t>
      </w:r>
      <w:r>
        <w:t xml:space="preserve"> </w:t>
      </w:r>
      <w:r>
        <w:t xml:space="preserve">Beijing Anzhen Hospital, Capital Medical University, Beijing 100029, China</w:t>
      </w:r>
    </w:p>
    <w:p>
      <w:pPr>
        <w:pStyle w:val="BodyText"/>
      </w:pPr>
      <w:r>
        <w:rPr>
          <w:vertAlign w:val="superscript"/>
        </w:rPr>
        <w:t xml:space="preserve">2</w:t>
      </w:r>
      <w:r>
        <w:t xml:space="preserve"> </w:t>
      </w:r>
      <w:r>
        <w:t xml:space="preserve">National Clinical Research Center for Cardiovascular Diseases, Beijing, China</w:t>
      </w:r>
    </w:p>
    <w:p>
      <w:pPr>
        <w:pStyle w:val="BodyText"/>
      </w:pPr>
      <w:r>
        <w:rPr>
          <w:vertAlign w:val="superscript"/>
        </w:rPr>
        <w:t xml:space="preserve">3</w:t>
      </w:r>
      <w:r>
        <w:t xml:space="preserve"> </w:t>
      </w:r>
      <w:r>
        <w:t xml:space="preserve">Beijing Institute of Heart, Lung and Blood Vessel Diseases, Beijing, China</w:t>
      </w:r>
    </w:p>
    <w:p>
      <w:pPr>
        <w:pStyle w:val="BodyText"/>
      </w:pPr>
      <w:r>
        <w:t xml:space="preserve">This appendix provides the extended methods, the full lookup table, subgroup robustness, and case-study sensitivity analyses supporting the main manuscript. All numbers are reproduced from the analysis outputs of the study repository (https://github.com/zengzhechun/bias-fraction).</w:t>
      </w:r>
    </w:p>
    <w:bookmarkStart w:id="9" w:name="contents"/>
    <w:p>
      <w:pPr>
        <w:pStyle w:val="Heading2"/>
      </w:pPr>
      <w:r>
        <w:t xml:space="preserve">Contents</w:t>
      </w:r>
    </w:p>
    <w:p>
      <w:pPr>
        <w:pStyle w:val="FirstParagraph"/>
      </w:pPr>
      <w:r>
        <w:rPr>
          <w:b/>
          <w:bCs/>
        </w:rPr>
        <w:t xml:space="preserve">eMethods.</w:t>
      </w:r>
      <w:r>
        <w:t xml:space="preserve"> </w:t>
      </w:r>
      <w:r>
        <w:t xml:space="preserve">Construction and calibration of the BAF credible interval; Justification of the simulation factor ranges; Directional coverage of the simulation grid; Held-out validation of the lookup table; Joint propagation of empirical-null and target-estimate uncertainty; Missing-data handling for the guideline-directed medical therapy exposure; Heart failure cohort and the ejection-fraction proxy; Beta-blocker exposure and guideline target dose; Negative control selection.</w:t>
      </w:r>
    </w:p>
    <w:p>
      <w:pPr>
        <w:pStyle w:val="Compact"/>
        <w:numPr>
          <w:ilvl w:val="0"/>
          <w:numId w:val="1001"/>
        </w:numPr>
      </w:pPr>
      <w:r>
        <w:t xml:space="preserve">eTable 1. Full 12-bucket lookup table</w:t>
      </w:r>
    </w:p>
    <w:p>
      <w:pPr>
        <w:pStyle w:val="Compact"/>
        <w:numPr>
          <w:ilvl w:val="0"/>
          <w:numId w:val="1001"/>
        </w:numPr>
      </w:pPr>
      <w:r>
        <w:t xml:space="preserve">eTable 2. Pooled, width-specific, and conservative readings of the lookup</w:t>
      </w:r>
    </w:p>
    <w:p>
      <w:pPr>
        <w:pStyle w:val="Compact"/>
        <w:numPr>
          <w:ilvl w:val="0"/>
          <w:numId w:val="1001"/>
        </w:numPr>
      </w:pPr>
      <w:r>
        <w:t xml:space="preserve">eTable 3. Subgroup robustness</w:t>
      </w:r>
    </w:p>
    <w:p>
      <w:pPr>
        <w:pStyle w:val="Compact"/>
        <w:numPr>
          <w:ilvl w:val="0"/>
          <w:numId w:val="1001"/>
        </w:numPr>
      </w:pPr>
      <w:r>
        <w:t xml:space="preserve">eTable 4. Case-study sensitivity analyses (question 1)</w:t>
      </w:r>
    </w:p>
    <w:p>
      <w:pPr>
        <w:pStyle w:val="Compact"/>
        <w:numPr>
          <w:ilvl w:val="0"/>
          <w:numId w:val="1001"/>
        </w:numPr>
      </w:pPr>
      <w:r>
        <w:t xml:space="preserve">eTable 5. Case-study estimation output for the two clinical questions</w:t>
      </w:r>
    </w:p>
    <w:p>
      <w:pPr>
        <w:pStyle w:val="Compact"/>
        <w:numPr>
          <w:ilvl w:val="0"/>
          <w:numId w:val="1001"/>
        </w:numPr>
      </w:pPr>
      <w:r>
        <w:t xml:space="preserve">eTable 6. Negative control outcomes in the case study</w:t>
      </w:r>
    </w:p>
    <w:p>
      <w:pPr>
        <w:pStyle w:val="Compact"/>
        <w:numPr>
          <w:ilvl w:val="0"/>
          <w:numId w:val="1001"/>
        </w:numPr>
      </w:pPr>
      <w:r>
        <w:t xml:space="preserve">eTable 7. Baseline characteristics by guideline-directed medical therapy strategy (question 2)</w:t>
      </w:r>
    </w:p>
    <w:p>
      <w:pPr>
        <w:pStyle w:val="Compact"/>
        <w:numPr>
          <w:ilvl w:val="0"/>
          <w:numId w:val="1001"/>
        </w:numPr>
      </w:pPr>
      <w:r>
        <w:t xml:space="preserve">eTable 8. Held-out validation of the lookup table</w:t>
      </w:r>
    </w:p>
    <w:p>
      <w:pPr>
        <w:pStyle w:val="Compact"/>
        <w:numPr>
          <w:ilvl w:val="0"/>
          <w:numId w:val="1001"/>
        </w:numPr>
      </w:pPr>
      <w:r>
        <w:t xml:space="preserve">eTable 9. Joint propagation of empirical-null and target-estimate uncertainty</w:t>
      </w:r>
    </w:p>
    <w:p>
      <w:pPr>
        <w:pStyle w:val="Compact"/>
        <w:numPr>
          <w:ilvl w:val="0"/>
          <w:numId w:val="1001"/>
        </w:numPr>
      </w:pPr>
      <w:r>
        <w:t xml:space="preserve">eTable 10. Missing-data handling for the question-2 exposure</w:t>
      </w:r>
    </w:p>
    <w:p>
      <w:pPr>
        <w:pStyle w:val="Compact"/>
        <w:numPr>
          <w:ilvl w:val="0"/>
          <w:numId w:val="1001"/>
        </w:numPr>
      </w:pPr>
      <w:r>
        <w:t xml:space="preserve">eTable 11. Screening flow for the negative control panel</w:t>
      </w:r>
    </w:p>
    <w:p>
      <w:pPr>
        <w:pStyle w:val="Compact"/>
        <w:numPr>
          <w:ilvl w:val="0"/>
          <w:numId w:val="1001"/>
        </w:numPr>
      </w:pPr>
      <w:r>
        <w:t xml:space="preserve">eTable 12. Ejection-fraction proxy sensitivity analysis</w:t>
      </w:r>
    </w:p>
    <w:p>
      <w:pPr>
        <w:pStyle w:val="Compact"/>
        <w:numPr>
          <w:ilvl w:val="0"/>
          <w:numId w:val="1001"/>
        </w:numPr>
      </w:pPr>
      <w:r>
        <w:t xml:space="preserve">eTable 13. Point accuracy of the BAF estimator and coverage of its credible interval</w:t>
      </w:r>
    </w:p>
    <w:p>
      <w:pPr>
        <w:pStyle w:val="Compact"/>
        <w:numPr>
          <w:ilvl w:val="0"/>
          <w:numId w:val="1001"/>
        </w:numPr>
      </w:pPr>
      <w:r>
        <w:t xml:space="preserve">eTable 14. Classification and rule performance by role of the systematic bias</w:t>
      </w:r>
    </w:p>
    <w:p>
      <w:pPr>
        <w:pStyle w:val="Compact"/>
        <w:numPr>
          <w:ilvl w:val="0"/>
          <w:numId w:val="1001"/>
        </w:numPr>
      </w:pPr>
      <w:r>
        <w:t xml:space="preserve">eTable 15. Baseline characteristics by beta-blocker target-dose strategy (question 1)</w:t>
      </w:r>
    </w:p>
    <w:p>
      <w:pPr>
        <w:pStyle w:val="Compact"/>
        <w:numPr>
          <w:ilvl w:val="0"/>
          <w:numId w:val="1001"/>
        </w:numPr>
      </w:pPr>
      <w:r>
        <w:t xml:space="preserve">eTable 16. Adherence to the TARGET guideline for the case-study emulations</w:t>
      </w:r>
    </w:p>
    <w:p>
      <w:pPr>
        <w:pStyle w:val="Compact"/>
        <w:numPr>
          <w:ilvl w:val="0"/>
          <w:numId w:val="1001"/>
        </w:numPr>
      </w:pPr>
      <w:r>
        <w:t xml:space="preserve">eFigure 1. Coverage of the 95% credible interval and performance of the reporting rule R3 by role of the systematic bias</w:t>
      </w:r>
    </w:p>
    <w:p>
      <w:pPr>
        <w:pStyle w:val="Compact"/>
        <w:numPr>
          <w:ilvl w:val="0"/>
          <w:numId w:val="1001"/>
        </w:numPr>
      </w:pPr>
      <w:r>
        <w:t xml:space="preserve">eFigure 2. Enrolment flow of the case-study emulations</w:t>
      </w:r>
    </w:p>
    <w:p>
      <w:r>
        <w:pict>
          <v:rect style="width:0;height:1.5pt" o:hralign="center" o:hrstd="t" o:hr="t"/>
        </w:pict>
      </w:r>
    </w:p>
    <w:bookmarkEnd w:id="9"/>
    <w:bookmarkStart w:id="19" w:name="emethods"/>
    <w:p>
      <w:pPr>
        <w:pStyle w:val="Heading2"/>
      </w:pPr>
      <w:r>
        <w:t xml:space="preserve">eMethods</w:t>
      </w:r>
    </w:p>
    <w:p>
      <w:pPr>
        <w:pStyle w:val="FirstParagraph"/>
      </w:pPr>
      <w:r>
        <w:t xml:space="preserve">The simulation crossed five factors in a full factorial design (960 conditions x 1000 repetitions = 960,000). Factors: true effect ψ (10 levels, -0.40 to -0.01); bias center μ_B (8 levels); standard error of the target estimate, σψ (0.06, 0.1); number of negative controls K (12, 25, 50); exchangeability violation (0, 0.3). This factorial design is the primary grid; a companion grid of identical size, generated with the same procedure and a disjoint random-number stream, flips the sign of the bias center μ_B at every level while holding all other factors fixed, and the two grids are pooled (1920 conditions, 1,920,000 repetitions) for every performance analysis in the main manuscript and in this supplement, with the role-by-role breakdown given under</w:t>
      </w:r>
      <w:r>
        <w:t xml:space="preserve"> </w:t>
      </w:r>
      <w:r>
        <w:t xml:space="preserve">“Directional coverage of the simulation grid”</w:t>
      </w:r>
      <w:r>
        <w:t xml:space="preserve"> </w:t>
      </w:r>
      <w:r>
        <w:t xml:space="preserve">below. Truth composition: 52.5% bias-dominated, 28.7% mixed, 18.8% effect-dominated. The BAF credible interval used M = 300 retained joint posterior draws (400 Gibbs iterations, 100 discarded as warm-up), which is too few to locate the 2.5th and 97.5th percentiles precisely and is therefore itself a source of interval instability. Percentages describing truth composition refer to all 1,920,000 repetitions of the pooled design; all decision-rule percentages state their denominator explicitly (all repetitions, layer-1 passable repetitions, or repetitions declared usable). With this many repetitions, the Monte Carlo standard error of any reported proportion is below 0.07 percentage points. For the case study, 12 negative controls entered the reported panel. They were drawn from 20 candidate outcomes through four prespecified screening levels described under</w:t>
      </w:r>
      <w:r>
        <w:t xml:space="preserve"> </w:t>
      </w:r>
      <w:r>
        <w:t xml:space="preserve">“Negative control selection”</w:t>
      </w:r>
      <w:r>
        <w:t xml:space="preserve"> </w:t>
      </w:r>
      <w:r>
        <w:t xml:space="preserve">below, and their uncalibrated log relative risks range from -0.769 to 0.178 (10 below the null and 2 above it; Shapiro-Wilk p = 0.171), so the panel is predominantly but not exclusively protective.</w:t>
      </w:r>
    </w:p>
    <w:bookmarkStart w:id="10" w:name="X5a92f6622db1b2df2778df1fce855b2e379b281"/>
    <w:p>
      <w:pPr>
        <w:pStyle w:val="Heading3"/>
      </w:pPr>
      <w:r>
        <w:t xml:space="preserve">Construction and calibration of the BAF credible interval</w:t>
      </w:r>
    </w:p>
    <w:p>
      <w:pPr>
        <w:pStyle w:val="FirstParagraph"/>
      </w:pPr>
      <w:r>
        <w:t xml:space="preserve">BAF is a ratio whose denominator is itself the difference between two estimated quantities, so its uncertainty cannot be inherited from a standard error in the usual way. As</w:t>
      </w:r>
      <w:r>
        <w:t xml:space="preserve"> </w:t>
      </w:r>
      <m:oMath>
        <m:acc>
          <m:accPr>
            <m:chr m:val="̃"/>
          </m:accPr>
          <m:e>
            <m:r>
              <m:t>ψ</m:t>
            </m:r>
          </m:e>
        </m:acc>
      </m:oMath>
      <w:r>
        <w:t xml:space="preserve"> </w:t>
      </w:r>
      <w:r>
        <w:t xml:space="preserve">approaches 0 the ratio becomes unstable, and the instability runs in one direction: the denominator shrinks, so BAF is pushed toward 1, while the upper end of the BAF scale is a hard boundary at exactly 1. An interval built on a normal approximation for</w:t>
      </w:r>
      <w:r>
        <w:t xml:space="preserve"> </w:t>
      </w:r>
      <m:oMath>
        <m:acc>
          <m:accPr>
            <m:chr m:val="̂"/>
          </m:accPr>
          <m:e>
            <m:r>
              <m:rPr>
                <m:sty m:val="p"/>
              </m:rPr>
              <m:t>B</m:t>
            </m:r>
            <m:r>
              <m:rPr>
                <m:sty m:val="p"/>
              </m:rPr>
              <m:t>A</m:t>
            </m:r>
            <m:r>
              <m:rPr>
                <m:sty m:val="p"/>
              </m:rPr>
              <m:t>F</m:t>
            </m:r>
          </m:e>
        </m:acc>
      </m:oMath>
      <w:r>
        <w:t xml:space="preserve"> </w:t>
      </w:r>
      <w:r>
        <w:t xml:space="preserve">would be symmetric on a scale that is bounded and asymmetric near its end, and would put mass outside [0, 1]. We therefore propagate uncertainty instead of approximating it.</w:t>
      </w:r>
    </w:p>
    <w:p>
      <w:pPr>
        <w:pStyle w:val="BodyText"/>
      </w:pPr>
      <w:r>
        <w:t xml:space="preserve">A set of draws of</w:t>
      </w:r>
      <w:r>
        <w:t xml:space="preserve"> </w:t>
      </w:r>
      <m:oMath>
        <m:sSub>
          <m:e>
            <m:r>
              <m:t>μ</m:t>
            </m:r>
          </m:e>
          <m:sub>
            <m:r>
              <m:t>B</m:t>
            </m:r>
          </m:sub>
        </m:sSub>
      </m:oMath>
      <w:r>
        <w:t xml:space="preserve"> </w:t>
      </w:r>
      <w:r>
        <w:t xml:space="preserve">is generated and each is passed through the same function,</w:t>
      </w:r>
      <w:r>
        <w:t xml:space="preserve"> </w:t>
      </w:r>
      <m:oMath>
        <m:r>
          <m:rPr>
            <m:sty m:val="p"/>
          </m:rPr>
          <m:t>B</m:t>
        </m:r>
        <m:r>
          <m:rPr>
            <m:sty m:val="p"/>
          </m:rPr>
          <m:t>A</m:t>
        </m:r>
        <m:r>
          <m:rPr>
            <m:sty m:val="p"/>
          </m:rPr>
          <m:t>F</m:t>
        </m:r>
        <m:r>
          <m:rPr>
            <m:sty m:val="p"/>
          </m:rPr>
          <m:t>=</m:t>
        </m:r>
        <m:r>
          <m:rPr>
            <m:sty m:val="p"/>
          </m:rPr>
          <m:t>|</m:t>
        </m:r>
        <m:sSub>
          <m:e>
            <m:acc>
              <m:accPr>
                <m:chr m:val="̂"/>
              </m:accPr>
              <m:e>
                <m:r>
                  <m:t>μ</m:t>
                </m:r>
              </m:e>
            </m:acc>
          </m:e>
          <m:sub>
            <m:r>
              <m:t>B</m:t>
            </m:r>
          </m:sub>
        </m:sSub>
        <m:r>
          <m:rPr>
            <m:sty m:val="p"/>
          </m:rPr>
          <m:t>|</m:t>
        </m:r>
        <m:r>
          <m:rPr>
            <m:sty m:val="p"/>
          </m:rPr>
          <m:t>/</m:t>
        </m:r>
        <m:r>
          <m:rPr>
            <m:sty m:val="p"/>
          </m:rPr>
          <m:t>(</m:t>
        </m:r>
        <m:r>
          <m:rPr>
            <m:sty m:val="p"/>
          </m:rPr>
          <m:t>|</m:t>
        </m:r>
        <m:sSub>
          <m:e>
            <m:acc>
              <m:accPr>
                <m:chr m:val="̂"/>
              </m:accPr>
              <m:e>
                <m:r>
                  <m:t>μ</m:t>
                </m:r>
              </m:e>
            </m:acc>
          </m:e>
          <m:sub>
            <m:r>
              <m:t>B</m:t>
            </m:r>
          </m:sub>
        </m:sSub>
        <m:r>
          <m:rPr>
            <m:sty m:val="p"/>
          </m:rPr>
          <m:t>|</m:t>
        </m:r>
        <m:r>
          <m:rPr>
            <m:sty m:val="p"/>
          </m:rPr>
          <m:t>+</m:t>
        </m:r>
        <m:r>
          <m:rPr>
            <m:sty m:val="p"/>
          </m:rPr>
          <m:t>|</m:t>
        </m:r>
        <m:sSub>
          <m:e>
            <m:acc>
              <m:accPr>
                <m:chr m:val="̂"/>
              </m:accPr>
              <m:e>
                <m:r>
                  <m:t>ψ</m:t>
                </m:r>
              </m:e>
            </m:acc>
          </m:e>
          <m:sub>
            <m:r>
              <m:rPr>
                <m:sty m:val="p"/>
              </m:rPr>
              <m:t>o</m:t>
            </m:r>
            <m:r>
              <m:rPr>
                <m:sty m:val="p"/>
              </m:rPr>
              <m:t>b</m:t>
            </m:r>
            <m:r>
              <m:rPr>
                <m:sty m:val="p"/>
              </m:rPr>
              <m:t>s</m:t>
            </m:r>
          </m:sub>
        </m:sSub>
        <m:r>
          <m:rPr>
            <m:sty m:val="p"/>
          </m:rPr>
          <m:t>−</m:t>
        </m:r>
        <m:sSub>
          <m:e>
            <m:acc>
              <m:accPr>
                <m:chr m:val="̂"/>
              </m:accPr>
              <m:e>
                <m:r>
                  <m:t>μ</m:t>
                </m:r>
              </m:e>
            </m:acc>
          </m:e>
          <m:sub>
            <m:r>
              <m:t>B</m:t>
            </m:r>
          </m:sub>
        </m:sSub>
        <m:r>
          <m:rPr>
            <m:sty m:val="p"/>
          </m:rPr>
          <m:t>|</m:t>
        </m:r>
        <m:r>
          <m:rPr>
            <m:sty m:val="p"/>
          </m:rPr>
          <m:t>)</m:t>
        </m:r>
      </m:oMath>
      <w:r>
        <w:t xml:space="preserve">, with</w:t>
      </w:r>
      <w:r>
        <w:t xml:space="preserve"> </w:t>
      </w:r>
      <m:oMath>
        <m:sSub>
          <m:e>
            <m:acc>
              <m:accPr>
                <m:chr m:val="̂"/>
              </m:accPr>
              <m:e>
                <m:r>
                  <m:t>ψ</m:t>
                </m:r>
              </m:e>
            </m:acc>
          </m:e>
          <m:sub>
            <m:r>
              <m:rPr>
                <m:sty m:val="p"/>
              </m:rPr>
              <m:t>o</m:t>
            </m:r>
            <m:r>
              <m:rPr>
                <m:sty m:val="p"/>
              </m:rPr>
              <m:t>b</m:t>
            </m:r>
            <m:r>
              <m:rPr>
                <m:sty m:val="p"/>
              </m:rPr>
              <m:t>s</m:t>
            </m:r>
          </m:sub>
        </m:sSub>
      </m:oMath>
      <w:r>
        <w:t xml:space="preserve"> </w:t>
      </w:r>
      <w:r>
        <w:t xml:space="preserve">held at its observed value. The interval is the 2.5th to 97.5th percentile of the resulting distribution of BAF, and the point estimate is the median of that same distribution, so an estimate always lies inside the interval reported for it. Holding</w:t>
      </w:r>
      <w:r>
        <w:t xml:space="preserve"> </w:t>
      </w:r>
      <m:oMath>
        <m:sSub>
          <m:e>
            <m:acc>
              <m:accPr>
                <m:chr m:val="̂"/>
              </m:accPr>
              <m:e>
                <m:r>
                  <m:t>ψ</m:t>
                </m:r>
              </m:e>
            </m:acc>
          </m:e>
          <m:sub>
            <m:r>
              <m:rPr>
                <m:sty m:val="p"/>
              </m:rPr>
              <m:t>o</m:t>
            </m:r>
            <m:r>
              <m:rPr>
                <m:sty m:val="p"/>
              </m:rPr>
              <m:t>b</m:t>
            </m:r>
            <m:r>
              <m:rPr>
                <m:sty m:val="p"/>
              </m:rPr>
              <m:t>s</m:t>
            </m:r>
          </m:sub>
        </m:sSub>
      </m:oMath>
      <w:r>
        <w:t xml:space="preserve"> </w:t>
      </w:r>
      <w:r>
        <w:t xml:space="preserve">fixed is a deliberate choice: the interval answers how much of the calibrated signal is bias given the effect estimate that was obtained, not a joint statement about the effect estimate and the empirical null. In the simulation the number of retained joint posterior draws was deliberately modest, which is too few to locate the 2.5th and 97.5th percentiles precisely and is therefore itself a source of interval instability.</w:t>
      </w:r>
    </w:p>
    <w:p>
      <w:pPr>
        <w:pStyle w:val="BodyText"/>
      </w:pPr>
      <w:r>
        <w:t xml:space="preserve">The draws differ in what they represent. In the simulation they are posterior draws from the systematic error model</w:t>
      </w:r>
      <w:r>
        <w:t xml:space="preserve"> </w:t>
      </w:r>
      <m:oMath>
        <m:sSub>
          <m:e>
            <m:acc>
              <m:accPr>
                <m:chr m:val="̂"/>
              </m:accPr>
              <m:e>
                <m:r>
                  <m:t>γ</m:t>
                </m:r>
              </m:e>
            </m:acc>
          </m:e>
          <m:sub>
            <m:r>
              <m:t>k</m:t>
            </m:r>
          </m:sub>
        </m:sSub>
        <m:r>
          <m:rPr>
            <m:sty m:val="p"/>
          </m:rPr>
          <m:t>∼</m:t>
        </m:r>
        <m:r>
          <m:rPr>
            <m:sty m:val="p"/>
          </m:rPr>
          <m:t>N</m:t>
        </m:r>
        <m:r>
          <m:rPr>
            <m:sty m:val="p"/>
          </m:rPr>
          <m:t>(</m:t>
        </m:r>
        <m:sSub>
          <m:e>
            <m:r>
              <m:t>μ</m:t>
            </m:r>
          </m:e>
          <m:sub>
            <m:r>
              <m:t>B</m:t>
            </m:r>
          </m:sub>
        </m:sSub>
        <m:r>
          <m:rPr>
            <m:sty m:val="p"/>
          </m:rPr>
          <m:t>,</m:t>
        </m:r>
        <m:sSubSup>
          <m:e>
            <m:r>
              <m:t>σ</m:t>
            </m:r>
          </m:e>
          <m:sub>
            <m:r>
              <m:t>B</m:t>
            </m:r>
          </m:sub>
          <m:sup>
            <m:r>
              <m:t>2</m:t>
            </m:r>
          </m:sup>
        </m:sSubSup>
        <m:r>
          <m:rPr>
            <m:sty m:val="p"/>
          </m:rPr>
          <m:t>+</m:t>
        </m:r>
        <m:sSubSup>
          <m:e>
            <m:acc>
              <m:accPr>
                <m:chr m:val="̂"/>
              </m:accPr>
              <m:e>
                <m:r>
                  <m:t>τ</m:t>
                </m:r>
              </m:e>
            </m:acc>
          </m:e>
          <m:sub>
            <m:r>
              <m:t>k</m:t>
            </m:r>
          </m:sub>
          <m:sup>
            <m:r>
              <m:t>2</m:t>
            </m:r>
          </m:sup>
        </m:sSubSup>
        <m:r>
          <m:rPr>
            <m:sty m:val="p"/>
          </m:rPr>
          <m:t>)</m:t>
        </m:r>
      </m:oMath>
      <w:r>
        <w:t xml:space="preserve">, fitted by a Gibbs sampler with priors</w:t>
      </w:r>
      <w:r>
        <w:t xml:space="preserve"> </w:t>
      </w:r>
      <m:oMath>
        <m:sSub>
          <m:e>
            <m:r>
              <m:t>μ</m:t>
            </m:r>
          </m:e>
          <m:sub>
            <m:r>
              <m:t>B</m:t>
            </m:r>
          </m:sub>
        </m:sSub>
        <m:r>
          <m:rPr>
            <m:sty m:val="p"/>
          </m:rPr>
          <m:t>∼</m:t>
        </m:r>
        <m:r>
          <m:rPr>
            <m:sty m:val="p"/>
          </m:rPr>
          <m:t>N</m:t>
        </m:r>
        <m:r>
          <m:rPr>
            <m:sty m:val="p"/>
          </m:rPr>
          <m:t>(</m:t>
        </m:r>
        <m:r>
          <m:t>0</m:t>
        </m:r>
        <m:r>
          <m:rPr>
            <m:sty m:val="p"/>
          </m:rPr>
          <m:t>,</m:t>
        </m:r>
        <m:r>
          <m:t>1</m:t>
        </m:r>
        <m:r>
          <m:rPr>
            <m:sty m:val="p"/>
          </m:rPr>
          <m:t>)</m:t>
        </m:r>
      </m:oMath>
      <w:r>
        <w:t xml:space="preserve"> </w:t>
      </w:r>
      <w:r>
        <w:t xml:space="preserve">and</w:t>
      </w:r>
      <w:r>
        <w:t xml:space="preserve"> </w:t>
      </w:r>
      <m:oMath>
        <m:sSubSup>
          <m:e>
            <m:r>
              <m:t>σ</m:t>
            </m:r>
          </m:e>
          <m:sub>
            <m:r>
              <m:t>B</m:t>
            </m:r>
          </m:sub>
          <m:sup>
            <m:r>
              <m:t>2</m:t>
            </m:r>
          </m:sup>
        </m:sSubSup>
        <m:r>
          <m:rPr>
            <m:sty m:val="p"/>
          </m:rPr>
          <m:t>∼</m:t>
        </m:r>
        <m:r>
          <m:rPr>
            <m:sty m:val="p"/>
          </m:rPr>
          <m:t>I</m:t>
        </m:r>
        <m:r>
          <m:rPr>
            <m:sty m:val="p"/>
          </m:rPr>
          <m:t>n</m:t>
        </m:r>
        <m:r>
          <m:rPr>
            <m:sty m:val="p"/>
          </m:rPr>
          <m:t>v</m:t>
        </m:r>
        <m:r>
          <m:rPr>
            <m:sty m:val="p"/>
          </m:rPr>
          <m:t>e</m:t>
        </m:r>
        <m:r>
          <m:rPr>
            <m:sty m:val="p"/>
          </m:rPr>
          <m:t>r</m:t>
        </m:r>
        <m:r>
          <m:rPr>
            <m:sty m:val="p"/>
          </m:rPr>
          <m:t>s</m:t>
        </m:r>
        <m:r>
          <m:rPr>
            <m:sty m:val="p"/>
          </m:rPr>
          <m:t>e</m:t>
        </m:r>
        <m:r>
          <m:rPr>
            <m:sty m:val="p"/>
          </m:rPr>
          <m:t>G</m:t>
        </m:r>
        <m:r>
          <m:rPr>
            <m:sty m:val="p"/>
          </m:rPr>
          <m:t>a</m:t>
        </m:r>
        <m:r>
          <m:rPr>
            <m:sty m:val="p"/>
          </m:rPr>
          <m:t>m</m:t>
        </m:r>
        <m:r>
          <m:rPr>
            <m:sty m:val="p"/>
          </m:rPr>
          <m:t>m</m:t>
        </m:r>
        <m:r>
          <m:rPr>
            <m:sty m:val="p"/>
          </m:rPr>
          <m:t>a</m:t>
        </m:r>
        <m:r>
          <m:rPr>
            <m:sty m:val="p"/>
          </m:rPr>
          <m:t>(</m:t>
        </m:r>
        <m:r>
          <m:t>0.5</m:t>
        </m:r>
        <m:r>
          <m:rPr>
            <m:sty m:val="p"/>
          </m:rPr>
          <m:t>,</m:t>
        </m:r>
        <m:r>
          <m:t>0.05</m:t>
        </m:r>
        <m:r>
          <m:rPr>
            <m:sty m:val="p"/>
          </m:rPr>
          <m:t>)</m:t>
        </m:r>
      </m:oMath>
      <w:r>
        <w:t xml:space="preserve">, with</w:t>
      </w:r>
      <w:r>
        <w:t xml:space="preserve"> </w:t>
      </w:r>
      <m:oMath>
        <m:sSub>
          <m:e>
            <m:acc>
              <m:accPr>
                <m:chr m:val="̂"/>
              </m:accPr>
              <m:e>
                <m:r>
                  <m:t>ψ</m:t>
                </m:r>
              </m:e>
            </m:acc>
          </m:e>
          <m:sub>
            <m:r>
              <m:rPr>
                <m:sty m:val="p"/>
              </m:rPr>
              <m:t>o</m:t>
            </m:r>
            <m:r>
              <m:rPr>
                <m:sty m:val="p"/>
              </m:rPr>
              <m:t>b</m:t>
            </m:r>
            <m:r>
              <m:rPr>
                <m:sty m:val="p"/>
              </m:rPr>
              <m:t>s</m:t>
            </m:r>
          </m:sub>
        </m:sSub>
      </m:oMath>
      <w:r>
        <w:t xml:space="preserve"> </w:t>
      </w:r>
      <w:r>
        <w:t xml:space="preserve">entering the BAF transform as a fixed constant rather than as a quantity being sampled. In the case study they are nonparametric bootstrap resamples of the negative control panel, with the empirical null refitted within each resample. Both constructions yield a distribution for BAF itself rather than a procedure with a long-run coverage guarantee, and a bootstrap percentile distribution can be read as an approximation to a posterior distribution under an uninformative prior (Efron and Tibshirani 1993; Rubin 1981), so we use one term for both.</w:t>
      </w:r>
    </w:p>
    <w:p>
      <w:pPr>
        <w:pStyle w:val="BodyText"/>
      </w:pPr>
      <w:r>
        <w:t xml:space="preserve">We call the result a credible interval, not a confidence interval, because it is a percentile range of a distribution for the quantity being estimated, not the output of a procedure constructed to cover the true value in 95% of repeated samples. No sampling distribution is inverted and no normal approximation to the sampling distribution of</w:t>
      </w:r>
      <w:r>
        <w:t xml:space="preserve"> </w:t>
      </w:r>
      <m:oMath>
        <m:acc>
          <m:accPr>
            <m:chr m:val="̂"/>
          </m:accPr>
          <m:e>
            <m:r>
              <m:rPr>
                <m:sty m:val="p"/>
              </m:rPr>
              <m:t>B</m:t>
            </m:r>
            <m:r>
              <m:rPr>
                <m:sty m:val="p"/>
              </m:rPr>
              <m:t>A</m:t>
            </m:r>
            <m:r>
              <m:rPr>
                <m:sty m:val="p"/>
              </m:rPr>
              <m:t>F</m:t>
            </m:r>
          </m:e>
        </m:acc>
      </m:oMath>
      <w:r>
        <w:t xml:space="preserve"> </w:t>
      </w:r>
      <w:r>
        <w:t xml:space="preserve">is used, so the interval carries no guarantee of frequentist coverage, and the 95% level is a statement about where BAF lies given these data and this systematic error model, not about how often the procedure captures the truth. The distinction is not terminological. In the simulation, where</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is known by construction, the interval contained it in 55.7% of repetitions, below the nominal 95%, and coverage was lower among narrower intervals (34.4%) than among wider ones (76.9%); the pooled figure averages over the bias roles analysed below, which differ markedly in coverage (71.1% in the primary grid alone, where bias and effect share a sign). One reason is visible in the construction itself: the interval propagates uncertainty from the empirical null while holding</w:t>
      </w:r>
      <w:r>
        <w:t xml:space="preserve"> </w:t>
      </w:r>
      <m:oMath>
        <m:sSub>
          <m:e>
            <m:acc>
              <m:accPr>
                <m:chr m:val="̂"/>
              </m:accPr>
              <m:e>
                <m:r>
                  <m:t>ψ</m:t>
                </m:r>
              </m:e>
            </m:acc>
          </m:e>
          <m:sub>
            <m:r>
              <m:rPr>
                <m:sty m:val="p"/>
              </m:rPr>
              <m:t>o</m:t>
            </m:r>
            <m:r>
              <m:rPr>
                <m:sty m:val="p"/>
              </m:rPr>
              <m:t>b</m:t>
            </m:r>
            <m:r>
              <m:rPr>
                <m:sty m:val="p"/>
              </m:rPr>
              <m:t>s</m:t>
            </m:r>
          </m:sub>
        </m:sSub>
      </m:oMath>
      <w:r>
        <w:t xml:space="preserve"> </w:t>
      </w:r>
      <w:r>
        <w:t xml:space="preserve">fixed, so it omits the sampling variability of the effect estimate, a second source of error in</w:t>
      </w:r>
      <w:r>
        <w:t xml:space="preserve"> </w:t>
      </w:r>
      <m:oMath>
        <m:acc>
          <m:accPr>
            <m:chr m:val="̂"/>
          </m:accPr>
          <m:e>
            <m:r>
              <m:rPr>
                <m:sty m:val="p"/>
              </m:rPr>
              <m:t>B</m:t>
            </m:r>
            <m:r>
              <m:rPr>
                <m:sty m:val="p"/>
              </m:rPr>
              <m:t>A</m:t>
            </m:r>
            <m:r>
              <m:rPr>
                <m:sty m:val="p"/>
              </m:rPr>
              <m:t>F</m:t>
            </m:r>
          </m:e>
        </m:acc>
      </m:oMath>
      <w:r>
        <w:t xml:space="preserve">. Had the interval been advertised as a confidence interval, that shortfall would be a failure of the method; reported as a credible interval with its coverage stated, it is an honest statement that the propagated distribution is too narrow.</w:t>
      </w:r>
    </w:p>
    <w:p>
      <w:pPr>
        <w:pStyle w:val="BodyText"/>
      </w:pPr>
      <w:r>
        <w:t xml:space="preserve">We summarise each interval by its half-width,</w:t>
      </w:r>
      <w:r>
        <w:t xml:space="preserve"> </w:t>
      </w:r>
      <m:oMath>
        <m:r>
          <m:rPr>
            <m:sty m:val="p"/>
          </m:rPr>
          <m:t>(</m:t>
        </m:r>
        <m:sSub>
          <m:e>
            <m:acc>
              <m:accPr>
                <m:chr m:val="̂"/>
              </m:accPr>
              <m:e>
                <m:r>
                  <m:rPr>
                    <m:sty m:val="p"/>
                  </m:rPr>
                  <m:t>B</m:t>
                </m:r>
                <m:r>
                  <m:rPr>
                    <m:sty m:val="p"/>
                  </m:rPr>
                  <m:t>A</m:t>
                </m:r>
                <m:r>
                  <m:rPr>
                    <m:sty m:val="p"/>
                  </m:rPr>
                  <m:t>F</m:t>
                </m:r>
              </m:e>
            </m:acc>
          </m:e>
          <m:sub>
            <m:r>
              <m:rPr>
                <m:sty m:val="p"/>
              </m:rPr>
              <m:t>h</m:t>
            </m:r>
            <m:r>
              <m:rPr>
                <m:sty m:val="p"/>
              </m:rPr>
              <m:t>i</m:t>
            </m:r>
          </m:sub>
        </m:sSub>
        <m:r>
          <m:rPr>
            <m:sty m:val="p"/>
          </m:rPr>
          <m:t>−</m:t>
        </m:r>
        <m:sSub>
          <m:e>
            <m:acc>
              <m:accPr>
                <m:chr m:val="̂"/>
              </m:accPr>
              <m:e>
                <m:r>
                  <m:rPr>
                    <m:sty m:val="p"/>
                  </m:rPr>
                  <m:t>B</m:t>
                </m:r>
                <m:r>
                  <m:rPr>
                    <m:sty m:val="p"/>
                  </m:rPr>
                  <m:t>A</m:t>
                </m:r>
                <m:r>
                  <m:rPr>
                    <m:sty m:val="p"/>
                  </m:rPr>
                  <m:t>F</m:t>
                </m:r>
              </m:e>
            </m:acc>
          </m:e>
          <m:sub>
            <m:r>
              <m:rPr>
                <m:sty m:val="p"/>
              </m:rPr>
              <m:t>l</m:t>
            </m:r>
            <m:r>
              <m:rPr>
                <m:sty m:val="p"/>
              </m:rPr>
              <m:t>o</m:t>
            </m:r>
          </m:sub>
        </m:sSub>
        <m:r>
          <m:rPr>
            <m:sty m:val="p"/>
          </m:rPr>
          <m:t>)</m:t>
        </m:r>
        <m:r>
          <m:rPr>
            <m:sty m:val="p"/>
          </m:rPr>
          <m:t>/</m:t>
        </m:r>
        <m:r>
          <m:t>2</m:t>
        </m:r>
      </m:oMath>
      <w:r>
        <w:t xml:space="preserve">, and not by its two bounds, for two reasons. First, BAF is bounded, so the bounds are truncated at 0 and 1 and carry information about location as well as precision: an estimate near 0.9 cannot have an upper bound far above 0.9, and reading the bounds alone conflates where the estimate sits with how firmly it sits there. The half-width extracts the precision component, and it does so in BAF units, on the same bounded scale as the estimate itself. Second, that common scale is what lets the two be crossed: the lookup table of Step 2 classifies an estimate jointly by where it falls on the BAF scale and by how wide its interval is, splitting the half-width at its median across the simulation (0.088; interquartile range 0.040 to 0.148) and returning the higher of the two stratum-specific probabilities, so that the verdict is the more conservative of the two readings (eTable 1). The half-width is not a standard error: because the bounds are truncated, it is half the share of the [0, 1] scale that the interval occupies, and near either end of the scale it is attenuated by that truncation.</w:t>
      </w:r>
    </w:p>
    <w:bookmarkEnd w:id="10"/>
    <w:bookmarkStart w:id="11" w:name="X5527de705b38018361576f3f039c5b5918c52ca"/>
    <w:p>
      <w:pPr>
        <w:pStyle w:val="Heading3"/>
      </w:pPr>
      <w:r>
        <w:t xml:space="preserve">Justification of the simulation factor ranges</w:t>
      </w:r>
    </w:p>
    <w:p>
      <w:pPr>
        <w:pStyle w:val="FirstParagraph"/>
      </w:pPr>
      <w:r>
        <w:t xml:space="preserve">Factor levels were not chosen to represent a survey of cardiovascular observational research. Each level was anchored either to a quantity measured in the present case study or to a published estimate of adherence-related bias, as follows.</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Pr>
      <w:tblGrid>
        <w:gridCol w:w="2791"/>
        <w:gridCol w:w="2791"/>
        <w:gridCol w:w="2791"/>
        <w:gridCol w:w="2791"/>
        <w:gridCol w:w="2790"/>
      </w:tblGrid>
      <w:tr>
        <w:trPr>
          <w:tblHeader w:val="on"/>
        </w:trPr>
        <w:tc>
          <w:tcPr>
            <w:tcW w:type="dxa" w:w="2791"/>
          </w:tcPr>
          <w:p>
            <w:pPr>
              <w:pStyle w:val="Compact"/>
              <w:spacing w:line="240" w:lineRule="auto" w:before="20" w:after="20"/>
            </w:pPr>
            <w:r>
              <w:rPr>
                <w:rFonts w:ascii="Arial" w:hAnsi="Arial"/>
                <w:sz w:val="20"/>
              </w:rPr>
              <w:t xml:space="preserve">Factor</w:t>
            </w:r>
          </w:p>
        </w:tc>
        <w:tc>
          <w:tcPr>
            <w:tcW w:type="dxa" w:w="2791"/>
          </w:tcPr>
          <w:p>
            <w:pPr>
              <w:pStyle w:val="Compact"/>
              <w:spacing w:line="240" w:lineRule="auto" w:before="20" w:after="20"/>
            </w:pPr>
            <w:r>
              <w:rPr>
                <w:rFonts w:ascii="Arial" w:hAnsi="Arial"/>
                <w:sz w:val="20"/>
              </w:rPr>
              <w:t xml:space="preserve">Levels</w:t>
            </w:r>
          </w:p>
        </w:tc>
        <w:tc>
          <w:tcPr>
            <w:tcW w:type="dxa" w:w="2791"/>
          </w:tcPr>
          <w:p>
            <w:pPr>
              <w:pStyle w:val="Compact"/>
              <w:spacing w:line="240" w:lineRule="auto" w:before="20" w:after="20"/>
            </w:pPr>
            <w:r>
              <w:rPr>
                <w:rFonts w:ascii="Arial" w:hAnsi="Arial"/>
                <w:sz w:val="20"/>
              </w:rPr>
              <w:t xml:space="preserve">Values</w:t>
            </w:r>
          </w:p>
        </w:tc>
        <w:tc>
          <w:tcPr>
            <w:tcW w:type="dxa" w:w="2791"/>
          </w:tcPr>
          <w:p>
            <w:pPr>
              <w:pStyle w:val="Compact"/>
              <w:spacing w:line="240" w:lineRule="auto" w:before="20" w:after="20"/>
            </w:pPr>
            <w:r>
              <w:rPr>
                <w:rFonts w:ascii="Arial" w:hAnsi="Arial"/>
                <w:sz w:val="20"/>
              </w:rPr>
              <w:t xml:space="preserve">Justification</w:t>
            </w:r>
          </w:p>
        </w:tc>
        <w:tc>
          <w:tcPr>
            <w:tcW w:type="dxa" w:w="2790"/>
          </w:tcPr>
          <w:p>
            <w:pPr>
              <w:pStyle w:val="Compact"/>
              <w:spacing w:line="240" w:lineRule="auto" w:before="20" w:after="20"/>
            </w:pPr>
            <w:r>
              <w:rPr>
                <w:rFonts w:ascii="Arial" w:hAnsi="Arial"/>
                <w:sz w:val="20"/>
              </w:rPr>
              <w:t xml:space="preserve">Source</w:t>
            </w:r>
          </w:p>
        </w:tc>
      </w:tr>
      <w:tr>
        <w:tc>
          <w:tcPr>
            <w:tcW w:type="dxa" w:w="2791"/>
          </w:tcPr>
          <w:p>
            <w:pPr>
              <w:pStyle w:val="Compact"/>
              <w:spacing w:line="240" w:lineRule="auto" w:before="20" w:after="20"/>
            </w:pPr>
            <w:r>
              <w:rPr>
                <w:rFonts w:ascii="Arial" w:hAnsi="Arial"/>
                <w:sz w:val="20"/>
              </w:rPr>
              <w:t xml:space="preserve">True effect, ψ</w:t>
            </w:r>
          </w:p>
        </w:tc>
        <w:tc>
          <w:tcPr>
            <w:tcW w:type="dxa" w:w="2791"/>
          </w:tcPr>
          <w:p>
            <w:pPr>
              <w:pStyle w:val="Compact"/>
              <w:spacing w:line="240" w:lineRule="auto" w:before="20" w:after="20"/>
            </w:pPr>
            <w:r>
              <w:rPr>
                <w:rFonts w:ascii="Arial" w:hAnsi="Arial"/>
                <w:sz w:val="20"/>
              </w:rPr>
              <w:t xml:space="preserve">10</w:t>
            </w:r>
          </w:p>
        </w:tc>
        <w:tc>
          <w:tcPr>
            <w:tcW w:type="dxa" w:w="2791"/>
          </w:tcPr>
          <w:p>
            <w:pPr>
              <w:pStyle w:val="Compact"/>
              <w:spacing w:line="240" w:lineRule="auto" w:before="20" w:after="20"/>
            </w:pPr>
            <w:r>
              <w:rPr>
                <w:rFonts w:ascii="Arial" w:hAnsi="Arial"/>
                <w:sz w:val="20"/>
              </w:rPr>
              <w:t xml:space="preserve">−0.01 to −0.40</w:t>
            </w:r>
          </w:p>
        </w:tc>
        <w:tc>
          <w:tcPr>
            <w:tcW w:type="dxa" w:w="2791"/>
          </w:tcPr>
          <w:p>
            <w:pPr>
              <w:pStyle w:val="Compact"/>
              <w:spacing w:line="240" w:lineRule="auto" w:before="20" w:after="20"/>
            </w:pPr>
            <w:r>
              <w:rPr>
                <w:rFonts w:ascii="Arial" w:hAnsi="Arial"/>
                <w:sz w:val="20"/>
              </w:rPr>
              <w:t xml:space="preserve">Spans marginal to large protective effects on the log relative-risk scale (RR, 0.99 to 0.67) and brackets the beta-blocker estimate observed in the case study (ln RR, −0.18)</w:t>
            </w:r>
          </w:p>
        </w:tc>
        <w:tc>
          <w:tcPr>
            <w:tcW w:type="dxa" w:w="2790"/>
          </w:tcPr>
          <w:p>
            <w:pPr>
              <w:pStyle w:val="Compact"/>
              <w:spacing w:line="240" w:lineRule="auto" w:before="20" w:after="20"/>
            </w:pPr>
            <w:r>
              <w:rPr>
                <w:rFonts w:ascii="Arial" w:hAnsi="Arial"/>
                <w:sz w:val="20"/>
              </w:rPr>
              <w:t xml:space="preserve">Present case study</w:t>
            </w:r>
          </w:p>
        </w:tc>
      </w:tr>
      <w:tr>
        <w:tc>
          <w:tcPr>
            <w:tcW w:type="dxa" w:w="2791"/>
          </w:tcPr>
          <w:p>
            <w:pPr>
              <w:pStyle w:val="Compact"/>
              <w:spacing w:line="240" w:lineRule="auto" w:before="20" w:after="20"/>
            </w:pPr>
            <w:r>
              <w:rPr>
                <w:rFonts w:ascii="Arial" w:hAnsi="Arial"/>
                <w:sz w:val="20"/>
              </w:rPr>
              <w:t xml:space="preserve">Bias center, μB</w:t>
            </w:r>
          </w:p>
        </w:tc>
        <w:tc>
          <w:tcPr>
            <w:tcW w:type="dxa" w:w="2791"/>
          </w:tcPr>
          <w:p>
            <w:pPr>
              <w:pStyle w:val="Compact"/>
              <w:spacing w:line="240" w:lineRule="auto" w:before="20" w:after="20"/>
            </w:pPr>
            <w:r>
              <w:rPr>
                <w:rFonts w:ascii="Arial" w:hAnsi="Arial"/>
                <w:sz w:val="20"/>
              </w:rPr>
              <w:t xml:space="preserve">8</w:t>
            </w:r>
          </w:p>
        </w:tc>
        <w:tc>
          <w:tcPr>
            <w:tcW w:type="dxa" w:w="2791"/>
          </w:tcPr>
          <w:p>
            <w:pPr>
              <w:pStyle w:val="Compact"/>
              <w:spacing w:line="240" w:lineRule="auto" w:before="20" w:after="20"/>
            </w:pPr>
            <w:r>
              <w:rPr>
                <w:rFonts w:ascii="Arial" w:hAnsi="Arial"/>
                <w:sz w:val="20"/>
              </w:rPr>
              <w:t xml:space="preserve">−0.05 to −0.40</w:t>
            </w:r>
          </w:p>
        </w:tc>
        <w:tc>
          <w:tcPr>
            <w:tcW w:type="dxa" w:w="2791"/>
          </w:tcPr>
          <w:p>
            <w:pPr>
              <w:pStyle w:val="Compact"/>
              <w:spacing w:line="240" w:lineRule="auto" w:before="20" w:after="20"/>
            </w:pPr>
            <w:r>
              <w:rPr>
                <w:rFonts w:ascii="Arial" w:hAnsi="Arial"/>
                <w:sz w:val="20"/>
              </w:rPr>
              <w:t xml:space="preserve">(RR, 0.95 to 0.67). Approaches, without reaching, the healthy-adherer effect reported for adherence-related exposures (odds ratio, 0.56; ln, −0.58) and brackets the empirical null fitted to the case-study panel (μ̂B, −0.17)</w:t>
            </w:r>
          </w:p>
        </w:tc>
        <w:tc>
          <w:tcPr>
            <w:tcW w:type="dxa" w:w="2790"/>
          </w:tcPr>
          <w:p>
            <w:pPr>
              <w:pStyle w:val="Compact"/>
              <w:spacing w:line="240" w:lineRule="auto" w:before="20" w:after="20"/>
            </w:pPr>
            <w:r>
              <w:rPr>
                <w:rFonts w:ascii="Arial" w:hAnsi="Arial"/>
                <w:sz w:val="20"/>
              </w:rPr>
              <w:t xml:space="preserve">Simpson 2006; present case study</w:t>
            </w:r>
          </w:p>
        </w:tc>
      </w:tr>
      <w:tr>
        <w:tc>
          <w:tcPr>
            <w:tcW w:type="dxa" w:w="2791"/>
          </w:tcPr>
          <w:p>
            <w:pPr>
              <w:pStyle w:val="Compact"/>
              <w:spacing w:line="240" w:lineRule="auto" w:before="20" w:after="20"/>
            </w:pPr>
            <w:r>
              <w:rPr>
                <w:rFonts w:ascii="Arial" w:hAnsi="Arial"/>
                <w:sz w:val="20"/>
              </w:rPr>
              <w:t xml:space="preserve">Standard error of the target estimate, σψ</w:t>
            </w:r>
          </w:p>
        </w:tc>
        <w:tc>
          <w:tcPr>
            <w:tcW w:type="dxa" w:w="2791"/>
          </w:tcPr>
          <w:p>
            <w:pPr>
              <w:pStyle w:val="Compact"/>
              <w:spacing w:line="240" w:lineRule="auto" w:before="20" w:after="20"/>
            </w:pPr>
            <w:r>
              <w:rPr>
                <w:rFonts w:ascii="Arial" w:hAnsi="Arial"/>
                <w:sz w:val="20"/>
              </w:rPr>
              <w:t xml:space="preserve">2</w:t>
            </w:r>
          </w:p>
        </w:tc>
        <w:tc>
          <w:tcPr>
            <w:tcW w:type="dxa" w:w="2791"/>
          </w:tcPr>
          <w:p>
            <w:pPr>
              <w:pStyle w:val="Compact"/>
              <w:spacing w:line="240" w:lineRule="auto" w:before="20" w:after="20"/>
            </w:pPr>
            <w:r>
              <w:rPr>
                <w:rFonts w:ascii="Arial" w:hAnsi="Arial"/>
                <w:sz w:val="20"/>
              </w:rPr>
              <w:t xml:space="preserve">0.06, 0.10</w:t>
            </w:r>
          </w:p>
        </w:tc>
        <w:tc>
          <w:tcPr>
            <w:tcW w:type="dxa" w:w="2791"/>
          </w:tcPr>
          <w:p>
            <w:pPr>
              <w:pStyle w:val="Compact"/>
              <w:spacing w:line="240" w:lineRule="auto" w:before="20" w:after="20"/>
            </w:pPr>
            <w:r>
              <w:rPr>
                <w:rFonts w:ascii="Arial" w:hAnsi="Arial"/>
                <w:sz w:val="20"/>
              </w:rPr>
              <w:t xml:space="preserve">Closely matches the standard errors of the two case-study estimates (0.056 and 0.068), the smaller falling marginally below the lower grid level</w:t>
            </w:r>
          </w:p>
        </w:tc>
        <w:tc>
          <w:tcPr>
            <w:tcW w:type="dxa" w:w="2790"/>
          </w:tcPr>
          <w:p>
            <w:pPr>
              <w:pStyle w:val="Compact"/>
              <w:spacing w:line="240" w:lineRule="auto" w:before="20" w:after="20"/>
            </w:pPr>
            <w:r>
              <w:rPr>
                <w:rFonts w:ascii="Arial" w:hAnsi="Arial"/>
                <w:sz w:val="20"/>
              </w:rPr>
              <w:t xml:space="preserve">Present case study</w:t>
            </w:r>
          </w:p>
        </w:tc>
      </w:tr>
      <w:tr>
        <w:tc>
          <w:tcPr>
            <w:tcW w:type="dxa" w:w="2791"/>
          </w:tcPr>
          <w:p>
            <w:pPr>
              <w:pStyle w:val="Compact"/>
              <w:spacing w:line="240" w:lineRule="auto" w:before="20" w:after="20"/>
            </w:pPr>
            <w:r>
              <w:rPr>
                <w:rFonts w:ascii="Arial" w:hAnsi="Arial"/>
                <w:sz w:val="20"/>
              </w:rPr>
              <w:t xml:space="preserve">Number of negative controls, K</w:t>
            </w:r>
          </w:p>
        </w:tc>
        <w:tc>
          <w:tcPr>
            <w:tcW w:type="dxa" w:w="2791"/>
          </w:tcPr>
          <w:p>
            <w:pPr>
              <w:pStyle w:val="Compact"/>
              <w:spacing w:line="240" w:lineRule="auto" w:before="20" w:after="20"/>
            </w:pPr>
            <w:r>
              <w:rPr>
                <w:rFonts w:ascii="Arial" w:hAnsi="Arial"/>
                <w:sz w:val="20"/>
              </w:rPr>
              <w:t xml:space="preserve">3</w:t>
            </w:r>
          </w:p>
        </w:tc>
        <w:tc>
          <w:tcPr>
            <w:tcW w:type="dxa" w:w="2791"/>
          </w:tcPr>
          <w:p>
            <w:pPr>
              <w:pStyle w:val="Compact"/>
              <w:spacing w:line="240" w:lineRule="auto" w:before="20" w:after="20"/>
            </w:pPr>
            <w:r>
              <w:rPr>
                <w:rFonts w:ascii="Arial" w:hAnsi="Arial"/>
                <w:sz w:val="20"/>
              </w:rPr>
              <w:t xml:space="preserve">12, 25, 50</w:t>
            </w:r>
          </w:p>
        </w:tc>
        <w:tc>
          <w:tcPr>
            <w:tcW w:type="dxa" w:w="2791"/>
          </w:tcPr>
          <w:p>
            <w:pPr>
              <w:pStyle w:val="Compact"/>
              <w:spacing w:line="240" w:lineRule="auto" w:before="20" w:after="20"/>
            </w:pPr>
            <w:r>
              <w:rPr>
                <w:rFonts w:ascii="Arial" w:hAnsi="Arial"/>
                <w:sz w:val="20"/>
              </w:rPr>
              <w:t xml:space="preserve">12 is the number of controls in the cardiovascular panel available in MIMIC-IV; 25 is a moderately larger panel; 50 tests whether estimator performance keeps improving or plateaus once the panel far exceeds the size typically assembled in practice</w:t>
            </w:r>
          </w:p>
        </w:tc>
        <w:tc>
          <w:tcPr>
            <w:tcW w:type="dxa" w:w="2790"/>
          </w:tcPr>
          <w:p>
            <w:pPr>
              <w:pStyle w:val="Compact"/>
              <w:spacing w:line="240" w:lineRule="auto" w:before="20" w:after="20"/>
            </w:pPr>
            <w:r>
              <w:rPr>
                <w:rFonts w:ascii="Arial" w:hAnsi="Arial"/>
                <w:sz w:val="20"/>
              </w:rPr>
              <w:t xml:space="preserve">Present case study; Schuemie 2018</w:t>
            </w:r>
          </w:p>
        </w:tc>
      </w:tr>
      <w:tr>
        <w:tc>
          <w:tcPr>
            <w:tcW w:type="dxa" w:w="2791"/>
          </w:tcPr>
          <w:p>
            <w:pPr>
              <w:pStyle w:val="Compact"/>
              <w:spacing w:line="240" w:lineRule="auto" w:before="20" w:after="20"/>
            </w:pPr>
            <w:r>
              <w:rPr>
                <w:rFonts w:ascii="Arial" w:hAnsi="Arial"/>
                <w:sz w:val="20"/>
              </w:rPr>
              <w:t xml:space="preserve">Exchangeability violation</w:t>
            </w:r>
          </w:p>
        </w:tc>
        <w:tc>
          <w:tcPr>
            <w:tcW w:type="dxa" w:w="2791"/>
          </w:tcPr>
          <w:p>
            <w:pPr>
              <w:pStyle w:val="Compact"/>
              <w:spacing w:line="240" w:lineRule="auto" w:before="20" w:after="20"/>
            </w:pPr>
            <w:r>
              <w:rPr>
                <w:rFonts w:ascii="Arial" w:hAnsi="Arial"/>
                <w:sz w:val="20"/>
              </w:rPr>
              <w:t xml:space="preserve">2</w:t>
            </w:r>
          </w:p>
        </w:tc>
        <w:tc>
          <w:tcPr>
            <w:tcW w:type="dxa" w:w="2791"/>
          </w:tcPr>
          <w:p>
            <w:pPr>
              <w:pStyle w:val="Compact"/>
              <w:spacing w:line="240" w:lineRule="auto" w:before="20" w:after="20"/>
            </w:pPr>
            <w:r>
              <w:rPr>
                <w:rFonts w:ascii="Arial" w:hAnsi="Arial"/>
                <w:sz w:val="20"/>
              </w:rPr>
              <w:t xml:space="preserve">0, 0.3</w:t>
            </w:r>
          </w:p>
        </w:tc>
        <w:tc>
          <w:tcPr>
            <w:tcW w:type="dxa" w:w="2791"/>
          </w:tcPr>
          <w:p>
            <w:pPr>
              <w:pStyle w:val="Compact"/>
              <w:spacing w:line="240" w:lineRule="auto" w:before="20" w:after="20"/>
            </w:pPr>
            <w:r>
              <w:rPr>
                <w:rFonts w:ascii="Arial" w:hAnsi="Arial"/>
                <w:sz w:val="20"/>
              </w:rPr>
              <w:t xml:space="preserve">0 corresponds to an assumption that holds; 0.3 shifts 30% of controls by +0.15 (RR, 1.16), a deliberately arbitrary perturbation chosen to break the assumption rather than to reproduce any empirical estimate</w:t>
            </w:r>
          </w:p>
        </w:tc>
        <w:tc>
          <w:tcPr>
            <w:tcW w:type="dxa" w:w="2790"/>
          </w:tcPr>
          <w:p>
            <w:pPr>
              <w:pStyle w:val="Compact"/>
              <w:spacing w:line="240" w:lineRule="auto" w:before="20" w:after="20"/>
            </w:pPr>
            <w:r>
              <w:rPr>
                <w:rFonts w:ascii="Arial" w:hAnsi="Arial"/>
                <w:sz w:val="20"/>
              </w:rPr>
              <w:t xml:space="preserve">Design choice</w:t>
            </w:r>
          </w:p>
        </w:tc>
      </w:tr>
    </w:tbl>
    <w:p>
      <w:pPr>
        <w:pStyle w:val="BodyText"/>
      </w:pPr>
      <w:r>
        <w:t xml:space="preserve">Three respects in which the grid does not bracket the case study should be read as limitations of the simulation, all of which make it more favorable to the estimator than the case study itself. First, the between-control standard deviation was held fixed at 0.05, below the 0.068 fitted to the case-study panel. Second, control standard errors were drawn from a uniform distribution on 0.03 to 0.12, whereas the observed controls ranged from 0.025 to 0.302 with 3 controls above 0.24. Third, the guideline-directed medical therapy estimate (ln RR, −0.38) lies between grid levels, within the ψ grid whose most extreme value is −0.40.</w:t>
      </w:r>
    </w:p>
    <w:bookmarkEnd w:id="11"/>
    <w:bookmarkStart w:id="12" w:name="Xb4998b1d72d6ccad351e9ca6a7d161d144a22d7"/>
    <w:p>
      <w:pPr>
        <w:pStyle w:val="Heading3"/>
      </w:pPr>
      <w:r>
        <w:t xml:space="preserve">Directional coverage of the simulation grid</w:t>
      </w:r>
    </w:p>
    <w:p>
      <w:pPr>
        <w:pStyle w:val="FirstParagraph"/>
      </w:pPr>
      <w:r>
        <w:t xml:space="preserve">The BAF definition uses absolute values, which makes the metric indifferent to the direction in which the bias acts, so one BAF value is compatible with bias that inflates the apparent effect, bias that shrinks it toward the null, and bias that reverses its sign. The primary grid sets ψ and μB to the same sign and therefore characterizes only the first of those three roles. To cover the other two, we ran a mirror grid that keeps the ten ψ levels and the eight μB magnitudes of the primary grid but gives μB a positive sign, holding σψ, K, and the exchangeability factor at the same levels, so that the two grids differ in one factor only. Within the mirror grid, the sign of the expected observed effect, ψ + μB, separates the cells into three roles: shrinkage, when μB opposes ψ and is smaller in absolute value; cancellation, when the two are equal in absolute value; and reversal, when μB is larger. The four roles together span 1920 conditions and 1,920,000 repetitions. These are the same repetitions that every performance number in the main manuscript pools; this section disaggregates them by role.</w:t>
      </w:r>
    </w:p>
    <w:p>
      <w:pPr>
        <w:pStyle w:val="BodyText"/>
      </w:pPr>
      <w:r>
        <w:t xml:space="preserve">eTable 13 reports, for each role, the number of conditions it contains, the mean signed difference between BAF̂ and BAF_true, its root mean squared error, the median half-width of the credible interval, and the coverage of that interval. eTable 14 reports, for the same four roles, agreement between the classified zone and the true zone, the share of repetitions that pass layer 1, the yield of the reporting rule R3, the share of the estimates R3 endorses that are in fact bias-dominated, and the share of cells whose true BAF lies above 0.5.</w:t>
      </w:r>
    </w:p>
    <w:p>
      <w:pPr>
        <w:pStyle w:val="BodyText"/>
      </w:pPr>
      <w:r>
        <w:t xml:space="preserve">The point accuracy of the estimator carries across roles. The mean signed error of BAF̂ never exceeded 0.069 in absolute value in any role, and the root mean squared error stayed between 0.089 and 0.155. That is the consequence of a definition that depends on the absolute magnitudes of the bias and of the calibrated effect rather than on their signs.</w:t>
      </w:r>
    </w:p>
    <w:p>
      <w:pPr>
        <w:pStyle w:val="BodyText"/>
      </w:pPr>
      <w:r>
        <w:t xml:space="preserve">Coverage of the credible interval does not carry across roles. It was 71.1% where the bias inflates the apparent effect, 46.9% where it shrinks the effect toward the null, 18.4% where the two cancel, and 36.1% where the bias reverses the sign of the effect, against a nominal 95% in every role. The difference is not a consequence of where the true value falls on the 0 to 1 scale. Restricting attention to cells whose true BAF lies between 0.35 and 0.45 with K = 50 and σψ = 0.06, coverage was 63.5% under inflation and 24.5% under shrinkage. What moves is the width of the reported interval rather than the error of the estimate: in that matched set the mean of the per-condition median half-widths was 1.02 times the mean root mean squared error under inflation and 0.27 times under shrinkage. The reason is arithmetic. A draw of the bias center that is larger in absolute value makes the calibrated effect smaller whenever the two have the same sign, so the numerator and the denominator of the ratio |μ̂B| / |ψ̃| move in opposite directions and the ratio disperses; when the signs are opposed they move together and the ratio is stable. Bias that opposes the effect therefore returns a narrower interval, and an estimate that looks more precise, than the error of that estimate supports.</w:t>
      </w:r>
    </w:p>
    <w:p>
      <w:pPr>
        <w:pStyle w:val="BodyText"/>
      </w:pPr>
      <w:r>
        <w:t xml:space="preserve">The reporting rule R3 reads the upper end of that interval and inherits the shortfall. It endorsed an estimate in 29.8% of repetitions where the bias inflates the effect, 79.9% where it shrinks the effect, 30.3% where the two cancel, and 9.5% where the bias reverses the sign. Zone agreement moves in the opposite direction and is highest in the reversal role, at 84.3%, so the three-zone classification identifies bias dominance even in the role where R3 almost never endorses an estimate; the quantity that governs the safety of the rule is the interval, not the zone. Where the central estimate lies below 0.5, a narrower interval satisfies the condition that the whole interval lie below 0.5 more often, which is one reason the yield of R3 is highest in the shrinkage role and lowest in the reversal role, where the central estimate lies above 0.5 and a narrower interval moves that condition further out of reach. The misuse rate is informative only in the inflation role, where cells of both kinds are present, and there 7.4% of the estimates R3 endorsed were in fact bias-dominated. No cell in the shrinkage or cancellation roles has a true BAF above the 0.5 boundary and every cell in the reversal role does, so in those three roles the misuse rate is fixed by construction rather than estimated. In the reversal role that leaves the 9.5% of repetitions in which R3 endorsed an estimate as false endorsements, every one of them.</w:t>
      </w:r>
    </w:p>
    <w:p>
      <w:pPr>
        <w:pStyle w:val="BodyText"/>
      </w:pPr>
      <w:r>
        <w:t xml:space="preserve">Cancellation is a limiting case rather than a typical one. It arises only when the bias and the true effect are equal in absolute value, which sets the true BAF to exactly 0.5 by identity, and it accounts for 36 of the 1,920 conditions. Because the true value then falls on the boundary that separates the zones, coverage of the interval and agreement of the zone coincide exactly at 18.4% in that role, so neither figure should be read as a typical-case rate.</w:t>
      </w:r>
    </w:p>
    <w:bookmarkEnd w:id="12"/>
    <w:bookmarkStart w:id="13" w:name="held-out-validation-of-the-lookup-table"/>
    <w:p>
      <w:pPr>
        <w:pStyle w:val="Heading3"/>
      </w:pPr>
      <w:r>
        <w:t xml:space="preserve">Held-out validation of the lookup table</w:t>
      </w:r>
    </w:p>
    <w:p>
      <w:pPr>
        <w:pStyle w:val="FirstParagraph"/>
      </w:pPr>
      <w:r>
        <w:t xml:space="preserve">The lookup is built from all 1,920,000 repetitions of the pooled design and then used to score the reporting rules on the same repetitions, so its reported operating characteristics are in-sample. We bounded the resulting optimism by rebuilding the entire lookup, including the bin edges, the median half-width that separates narrow from wide intervals, and the per-bin probabilities, on training data alone, and then applying it unchanged to held-out data. Two schemes were used, each repeated across five folds. In the first, 20% of repetitions were held out within every condition, so that both training and test data span the whole factorial grid; the misuse rate of every rule was then unchanged to two decimal places, which supports the argument that the in-sample optimism is negligible when only repetitions are swapped. In the second, 20% of the 1920 conditions were held out entirely, which additionally tests grid cells that never contributed to the lookup; the share declared usable was essentially unchanged, and the misuse rate of the strictest rule (R4) rose from 2.7% to 2.8%, the largest excursion across the five folds being 4.0% and the largest increase for any rule 0.12 percentage points (eTable 8). Generalisation to unseen cells therefore costs little, but it is not free, and the ordering of the rules is preserved.</w:t>
      </w:r>
    </w:p>
    <w:bookmarkEnd w:id="13"/>
    <w:bookmarkStart w:id="14" w:name="X04759c458d3af05248f6506fc70a732ec83a461"/>
    <w:p>
      <w:pPr>
        <w:pStyle w:val="Heading3"/>
      </w:pPr>
      <w:r>
        <w:t xml:space="preserve">Joint propagation of empirical-null and target-estimate uncertainty</w:t>
      </w:r>
    </w:p>
    <w:p>
      <w:pPr>
        <w:pStyle w:val="FirstParagraph"/>
      </w:pPr>
      <w:r>
        <w:t xml:space="preserve">The reported credible interval propagates draws of the empirical-null mean while holding the observed target estimate fixed, so it omits the sampling variability of that estimate and undercovers. To quantify what this omission costs, we recomputed the interval with the omitted term added, drawing the calibrated target estimate from a normal distribution centred on its observed value with its own standard error. Both intervals were computed within the same repetitions, so the comparison is paired. Across the settings examined, coverage rose from 78.8% to 97.7%, the median half-width widened from 0.132 to 0.222, and the yield of the strictest interval rule fell from 24.3% to 13.2% of repetitions, with 11.2% of repetitions changing that rule’s decision (eTable 9). The undercoverage reported in the main text is therefore attributable specifically to the omitted term. The direction in which that omission propagates to the reporting rules is easy to misstate. R3 declares an estimate usable only when the whole interval lies below 0.5, a condition that a narrower interval satisfies more often, so the reported interval inflates the yield of the rule rather than deflating it; and because the repetitions that cease to qualify once coverage is restored are those with the least evidence against bias dominance, it inflates the misuse rate as well. Restoring nominal coverage accordingly lowered both, the yield from 24.3% to 13.2% and the misuse rate from 5.1% to 0.6%. The yield and the misuse rate reported for R3 in the main text are therefore upper bounds on the values that would obtain at nominal coverage.</w:t>
      </w:r>
    </w:p>
    <w:bookmarkEnd w:id="14"/>
    <w:bookmarkStart w:id="15" w:name="Xf66b460f92e87654cefcb46208e6de891aa7e27"/>
    <w:p>
      <w:pPr>
        <w:pStyle w:val="Heading3"/>
      </w:pPr>
      <w:r>
        <w:t xml:space="preserve">Missing-data handling for the guideline-directed medical therapy exposure</w:t>
      </w:r>
    </w:p>
    <w:p>
      <w:pPr>
        <w:pStyle w:val="FirstParagraph"/>
      </w:pPr>
      <w:r>
        <w:t xml:space="preserve">Of the 14,677 patients in the question-2 cohort, 3,494 (23.8%) had an indeterminate guideline-directed medical therapy score at baseline. The primary analysis classified them as not optimized, which is a design decision rather than a data fact. We therefore repeated the question-2 estimation under four conventions: indeterminate as suboptimal (the published analysis), complete case, indeterminate as optimized, and multiple imputation, in which the exposure was drawn from a logistic model of exposure on the ten baseline covariates and combined across ten imputations by Rubin’s rules. The target estimate moved substantially across conventions (uncalibrated relative risk 0.68 to 0.91), but the calibrated P value never fell below .05 and no convention produced a usable determination; the bias fraction rose from 0.460 under the published convention to between 0.463 and 0.676 under the others, and 2 of the 3 alternative conventions moved the determination to not usable as effect evidence rather than the competitive determination returned by the published convention (eTable 10). The published convention is thus the most favourable of the four, so the qualitative conclusion is not an artefact of it. The negative-control panel is fitted on the guideline-restricted cohort, so it shares the exposure contrast of the target estimates; refitting it changed the empirical null (SD 0.068 under the earlier all-agent panel versus 0.113 here) and moved the question-2 calibrated P value from 0.045 to 0.103, so the layer-1 pass that question 2 would have obtained under the earlier panel was not robust to that realignment; neither question passes layer 1 with the realigned panel, while both determinations are unchanged.</w:t>
      </w:r>
    </w:p>
    <w:bookmarkEnd w:id="15"/>
    <w:bookmarkStart w:id="16" w:name="X6db88556bbc28a0753c6b09e66367f6e1c98d27"/>
    <w:p>
      <w:pPr>
        <w:pStyle w:val="Heading3"/>
      </w:pPr>
      <w:r>
        <w:t xml:space="preserve">Heart failure cohort and the ejection-fraction proxy</w:t>
      </w:r>
    </w:p>
    <w:p>
      <w:pPr>
        <w:pStyle w:val="FirstParagraph"/>
      </w:pPr>
      <w:r>
        <w:t xml:space="preserve">Eligibility was anchored on a heart-failure discharge diagnosis rather than on measured left ventricular function. Heart failure was defined as any ICD-10-CM diagnosis code beginning with I50 or any of the ICD-9-CM codes 428.0, 428.1, 428.20 through 428.23, 428.30 through 428.33, 428.40 through 428.43, and 428.9. Because neither MIMIC-IV nor MIMIC-IV-ECG records left ventricular ejection fraction, no ejection-fraction threshold could be applied, and the cohort mixes reduced with preserved systolic function.</w:t>
      </w:r>
    </w:p>
    <w:p>
      <w:pPr>
        <w:pStyle w:val="BodyText"/>
      </w:pPr>
      <w:r>
        <w:t xml:space="preserve">To test whether that heterogeneity drives the case-study result, we applied a prespecified proxy. Probable heart failure with reduced ejection fraction was defined as a systolic heart failure code (ICD-10-CM I50.2x) or an electrocardiographic pattern of QRS duration of at least 120 ms together with left bundle-branch block, a pattern that would satisfy a criterion for cardiac resynchronization therapy and is therefore typical of reduced ejection fraction. Probable heart failure with preserved ejection fraction was defined as a diastolic code (I50.3x) without a systolic code and without that pattern. The two categories are mutually exclusive and together cover only part of the cohort: of 15,053 hospitalizations, 3,367 (22.4%) were classified as probable reduced and 2,535 (16.8%) as probable preserved, leaving 60.8% that met neither definition.</w:t>
      </w:r>
    </w:p>
    <w:p>
      <w:pPr>
        <w:pStyle w:val="BodyText"/>
      </w:pPr>
      <w:r>
        <w:t xml:space="preserve">Question 1 was then re-estimated within each proxy subgroup under otherwise identical settings. The uncalibrated relative risk was 0.813 in probable reduced ejection fraction versus 0.831 in the full cohort; the bias fraction and its credible interval were 0.841 (0.342 to 0.993) against 0.875 (0.385 to 0.992), and the calibrated P value was 0.807 against 0.894. In probable preserved ejection fraction the corresponding values were 0.896, 0.720 (0.629 to 0.973), and 0.774. No subgroup passed layer 1, and all three remained bias-dominated, so the case-study conclusion does not depend on how the ejection fraction is distributed within the cohort. eTable 12 gives the full comparison.</w:t>
      </w:r>
    </w:p>
    <w:bookmarkEnd w:id="16"/>
    <w:bookmarkStart w:id="17" w:name="X73283ffd010a620f493fe2ac9951034943d0f8d"/>
    <w:p>
      <w:pPr>
        <w:pStyle w:val="Heading3"/>
      </w:pPr>
      <w:r>
        <w:t xml:space="preserve">Beta-blocker exposure and guideline target dose</w:t>
      </w:r>
    </w:p>
    <w:p>
      <w:pPr>
        <w:pStyle w:val="FirstParagraph"/>
      </w:pPr>
      <w:r>
        <w:t xml:space="preserve">For question 1 the exposure was receipt, during the 7 days after the first electrocardiogram, of a beta-blocker with Class I evidence in heart failure at or above 50% of its guideline target dose. Three agents qualified, with these target daily doses: carvedilol 50 mg, metoprolol succinate 200 mg, and bisoprolol 10 mg. Beta-blockers without Class I evidence in this population, namely metoprolol tartrate, atenolol, nebivolol, propranolol, and sotalol, did not count toward exposure, so a patient receiving only one of them is classified as unexposed.</w:t>
      </w:r>
    </w:p>
    <w:p>
      <w:pPr>
        <w:pStyle w:val="BodyText"/>
      </w:pPr>
      <w:r>
        <w:t xml:space="preserve">The daily dose was reconstructed from the hospital prescription record rather than taken from a study-specific instrument. The recorded dose value was multiplied by the recorded number of doses per 24 hours, with a missing or non-positive value of the latter set to once daily; the product was expressed as a percentage of the drug’s target dose, computed separately for each agent; and percentages above 200% were set missing, because a value that extreme reflects a recording unit rather than a plausible dose. Dose was then summarised per patient as the maximum percentage across qualifying prescriptions whose start date fell in the window. A patient was coded as at or above the target dose (level 2) when that maximum reached 50%, as partially exposed (level 1) when a qualifying beta-blocker was recorded below 50%, and as unexposed (level 0) when no qualifying prescription was found. In the analytic cohort the distribution was 10,621 (72.4%) unexposed, 2,284 (15.6%) partially exposed, and 1,772 (12.1%) at or above the target dose; question 1 compares the last group with the two others combined.</w:t>
      </w:r>
    </w:p>
    <w:p>
      <w:pPr>
        <w:pStyle w:val="BodyText"/>
      </w:pPr>
      <w:r>
        <w:t xml:space="preserve">Question 2 used the same dose reconstruction within each of three foundational drug classes rather than for a single agent. The classes were renin-angiotensin system inhibitors (angiotensin-converting enzyme inhibitors, angiotensin receptor blockers, and the angiotensin receptor-neprilysin inhibitor), mineralocorticoid receptor antagonists, and beta-blockers. A class counted toward the score when at least one agent within it reached 50% of its target dose, and the score was the number of classes that counted, so that the exposed group for question 2 was a score of at least 2 of 3. Target daily doses were as given above for beta-blockers and, for the other two classes, were lisinopril 35, enalapril 20, ramipril 10, captopril 150, quinapril 40, trandolapril 4, fosinopril 40, benazepril 40, perindopril 8, moexipril 30, valsartan 320, losartan 150, candesartan 32, irbesartan 300, olmesartan 40, telmisartan 80, and sacubitril with valsartan 400 mg/day for renin-angiotensin system inhibitors, and spironolactone 50 and eplerenone 50 mg/day for mineralocorticoid receptor antagonists.</w:t>
      </w:r>
    </w:p>
    <w:bookmarkEnd w:id="17"/>
    <w:bookmarkStart w:id="18" w:name="negative-control-selection"/>
    <w:p>
      <w:pPr>
        <w:pStyle w:val="Heading3"/>
      </w:pPr>
      <w:r>
        <w:t xml:space="preserve">Negative control selection</w:t>
      </w:r>
    </w:p>
    <w:p>
      <w:pPr>
        <w:pStyle w:val="FirstParagraph"/>
      </w:pPr>
      <w:r>
        <w:t xml:space="preserve">The negative control panel was assembled before any case-study estimate was produced, and no control was added or removed afterwards. A candidate was an outcome with no plausible causal pathway from either treatment strategy and therefore expected to show a null association with it. Screening proceeded in four levels, summarised in eTable 11.</w:t>
      </w:r>
    </w:p>
    <w:p>
      <w:pPr>
        <w:pStyle w:val="BodyText"/>
      </w:pPr>
      <w:r>
        <w:t xml:space="preserve">The candidate list contained 20 outcomes chosen for biological plausibility of a null association and for coverage of distinct clinical domains, spanning infection, gastrointestinal, trauma, ophthalmology, rheumatology, urology, oncology, dental, and vascular disease.</w:t>
      </w:r>
    </w:p>
    <w:p>
      <w:pPr>
        <w:pStyle w:val="BodyText"/>
      </w:pPr>
      <w:r>
        <w:t xml:space="preserve">Four candidates were removed on code feasibility. Fracture, burn, and poisoning are recorded with external-cause codes, and inguinal hernia is recorded surgically; neither family is captured in the MIMIC-IV diagnoses table, and each had no records there. That left 16 candidates with usable code definitions.</w:t>
      </w:r>
    </w:p>
    <w:p>
      <w:pPr>
        <w:pStyle w:val="BodyText"/>
      </w:pPr>
      <w:r>
        <w:t xml:space="preserve">The remaining candidates had to reach at least 50 hospitalizations in the heart-failure cohort, counted as distinct patients carrying the code in the index hospitalization or in any later hospitalization. 2 candidates failed this level, Conjunctivitis and Non-Melanoma Skin Cancer, with 44 and 38 qualifying patients respectively, leaving 14.</w:t>
      </w:r>
    </w:p>
    <w:p>
      <w:pPr>
        <w:pStyle w:val="BodyText"/>
      </w:pPr>
      <w:r>
        <w:t xml:space="preserve">Finally the event count had to reach 50 inside the analysis window itself, which excludes patients who died during the 7-day grace period and counts only events occurring after it. 2 further candidates failed here, Dental Caries and Varicose Veins, with 45 and 36 events in that window, leaving the 12 controls of the reported panel.</w:t>
      </w:r>
    </w:p>
    <w:p>
      <w:pPr>
        <w:pStyle w:val="BodyText"/>
      </w:pPr>
      <w:r>
        <w:t xml:space="preserve">Both quantitative thresholds were fixed before the panel was screened and were applied mechanically, so the panel size was determined by the data source rather than by the results. No candidate was removed on the basis of the strength or the direction of its estimated association, and the panel is not the subset of candidates that happened to appear null: 2 of the 12 retained controls in fact have uncalibrated relative risks above 1.</w:t>
      </w:r>
    </w:p>
    <w:bookmarkEnd w:id="18"/>
    <w:bookmarkEnd w:id="19"/>
    <w:bookmarkStart w:id="20" w:name="etable-1.-full-12-bucket-lookup-table"/>
    <w:p>
      <w:pPr>
        <w:pStyle w:val="Heading2"/>
      </w:pPr>
      <w:r>
        <w:rPr>
          <w:rFonts w:ascii="Arial" w:hAnsi="Arial" w:eastAsia="Arial" w:cs="Arial"/>
          <w:b/>
          <w:sz w:val="24"/>
        </w:rPr>
        <w:t xml:space="preserve">eTable 1. Full 12-bucket lookup table</w:t>
      </w:r>
    </w:p>
    <w:p>
      <w:pPr>
        <w:pStyle w:val="TableCaption"/>
      </w:pPr>
      <w:r>
        <w:t xml:space="preserve">eTable 1. Twelve-bucket lookup mapping BAFhat x interval width to probability of being bias-dominated.</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Caption w:val="eTable 1. Twelve-bucket lookup mapping BAFhat x interval width to probability of being bias-dominated."/>
      </w:tblPr>
      <w:tblGrid>
        <w:gridCol w:w="613"/>
        <w:gridCol w:w="1687"/>
        <w:gridCol w:w="1380"/>
        <w:gridCol w:w="1073"/>
        <w:gridCol w:w="1687"/>
        <w:gridCol w:w="1380"/>
        <w:gridCol w:w="1533"/>
        <w:gridCol w:w="4601"/>
      </w:tblGrid>
      <w:tr>
        <w:trPr>
          <w:tblHeader w:val="on"/>
        </w:trPr>
        <w:tc>
          <w:tcPr>
            <w:tcW w:type="dxa" w:w="613"/>
          </w:tcPr>
          <w:p>
            <w:pPr>
              <w:pStyle w:val="Compact"/>
              <w:spacing w:line="240" w:lineRule="auto" w:before="20" w:after="20"/>
              <w:jc w:val="right"/>
            </w:pPr>
            <w:r>
              <w:rPr>
                <w:rFonts w:ascii="Arial" w:hAnsi="Arial"/>
                <w:sz w:val="20"/>
              </w:rPr>
              <w:t xml:space="preserve">Bin</w:t>
            </w:r>
          </w:p>
        </w:tc>
        <w:tc>
          <w:tcPr>
            <w:tcW w:type="dxa" w:w="1687"/>
          </w:tcPr>
          <w:p>
            <w:pPr>
              <w:pStyle w:val="Compact"/>
              <w:spacing w:line="240" w:lineRule="auto" w:before="20" w:after="20"/>
              <w:jc w:val="right"/>
            </w:pPr>
            <w:r>
              <w:rPr>
                <w:rFonts w:ascii="Arial" w:hAnsi="Arial"/>
                <w:sz w:val="20"/>
              </w:rPr>
              <w:t xml:space="preserve">BAF.centre</w:t>
            </w:r>
          </w:p>
        </w:tc>
        <w:tc>
          <w:tcPr>
            <w:tcW w:type="dxa" w:w="1380"/>
          </w:tcPr>
          <w:p>
            <w:pPr>
              <w:pStyle w:val="Compact"/>
              <w:spacing w:line="240" w:lineRule="auto" w:before="20" w:after="20"/>
              <w:jc w:val="right"/>
            </w:pPr>
            <w:r>
              <w:rPr>
                <w:rFonts w:ascii="Arial" w:hAnsi="Arial"/>
                <w:sz w:val="20"/>
              </w:rPr>
              <w:t xml:space="preserve">n.narrow</w:t>
            </w:r>
          </w:p>
        </w:tc>
        <w:tc>
          <w:tcPr>
            <w:tcW w:type="dxa" w:w="1073"/>
          </w:tcPr>
          <w:p>
            <w:pPr>
              <w:pStyle w:val="Compact"/>
              <w:spacing w:line="240" w:lineRule="auto" w:before="20" w:after="20"/>
              <w:jc w:val="right"/>
            </w:pPr>
            <w:r>
              <w:rPr>
                <w:rFonts w:ascii="Arial" w:hAnsi="Arial"/>
                <w:sz w:val="20"/>
              </w:rPr>
              <w:t xml:space="preserve">n.wide</w:t>
            </w:r>
          </w:p>
        </w:tc>
        <w:tc>
          <w:tcPr>
            <w:tcW w:type="dxa" w:w="1687"/>
          </w:tcPr>
          <w:p>
            <w:pPr>
              <w:pStyle w:val="Compact"/>
              <w:spacing w:line="240" w:lineRule="auto" w:before="20" w:after="20"/>
              <w:jc w:val="left"/>
            </w:pPr>
            <w:r>
              <w:rPr>
                <w:rFonts w:ascii="Arial" w:hAnsi="Arial"/>
                <w:sz w:val="20"/>
              </w:rPr>
              <w:t xml:space="preserve">pBD.narrow</w:t>
            </w:r>
          </w:p>
        </w:tc>
        <w:tc>
          <w:tcPr>
            <w:tcW w:type="dxa" w:w="1380"/>
          </w:tcPr>
          <w:p>
            <w:pPr>
              <w:pStyle w:val="Compact"/>
              <w:spacing w:line="240" w:lineRule="auto" w:before="20" w:after="20"/>
              <w:jc w:val="left"/>
            </w:pPr>
            <w:r>
              <w:rPr>
                <w:rFonts w:ascii="Arial" w:hAnsi="Arial"/>
                <w:sz w:val="20"/>
              </w:rPr>
              <w:t xml:space="preserve">pBD.wide</w:t>
            </w:r>
          </w:p>
        </w:tc>
        <w:tc>
          <w:tcPr>
            <w:tcW w:type="dxa" w:w="1533"/>
          </w:tcPr>
          <w:p>
            <w:pPr>
              <w:pStyle w:val="Compact"/>
              <w:spacing w:line="240" w:lineRule="auto" w:before="20" w:after="20"/>
              <w:jc w:val="left"/>
            </w:pPr>
            <w:r>
              <w:rPr>
                <w:rFonts w:ascii="Arial" w:hAnsi="Arial"/>
                <w:sz w:val="20"/>
              </w:rPr>
              <w:t xml:space="preserve">pBD.cons.</w:t>
            </w:r>
          </w:p>
        </w:tc>
        <w:tc>
          <w:tcPr>
            <w:tcW w:type="dxa" w:w="4601"/>
          </w:tcPr>
          <w:p>
            <w:pPr>
              <w:pStyle w:val="Compact"/>
              <w:spacing w:line="240" w:lineRule="auto" w:before="20" w:after="20"/>
              <w:jc w:val="left"/>
            </w:pPr>
            <w:r>
              <w:rPr>
                <w:rFonts w:ascii="Arial" w:hAnsi="Arial"/>
                <w:sz w:val="20"/>
              </w:rPr>
              <w:t xml:space="preserve">Verdict</w:t>
            </w:r>
          </w:p>
        </w:tc>
      </w:tr>
      <w:tr>
        <w:tc>
          <w:tcPr>
            <w:tcW w:type="dxa" w:w="613"/>
          </w:tcPr>
          <w:p>
            <w:pPr>
              <w:pStyle w:val="Compact"/>
              <w:spacing w:line="240" w:lineRule="auto" w:before="20" w:after="20"/>
              <w:jc w:val="right"/>
            </w:pPr>
            <w:r>
              <w:rPr>
                <w:rFonts w:ascii="Arial" w:hAnsi="Arial"/>
                <w:sz w:val="20"/>
              </w:rPr>
              <w:t xml:space="preserve">1</w:t>
            </w:r>
          </w:p>
        </w:tc>
        <w:tc>
          <w:tcPr>
            <w:tcW w:type="dxa" w:w="1687"/>
          </w:tcPr>
          <w:p>
            <w:pPr>
              <w:pStyle w:val="Compact"/>
              <w:spacing w:line="240" w:lineRule="auto" w:before="20" w:after="20"/>
              <w:jc w:val="right"/>
            </w:pPr>
            <w:r>
              <w:rPr>
                <w:rFonts w:ascii="Arial" w:hAnsi="Arial"/>
                <w:sz w:val="20"/>
              </w:rPr>
              <w:t xml:space="preserve">0.125</w:t>
            </w:r>
          </w:p>
        </w:tc>
        <w:tc>
          <w:tcPr>
            <w:tcW w:type="dxa" w:w="1380"/>
          </w:tcPr>
          <w:p>
            <w:pPr>
              <w:pStyle w:val="Compact"/>
              <w:spacing w:line="240" w:lineRule="auto" w:before="20" w:after="20"/>
              <w:jc w:val="right"/>
            </w:pPr>
            <w:r>
              <w:rPr>
                <w:rFonts w:ascii="Arial" w:hAnsi="Arial"/>
                <w:sz w:val="20"/>
              </w:rPr>
              <w:t xml:space="preserve">46397</w:t>
            </w:r>
          </w:p>
        </w:tc>
        <w:tc>
          <w:tcPr>
            <w:tcW w:type="dxa" w:w="1073"/>
          </w:tcPr>
          <w:p>
            <w:pPr>
              <w:pStyle w:val="Compact"/>
              <w:spacing w:line="240" w:lineRule="auto" w:before="20" w:after="20"/>
              <w:jc w:val="right"/>
            </w:pPr>
            <w:r>
              <w:rPr>
                <w:rFonts w:ascii="Arial" w:hAnsi="Arial"/>
                <w:sz w:val="20"/>
              </w:rPr>
              <w:t xml:space="preserve">113603</w:t>
            </w:r>
          </w:p>
        </w:tc>
        <w:tc>
          <w:tcPr>
            <w:tcW w:type="dxa" w:w="1687"/>
          </w:tcPr>
          <w:p>
            <w:pPr>
              <w:pStyle w:val="Compact"/>
              <w:spacing w:line="240" w:lineRule="auto" w:before="20" w:after="20"/>
              <w:jc w:val="left"/>
            </w:pPr>
            <w:r>
              <w:rPr>
                <w:rFonts w:ascii="Arial" w:hAnsi="Arial"/>
                <w:sz w:val="20"/>
              </w:rPr>
              <w:t xml:space="preserve">0.15%</w:t>
            </w:r>
          </w:p>
        </w:tc>
        <w:tc>
          <w:tcPr>
            <w:tcW w:type="dxa" w:w="1380"/>
          </w:tcPr>
          <w:p>
            <w:pPr>
              <w:pStyle w:val="Compact"/>
              <w:spacing w:line="240" w:lineRule="auto" w:before="20" w:after="20"/>
              <w:jc w:val="left"/>
            </w:pPr>
            <w:r>
              <w:rPr>
                <w:rFonts w:ascii="Arial" w:hAnsi="Arial"/>
                <w:sz w:val="20"/>
              </w:rPr>
              <w:t xml:space="preserve">2.80%</w:t>
            </w:r>
          </w:p>
        </w:tc>
        <w:tc>
          <w:tcPr>
            <w:tcW w:type="dxa" w:w="1533"/>
          </w:tcPr>
          <w:p>
            <w:pPr>
              <w:pStyle w:val="Compact"/>
              <w:spacing w:line="240" w:lineRule="auto" w:before="20" w:after="20"/>
              <w:jc w:val="left"/>
            </w:pPr>
            <w:r>
              <w:rPr>
                <w:rFonts w:ascii="Arial" w:hAnsi="Arial"/>
                <w:sz w:val="20"/>
              </w:rPr>
              <w:t xml:space="preserve">2.80%</w:t>
            </w:r>
          </w:p>
        </w:tc>
        <w:tc>
          <w:tcPr>
            <w:tcW w:type="dxa" w:w="4601"/>
          </w:tcPr>
          <w:p>
            <w:pPr>
              <w:pStyle w:val="Compact"/>
              <w:spacing w:line="240" w:lineRule="auto" w:before="20" w:after="20"/>
              <w:jc w:val="left"/>
            </w:pPr>
            <w:r>
              <w:rPr>
                <w:rFonts w:ascii="Arial" w:hAnsi="Arial"/>
                <w:sz w:val="20"/>
              </w:rPr>
              <w:t xml:space="preserve">usable as effect evidence</w:t>
            </w:r>
          </w:p>
        </w:tc>
      </w:tr>
      <w:tr>
        <w:tc>
          <w:tcPr>
            <w:tcW w:type="dxa" w:w="613"/>
          </w:tcPr>
          <w:p>
            <w:pPr>
              <w:pStyle w:val="Compact"/>
              <w:spacing w:line="240" w:lineRule="auto" w:before="20" w:after="20"/>
              <w:jc w:val="right"/>
            </w:pPr>
            <w:r>
              <w:rPr>
                <w:rFonts w:ascii="Arial" w:hAnsi="Arial"/>
                <w:sz w:val="20"/>
              </w:rPr>
              <w:t xml:space="preserve">2</w:t>
            </w:r>
          </w:p>
        </w:tc>
        <w:tc>
          <w:tcPr>
            <w:tcW w:type="dxa" w:w="1687"/>
          </w:tcPr>
          <w:p>
            <w:pPr>
              <w:pStyle w:val="Compact"/>
              <w:spacing w:line="240" w:lineRule="auto" w:before="20" w:after="20"/>
              <w:jc w:val="right"/>
            </w:pPr>
            <w:r>
              <w:rPr>
                <w:rFonts w:ascii="Arial" w:hAnsi="Arial"/>
                <w:sz w:val="20"/>
              </w:rPr>
              <w:t xml:space="preserve">0.233</w:t>
            </w:r>
          </w:p>
        </w:tc>
        <w:tc>
          <w:tcPr>
            <w:tcW w:type="dxa" w:w="1380"/>
          </w:tcPr>
          <w:p>
            <w:pPr>
              <w:pStyle w:val="Compact"/>
              <w:spacing w:line="240" w:lineRule="auto" w:before="20" w:after="20"/>
              <w:jc w:val="right"/>
            </w:pPr>
            <w:r>
              <w:rPr>
                <w:rFonts w:ascii="Arial" w:hAnsi="Arial"/>
                <w:sz w:val="20"/>
              </w:rPr>
              <w:t xml:space="preserve">57965</w:t>
            </w:r>
          </w:p>
        </w:tc>
        <w:tc>
          <w:tcPr>
            <w:tcW w:type="dxa" w:w="1073"/>
          </w:tcPr>
          <w:p>
            <w:pPr>
              <w:pStyle w:val="Compact"/>
              <w:spacing w:line="240" w:lineRule="auto" w:before="20" w:after="20"/>
              <w:jc w:val="right"/>
            </w:pPr>
            <w:r>
              <w:rPr>
                <w:rFonts w:ascii="Arial" w:hAnsi="Arial"/>
                <w:sz w:val="20"/>
              </w:rPr>
              <w:t xml:space="preserve">102035</w:t>
            </w:r>
          </w:p>
        </w:tc>
        <w:tc>
          <w:tcPr>
            <w:tcW w:type="dxa" w:w="1687"/>
          </w:tcPr>
          <w:p>
            <w:pPr>
              <w:pStyle w:val="Compact"/>
              <w:spacing w:line="240" w:lineRule="auto" w:before="20" w:after="20"/>
              <w:jc w:val="left"/>
            </w:pPr>
            <w:r>
              <w:rPr>
                <w:rFonts w:ascii="Arial" w:hAnsi="Arial"/>
                <w:sz w:val="20"/>
              </w:rPr>
              <w:t xml:space="preserve">0.58%</w:t>
            </w:r>
          </w:p>
        </w:tc>
        <w:tc>
          <w:tcPr>
            <w:tcW w:type="dxa" w:w="1380"/>
          </w:tcPr>
          <w:p>
            <w:pPr>
              <w:pStyle w:val="Compact"/>
              <w:spacing w:line="240" w:lineRule="auto" w:before="20" w:after="20"/>
              <w:jc w:val="left"/>
            </w:pPr>
            <w:r>
              <w:rPr>
                <w:rFonts w:ascii="Arial" w:hAnsi="Arial"/>
                <w:sz w:val="20"/>
              </w:rPr>
              <w:t xml:space="preserve">6.83%</w:t>
            </w:r>
          </w:p>
        </w:tc>
        <w:tc>
          <w:tcPr>
            <w:tcW w:type="dxa" w:w="1533"/>
          </w:tcPr>
          <w:p>
            <w:pPr>
              <w:pStyle w:val="Compact"/>
              <w:spacing w:line="240" w:lineRule="auto" w:before="20" w:after="20"/>
              <w:jc w:val="left"/>
            </w:pPr>
            <w:r>
              <w:rPr>
                <w:rFonts w:ascii="Arial" w:hAnsi="Arial"/>
                <w:sz w:val="20"/>
              </w:rPr>
              <w:t xml:space="preserve">6.83%</w:t>
            </w:r>
          </w:p>
        </w:tc>
        <w:tc>
          <w:tcPr>
            <w:tcW w:type="dxa" w:w="4601"/>
          </w:tcPr>
          <w:p>
            <w:pPr>
              <w:pStyle w:val="Compact"/>
              <w:spacing w:line="240" w:lineRule="auto" w:before="20" w:after="20"/>
              <w:jc w:val="left"/>
            </w:pPr>
            <w:r>
              <w:rPr>
                <w:rFonts w:ascii="Arial" w:hAnsi="Arial"/>
                <w:sz w:val="20"/>
              </w:rPr>
              <w:t xml:space="preserve">usable as effect evidence</w:t>
            </w:r>
          </w:p>
        </w:tc>
      </w:tr>
      <w:tr>
        <w:tc>
          <w:tcPr>
            <w:tcW w:type="dxa" w:w="613"/>
          </w:tcPr>
          <w:p>
            <w:pPr>
              <w:pStyle w:val="Compact"/>
              <w:spacing w:line="240" w:lineRule="auto" w:before="20" w:after="20"/>
              <w:jc w:val="right"/>
            </w:pPr>
            <w:r>
              <w:rPr>
                <w:rFonts w:ascii="Arial" w:hAnsi="Arial"/>
                <w:sz w:val="20"/>
              </w:rPr>
              <w:t xml:space="preserve">3</w:t>
            </w:r>
          </w:p>
        </w:tc>
        <w:tc>
          <w:tcPr>
            <w:tcW w:type="dxa" w:w="1687"/>
          </w:tcPr>
          <w:p>
            <w:pPr>
              <w:pStyle w:val="Compact"/>
              <w:spacing w:line="240" w:lineRule="auto" w:before="20" w:after="20"/>
              <w:jc w:val="right"/>
            </w:pPr>
            <w:r>
              <w:rPr>
                <w:rFonts w:ascii="Arial" w:hAnsi="Arial"/>
                <w:sz w:val="20"/>
              </w:rPr>
              <w:t xml:space="preserve">0.310</w:t>
            </w:r>
          </w:p>
        </w:tc>
        <w:tc>
          <w:tcPr>
            <w:tcW w:type="dxa" w:w="1380"/>
          </w:tcPr>
          <w:p>
            <w:pPr>
              <w:pStyle w:val="Compact"/>
              <w:spacing w:line="240" w:lineRule="auto" w:before="20" w:after="20"/>
              <w:jc w:val="right"/>
            </w:pPr>
            <w:r>
              <w:rPr>
                <w:rFonts w:ascii="Arial" w:hAnsi="Arial"/>
                <w:sz w:val="20"/>
              </w:rPr>
              <w:t xml:space="preserve">78923</w:t>
            </w:r>
          </w:p>
        </w:tc>
        <w:tc>
          <w:tcPr>
            <w:tcW w:type="dxa" w:w="1073"/>
          </w:tcPr>
          <w:p>
            <w:pPr>
              <w:pStyle w:val="Compact"/>
              <w:spacing w:line="240" w:lineRule="auto" w:before="20" w:after="20"/>
              <w:jc w:val="right"/>
            </w:pPr>
            <w:r>
              <w:rPr>
                <w:rFonts w:ascii="Arial" w:hAnsi="Arial"/>
                <w:sz w:val="20"/>
              </w:rPr>
              <w:t xml:space="preserve">81077</w:t>
            </w:r>
          </w:p>
        </w:tc>
        <w:tc>
          <w:tcPr>
            <w:tcW w:type="dxa" w:w="1687"/>
          </w:tcPr>
          <w:p>
            <w:pPr>
              <w:pStyle w:val="Compact"/>
              <w:spacing w:line="240" w:lineRule="auto" w:before="20" w:after="20"/>
              <w:jc w:val="left"/>
            </w:pPr>
            <w:r>
              <w:rPr>
                <w:rFonts w:ascii="Arial" w:hAnsi="Arial"/>
                <w:sz w:val="20"/>
              </w:rPr>
              <w:t xml:space="preserve">2.90%</w:t>
            </w:r>
          </w:p>
        </w:tc>
        <w:tc>
          <w:tcPr>
            <w:tcW w:type="dxa" w:w="1380"/>
          </w:tcPr>
          <w:p>
            <w:pPr>
              <w:pStyle w:val="Compact"/>
              <w:spacing w:line="240" w:lineRule="auto" w:before="20" w:after="20"/>
              <w:jc w:val="left"/>
            </w:pPr>
            <w:r>
              <w:rPr>
                <w:rFonts w:ascii="Arial" w:hAnsi="Arial"/>
                <w:sz w:val="20"/>
              </w:rPr>
              <w:t xml:space="preserve">14.56%</w:t>
            </w:r>
          </w:p>
        </w:tc>
        <w:tc>
          <w:tcPr>
            <w:tcW w:type="dxa" w:w="1533"/>
          </w:tcPr>
          <w:p>
            <w:pPr>
              <w:pStyle w:val="Compact"/>
              <w:spacing w:line="240" w:lineRule="auto" w:before="20" w:after="20"/>
              <w:jc w:val="left"/>
            </w:pPr>
            <w:r>
              <w:rPr>
                <w:rFonts w:ascii="Arial" w:hAnsi="Arial"/>
                <w:sz w:val="20"/>
              </w:rPr>
              <w:t xml:space="preserve">14.56%</w:t>
            </w:r>
          </w:p>
        </w:tc>
        <w:tc>
          <w:tcPr>
            <w:tcW w:type="dxa" w:w="4601"/>
          </w:tcPr>
          <w:p>
            <w:pPr>
              <w:pStyle w:val="Compact"/>
              <w:spacing w:line="240" w:lineRule="auto" w:before="20" w:after="20"/>
              <w:jc w:val="left"/>
            </w:pPr>
            <w:r>
              <w:rPr>
                <w:rFonts w:ascii="Arial" w:hAnsi="Arial"/>
                <w:sz w:val="20"/>
              </w:rPr>
              <w:t xml:space="preserve">usable as effect evidence</w:t>
            </w:r>
          </w:p>
        </w:tc>
      </w:tr>
      <w:tr>
        <w:tc>
          <w:tcPr>
            <w:tcW w:type="dxa" w:w="613"/>
          </w:tcPr>
          <w:p>
            <w:pPr>
              <w:pStyle w:val="Compact"/>
              <w:spacing w:line="240" w:lineRule="auto" w:before="20" w:after="20"/>
              <w:jc w:val="right"/>
            </w:pPr>
            <w:r>
              <w:rPr>
                <w:rFonts w:ascii="Arial" w:hAnsi="Arial"/>
                <w:sz w:val="20"/>
              </w:rPr>
              <w:t xml:space="preserve">4</w:t>
            </w:r>
          </w:p>
        </w:tc>
        <w:tc>
          <w:tcPr>
            <w:tcW w:type="dxa" w:w="1687"/>
          </w:tcPr>
          <w:p>
            <w:pPr>
              <w:pStyle w:val="Compact"/>
              <w:spacing w:line="240" w:lineRule="auto" w:before="20" w:after="20"/>
              <w:jc w:val="right"/>
            </w:pPr>
            <w:r>
              <w:rPr>
                <w:rFonts w:ascii="Arial" w:hAnsi="Arial"/>
                <w:sz w:val="20"/>
              </w:rPr>
              <w:t xml:space="preserve">0.372</w:t>
            </w:r>
          </w:p>
        </w:tc>
        <w:tc>
          <w:tcPr>
            <w:tcW w:type="dxa" w:w="1380"/>
          </w:tcPr>
          <w:p>
            <w:pPr>
              <w:pStyle w:val="Compact"/>
              <w:spacing w:line="240" w:lineRule="auto" w:before="20" w:after="20"/>
              <w:jc w:val="right"/>
            </w:pPr>
            <w:r>
              <w:rPr>
                <w:rFonts w:ascii="Arial" w:hAnsi="Arial"/>
                <w:sz w:val="20"/>
              </w:rPr>
              <w:t xml:space="preserve">94129</w:t>
            </w:r>
          </w:p>
        </w:tc>
        <w:tc>
          <w:tcPr>
            <w:tcW w:type="dxa" w:w="1073"/>
          </w:tcPr>
          <w:p>
            <w:pPr>
              <w:pStyle w:val="Compact"/>
              <w:spacing w:line="240" w:lineRule="auto" w:before="20" w:after="20"/>
              <w:jc w:val="right"/>
            </w:pPr>
            <w:r>
              <w:rPr>
                <w:rFonts w:ascii="Arial" w:hAnsi="Arial"/>
                <w:sz w:val="20"/>
              </w:rPr>
              <w:t xml:space="preserve">65871</w:t>
            </w:r>
          </w:p>
        </w:tc>
        <w:tc>
          <w:tcPr>
            <w:tcW w:type="dxa" w:w="1687"/>
          </w:tcPr>
          <w:p>
            <w:pPr>
              <w:pStyle w:val="Compact"/>
              <w:spacing w:line="240" w:lineRule="auto" w:before="20" w:after="20"/>
              <w:jc w:val="left"/>
            </w:pPr>
            <w:r>
              <w:rPr>
                <w:rFonts w:ascii="Arial" w:hAnsi="Arial"/>
                <w:sz w:val="20"/>
              </w:rPr>
              <w:t xml:space="preserve">9.01%</w:t>
            </w:r>
          </w:p>
        </w:tc>
        <w:tc>
          <w:tcPr>
            <w:tcW w:type="dxa" w:w="1380"/>
          </w:tcPr>
          <w:p>
            <w:pPr>
              <w:pStyle w:val="Compact"/>
              <w:spacing w:line="240" w:lineRule="auto" w:before="20" w:after="20"/>
              <w:jc w:val="left"/>
            </w:pPr>
            <w:r>
              <w:rPr>
                <w:rFonts w:ascii="Arial" w:hAnsi="Arial"/>
                <w:sz w:val="20"/>
              </w:rPr>
              <w:t xml:space="preserve">27.09%</w:t>
            </w:r>
          </w:p>
        </w:tc>
        <w:tc>
          <w:tcPr>
            <w:tcW w:type="dxa" w:w="1533"/>
          </w:tcPr>
          <w:p>
            <w:pPr>
              <w:pStyle w:val="Compact"/>
              <w:spacing w:line="240" w:lineRule="auto" w:before="20" w:after="20"/>
              <w:jc w:val="left"/>
            </w:pPr>
            <w:r>
              <w:rPr>
                <w:rFonts w:ascii="Arial" w:hAnsi="Arial"/>
                <w:sz w:val="20"/>
              </w:rPr>
              <w:t xml:space="preserve">27.09%</w:t>
            </w:r>
          </w:p>
        </w:tc>
        <w:tc>
          <w:tcPr>
            <w:tcW w:type="dxa" w:w="4601"/>
          </w:tcPr>
          <w:p>
            <w:pPr>
              <w:pStyle w:val="Compact"/>
              <w:spacing w:line="240" w:lineRule="auto" w:before="20" w:after="20"/>
              <w:jc w:val="left"/>
            </w:pPr>
            <w:r>
              <w:rPr>
                <w:rFonts w:ascii="Arial" w:hAnsi="Arial"/>
                <w:sz w:val="20"/>
              </w:rPr>
              <w:t xml:space="preserve">mixed, hypothesis-generating</w:t>
            </w:r>
          </w:p>
        </w:tc>
      </w:tr>
      <w:tr>
        <w:tc>
          <w:tcPr>
            <w:tcW w:type="dxa" w:w="613"/>
          </w:tcPr>
          <w:p>
            <w:pPr>
              <w:pStyle w:val="Compact"/>
              <w:spacing w:line="240" w:lineRule="auto" w:before="20" w:after="20"/>
              <w:jc w:val="right"/>
            </w:pPr>
            <w:r>
              <w:rPr>
                <w:rFonts w:ascii="Arial" w:hAnsi="Arial"/>
                <w:sz w:val="20"/>
              </w:rPr>
              <w:t xml:space="preserve">5</w:t>
            </w:r>
          </w:p>
        </w:tc>
        <w:tc>
          <w:tcPr>
            <w:tcW w:type="dxa" w:w="1687"/>
          </w:tcPr>
          <w:p>
            <w:pPr>
              <w:pStyle w:val="Compact"/>
              <w:spacing w:line="240" w:lineRule="auto" w:before="20" w:after="20"/>
              <w:jc w:val="right"/>
            </w:pPr>
            <w:r>
              <w:rPr>
                <w:rFonts w:ascii="Arial" w:hAnsi="Arial"/>
                <w:sz w:val="20"/>
              </w:rPr>
              <w:t xml:space="preserve">0.424</w:t>
            </w:r>
          </w:p>
        </w:tc>
        <w:tc>
          <w:tcPr>
            <w:tcW w:type="dxa" w:w="1380"/>
          </w:tcPr>
          <w:p>
            <w:pPr>
              <w:pStyle w:val="Compact"/>
              <w:spacing w:line="240" w:lineRule="auto" w:before="20" w:after="20"/>
              <w:jc w:val="right"/>
            </w:pPr>
            <w:r>
              <w:rPr>
                <w:rFonts w:ascii="Arial" w:hAnsi="Arial"/>
                <w:sz w:val="20"/>
              </w:rPr>
              <w:t xml:space="preserve">103329</w:t>
            </w:r>
          </w:p>
        </w:tc>
        <w:tc>
          <w:tcPr>
            <w:tcW w:type="dxa" w:w="1073"/>
          </w:tcPr>
          <w:p>
            <w:pPr>
              <w:pStyle w:val="Compact"/>
              <w:spacing w:line="240" w:lineRule="auto" w:before="20" w:after="20"/>
              <w:jc w:val="right"/>
            </w:pPr>
            <w:r>
              <w:rPr>
                <w:rFonts w:ascii="Arial" w:hAnsi="Arial"/>
                <w:sz w:val="20"/>
              </w:rPr>
              <w:t xml:space="preserve">56671</w:t>
            </w:r>
          </w:p>
        </w:tc>
        <w:tc>
          <w:tcPr>
            <w:tcW w:type="dxa" w:w="1687"/>
          </w:tcPr>
          <w:p>
            <w:pPr>
              <w:pStyle w:val="Compact"/>
              <w:spacing w:line="240" w:lineRule="auto" w:before="20" w:after="20"/>
              <w:jc w:val="left"/>
            </w:pPr>
            <w:r>
              <w:rPr>
                <w:rFonts w:ascii="Arial" w:hAnsi="Arial"/>
                <w:sz w:val="20"/>
              </w:rPr>
              <w:t xml:space="preserve">21.53%</w:t>
            </w:r>
          </w:p>
        </w:tc>
        <w:tc>
          <w:tcPr>
            <w:tcW w:type="dxa" w:w="1380"/>
          </w:tcPr>
          <w:p>
            <w:pPr>
              <w:pStyle w:val="Compact"/>
              <w:spacing w:line="240" w:lineRule="auto" w:before="20" w:after="20"/>
              <w:jc w:val="left"/>
            </w:pPr>
            <w:r>
              <w:rPr>
                <w:rFonts w:ascii="Arial" w:hAnsi="Arial"/>
                <w:sz w:val="20"/>
              </w:rPr>
              <w:t xml:space="preserve">42.15%</w:t>
            </w:r>
          </w:p>
        </w:tc>
        <w:tc>
          <w:tcPr>
            <w:tcW w:type="dxa" w:w="1533"/>
          </w:tcPr>
          <w:p>
            <w:pPr>
              <w:pStyle w:val="Compact"/>
              <w:spacing w:line="240" w:lineRule="auto" w:before="20" w:after="20"/>
              <w:jc w:val="left"/>
            </w:pPr>
            <w:r>
              <w:rPr>
                <w:rFonts w:ascii="Arial" w:hAnsi="Arial"/>
                <w:sz w:val="20"/>
              </w:rPr>
              <w:t xml:space="preserve">42.15%</w:t>
            </w:r>
          </w:p>
        </w:tc>
        <w:tc>
          <w:tcPr>
            <w:tcW w:type="dxa" w:w="4601"/>
          </w:tcPr>
          <w:p>
            <w:pPr>
              <w:pStyle w:val="Compact"/>
              <w:spacing w:line="240" w:lineRule="auto" w:before="20" w:after="20"/>
              <w:jc w:val="left"/>
            </w:pPr>
            <w:r>
              <w:rPr>
                <w:rFonts w:ascii="Arial" w:hAnsi="Arial"/>
                <w:sz w:val="20"/>
              </w:rPr>
              <w:t xml:space="preserve">mixed, hypothesis-generating</w:t>
            </w:r>
          </w:p>
        </w:tc>
      </w:tr>
      <w:tr>
        <w:tc>
          <w:tcPr>
            <w:tcW w:type="dxa" w:w="613"/>
          </w:tcPr>
          <w:p>
            <w:pPr>
              <w:pStyle w:val="Compact"/>
              <w:spacing w:line="240" w:lineRule="auto" w:before="20" w:after="20"/>
              <w:jc w:val="right"/>
            </w:pPr>
            <w:r>
              <w:rPr>
                <w:rFonts w:ascii="Arial" w:hAnsi="Arial"/>
                <w:sz w:val="20"/>
              </w:rPr>
              <w:t xml:space="preserve">6</w:t>
            </w:r>
          </w:p>
        </w:tc>
        <w:tc>
          <w:tcPr>
            <w:tcW w:type="dxa" w:w="1687"/>
          </w:tcPr>
          <w:p>
            <w:pPr>
              <w:pStyle w:val="Compact"/>
              <w:spacing w:line="240" w:lineRule="auto" w:before="20" w:after="20"/>
              <w:jc w:val="right"/>
            </w:pPr>
            <w:r>
              <w:rPr>
                <w:rFonts w:ascii="Arial" w:hAnsi="Arial"/>
                <w:sz w:val="20"/>
              </w:rPr>
              <w:t xml:space="preserve">0.471</w:t>
            </w:r>
          </w:p>
        </w:tc>
        <w:tc>
          <w:tcPr>
            <w:tcW w:type="dxa" w:w="1380"/>
          </w:tcPr>
          <w:p>
            <w:pPr>
              <w:pStyle w:val="Compact"/>
              <w:spacing w:line="240" w:lineRule="auto" w:before="20" w:after="20"/>
              <w:jc w:val="right"/>
            </w:pPr>
            <w:r>
              <w:rPr>
                <w:rFonts w:ascii="Arial" w:hAnsi="Arial"/>
                <w:sz w:val="20"/>
              </w:rPr>
              <w:t xml:space="preserve">108943</w:t>
            </w:r>
          </w:p>
        </w:tc>
        <w:tc>
          <w:tcPr>
            <w:tcW w:type="dxa" w:w="1073"/>
          </w:tcPr>
          <w:p>
            <w:pPr>
              <w:pStyle w:val="Compact"/>
              <w:spacing w:line="240" w:lineRule="auto" w:before="20" w:after="20"/>
              <w:jc w:val="right"/>
            </w:pPr>
            <w:r>
              <w:rPr>
                <w:rFonts w:ascii="Arial" w:hAnsi="Arial"/>
                <w:sz w:val="20"/>
              </w:rPr>
              <w:t xml:space="preserve">51057</w:t>
            </w:r>
          </w:p>
        </w:tc>
        <w:tc>
          <w:tcPr>
            <w:tcW w:type="dxa" w:w="1687"/>
          </w:tcPr>
          <w:p>
            <w:pPr>
              <w:pStyle w:val="Compact"/>
              <w:spacing w:line="240" w:lineRule="auto" w:before="20" w:after="20"/>
              <w:jc w:val="left"/>
            </w:pPr>
            <w:r>
              <w:rPr>
                <w:rFonts w:ascii="Arial" w:hAnsi="Arial"/>
                <w:sz w:val="20"/>
              </w:rPr>
              <w:t xml:space="preserve">39.50%</w:t>
            </w:r>
          </w:p>
        </w:tc>
        <w:tc>
          <w:tcPr>
            <w:tcW w:type="dxa" w:w="1380"/>
          </w:tcPr>
          <w:p>
            <w:pPr>
              <w:pStyle w:val="Compact"/>
              <w:spacing w:line="240" w:lineRule="auto" w:before="20" w:after="20"/>
              <w:jc w:val="left"/>
            </w:pPr>
            <w:r>
              <w:rPr>
                <w:rFonts w:ascii="Arial" w:hAnsi="Arial"/>
                <w:sz w:val="20"/>
              </w:rPr>
              <w:t xml:space="preserve">58.79%</w:t>
            </w:r>
          </w:p>
        </w:tc>
        <w:tc>
          <w:tcPr>
            <w:tcW w:type="dxa" w:w="1533"/>
          </w:tcPr>
          <w:p>
            <w:pPr>
              <w:pStyle w:val="Compact"/>
              <w:spacing w:line="240" w:lineRule="auto" w:before="20" w:after="20"/>
              <w:jc w:val="left"/>
            </w:pPr>
            <w:r>
              <w:rPr>
                <w:rFonts w:ascii="Arial" w:hAnsi="Arial"/>
                <w:sz w:val="20"/>
              </w:rPr>
              <w:t xml:space="preserve">58.79%</w:t>
            </w:r>
          </w:p>
        </w:tc>
        <w:tc>
          <w:tcPr>
            <w:tcW w:type="dxa" w:w="4601"/>
          </w:tcPr>
          <w:p>
            <w:pPr>
              <w:pStyle w:val="Compact"/>
              <w:spacing w:line="240" w:lineRule="auto" w:before="20" w:after="20"/>
              <w:jc w:val="left"/>
            </w:pPr>
            <w:r>
              <w:rPr>
                <w:rFonts w:ascii="Arial" w:hAnsi="Arial"/>
                <w:sz w:val="20"/>
              </w:rPr>
              <w:t xml:space="preserve">competitive, no verdict</w:t>
            </w:r>
          </w:p>
        </w:tc>
      </w:tr>
      <w:tr>
        <w:tc>
          <w:tcPr>
            <w:tcW w:type="dxa" w:w="613"/>
          </w:tcPr>
          <w:p>
            <w:pPr>
              <w:pStyle w:val="Compact"/>
              <w:spacing w:line="240" w:lineRule="auto" w:before="20" w:after="20"/>
              <w:jc w:val="right"/>
            </w:pPr>
            <w:r>
              <w:rPr>
                <w:rFonts w:ascii="Arial" w:hAnsi="Arial"/>
                <w:sz w:val="20"/>
              </w:rPr>
              <w:t xml:space="preserve">7</w:t>
            </w:r>
          </w:p>
        </w:tc>
        <w:tc>
          <w:tcPr>
            <w:tcW w:type="dxa" w:w="1687"/>
          </w:tcPr>
          <w:p>
            <w:pPr>
              <w:pStyle w:val="Compact"/>
              <w:spacing w:line="240" w:lineRule="auto" w:before="20" w:after="20"/>
              <w:jc w:val="right"/>
            </w:pPr>
            <w:r>
              <w:rPr>
                <w:rFonts w:ascii="Arial" w:hAnsi="Arial"/>
                <w:sz w:val="20"/>
              </w:rPr>
              <w:t xml:space="preserve">0.516</w:t>
            </w:r>
          </w:p>
        </w:tc>
        <w:tc>
          <w:tcPr>
            <w:tcW w:type="dxa" w:w="1380"/>
          </w:tcPr>
          <w:p>
            <w:pPr>
              <w:pStyle w:val="Compact"/>
              <w:spacing w:line="240" w:lineRule="auto" w:before="20" w:after="20"/>
              <w:jc w:val="right"/>
            </w:pPr>
            <w:r>
              <w:rPr>
                <w:rFonts w:ascii="Arial" w:hAnsi="Arial"/>
                <w:sz w:val="20"/>
              </w:rPr>
              <w:t xml:space="preserve">109592</w:t>
            </w:r>
          </w:p>
        </w:tc>
        <w:tc>
          <w:tcPr>
            <w:tcW w:type="dxa" w:w="1073"/>
          </w:tcPr>
          <w:p>
            <w:pPr>
              <w:pStyle w:val="Compact"/>
              <w:spacing w:line="240" w:lineRule="auto" w:before="20" w:after="20"/>
              <w:jc w:val="right"/>
            </w:pPr>
            <w:r>
              <w:rPr>
                <w:rFonts w:ascii="Arial" w:hAnsi="Arial"/>
                <w:sz w:val="20"/>
              </w:rPr>
              <w:t xml:space="preserve">50408</w:t>
            </w:r>
          </w:p>
        </w:tc>
        <w:tc>
          <w:tcPr>
            <w:tcW w:type="dxa" w:w="1687"/>
          </w:tcPr>
          <w:p>
            <w:pPr>
              <w:pStyle w:val="Compact"/>
              <w:spacing w:line="240" w:lineRule="auto" w:before="20" w:after="20"/>
              <w:jc w:val="left"/>
            </w:pPr>
            <w:r>
              <w:rPr>
                <w:rFonts w:ascii="Arial" w:hAnsi="Arial"/>
                <w:sz w:val="20"/>
              </w:rPr>
              <w:t xml:space="preserve">62.32%</w:t>
            </w:r>
          </w:p>
        </w:tc>
        <w:tc>
          <w:tcPr>
            <w:tcW w:type="dxa" w:w="1380"/>
          </w:tcPr>
          <w:p>
            <w:pPr>
              <w:pStyle w:val="Compact"/>
              <w:spacing w:line="240" w:lineRule="auto" w:before="20" w:after="20"/>
              <w:jc w:val="left"/>
            </w:pPr>
            <w:r>
              <w:rPr>
                <w:rFonts w:ascii="Arial" w:hAnsi="Arial"/>
                <w:sz w:val="20"/>
              </w:rPr>
              <w:t xml:space="preserve">72.29%</w:t>
            </w:r>
          </w:p>
        </w:tc>
        <w:tc>
          <w:tcPr>
            <w:tcW w:type="dxa" w:w="1533"/>
          </w:tcPr>
          <w:p>
            <w:pPr>
              <w:pStyle w:val="Compact"/>
              <w:spacing w:line="240" w:lineRule="auto" w:before="20" w:after="20"/>
              <w:jc w:val="left"/>
            </w:pPr>
            <w:r>
              <w:rPr>
                <w:rFonts w:ascii="Arial" w:hAnsi="Arial"/>
                <w:sz w:val="20"/>
              </w:rPr>
              <w:t xml:space="preserve">72.29%</w:t>
            </w:r>
          </w:p>
        </w:tc>
        <w:tc>
          <w:tcPr>
            <w:tcW w:type="dxa" w:w="4601"/>
          </w:tcPr>
          <w:p>
            <w:pPr>
              <w:pStyle w:val="Compact"/>
              <w:spacing w:line="240" w:lineRule="auto" w:before="20" w:after="20"/>
              <w:jc w:val="left"/>
            </w:pPr>
            <w:r>
              <w:rPr>
                <w:rFonts w:ascii="Arial" w:hAnsi="Arial"/>
                <w:sz w:val="20"/>
              </w:rPr>
              <w:t xml:space="preserve">not usable as effect evidence</w:t>
            </w:r>
          </w:p>
        </w:tc>
      </w:tr>
      <w:tr>
        <w:tc>
          <w:tcPr>
            <w:tcW w:type="dxa" w:w="613"/>
          </w:tcPr>
          <w:p>
            <w:pPr>
              <w:pStyle w:val="Compact"/>
              <w:spacing w:line="240" w:lineRule="auto" w:before="20" w:after="20"/>
              <w:jc w:val="right"/>
            </w:pPr>
            <w:r>
              <w:rPr>
                <w:rFonts w:ascii="Arial" w:hAnsi="Arial"/>
                <w:sz w:val="20"/>
              </w:rPr>
              <w:t xml:space="preserve">8</w:t>
            </w:r>
          </w:p>
        </w:tc>
        <w:tc>
          <w:tcPr>
            <w:tcW w:type="dxa" w:w="1687"/>
          </w:tcPr>
          <w:p>
            <w:pPr>
              <w:pStyle w:val="Compact"/>
              <w:spacing w:line="240" w:lineRule="auto" w:before="20" w:after="20"/>
              <w:jc w:val="right"/>
            </w:pPr>
            <w:r>
              <w:rPr>
                <w:rFonts w:ascii="Arial" w:hAnsi="Arial"/>
                <w:sz w:val="20"/>
              </w:rPr>
              <w:t xml:space="preserve">0.565</w:t>
            </w:r>
          </w:p>
        </w:tc>
        <w:tc>
          <w:tcPr>
            <w:tcW w:type="dxa" w:w="1380"/>
          </w:tcPr>
          <w:p>
            <w:pPr>
              <w:pStyle w:val="Compact"/>
              <w:spacing w:line="240" w:lineRule="auto" w:before="20" w:after="20"/>
              <w:jc w:val="right"/>
            </w:pPr>
            <w:r>
              <w:rPr>
                <w:rFonts w:ascii="Arial" w:hAnsi="Arial"/>
                <w:sz w:val="20"/>
              </w:rPr>
              <w:t xml:space="preserve">103951</w:t>
            </w:r>
          </w:p>
        </w:tc>
        <w:tc>
          <w:tcPr>
            <w:tcW w:type="dxa" w:w="1073"/>
          </w:tcPr>
          <w:p>
            <w:pPr>
              <w:pStyle w:val="Compact"/>
              <w:spacing w:line="240" w:lineRule="auto" w:before="20" w:after="20"/>
              <w:jc w:val="right"/>
            </w:pPr>
            <w:r>
              <w:rPr>
                <w:rFonts w:ascii="Arial" w:hAnsi="Arial"/>
                <w:sz w:val="20"/>
              </w:rPr>
              <w:t xml:space="preserve">56049</w:t>
            </w:r>
          </w:p>
        </w:tc>
        <w:tc>
          <w:tcPr>
            <w:tcW w:type="dxa" w:w="1687"/>
          </w:tcPr>
          <w:p>
            <w:pPr>
              <w:pStyle w:val="Compact"/>
              <w:spacing w:line="240" w:lineRule="auto" w:before="20" w:after="20"/>
              <w:jc w:val="left"/>
            </w:pPr>
            <w:r>
              <w:rPr>
                <w:rFonts w:ascii="Arial" w:hAnsi="Arial"/>
                <w:sz w:val="20"/>
              </w:rPr>
              <w:t xml:space="preserve">81.74%</w:t>
            </w:r>
          </w:p>
        </w:tc>
        <w:tc>
          <w:tcPr>
            <w:tcW w:type="dxa" w:w="1380"/>
          </w:tcPr>
          <w:p>
            <w:pPr>
              <w:pStyle w:val="Compact"/>
              <w:spacing w:line="240" w:lineRule="auto" w:before="20" w:after="20"/>
              <w:jc w:val="left"/>
            </w:pPr>
            <w:r>
              <w:rPr>
                <w:rFonts w:ascii="Arial" w:hAnsi="Arial"/>
                <w:sz w:val="20"/>
              </w:rPr>
              <w:t xml:space="preserve">80.72%</w:t>
            </w:r>
          </w:p>
        </w:tc>
        <w:tc>
          <w:tcPr>
            <w:tcW w:type="dxa" w:w="1533"/>
          </w:tcPr>
          <w:p>
            <w:pPr>
              <w:pStyle w:val="Compact"/>
              <w:spacing w:line="240" w:lineRule="auto" w:before="20" w:after="20"/>
              <w:jc w:val="left"/>
            </w:pPr>
            <w:r>
              <w:rPr>
                <w:rFonts w:ascii="Arial" w:hAnsi="Arial"/>
                <w:sz w:val="20"/>
              </w:rPr>
              <w:t xml:space="preserve">81.74%</w:t>
            </w:r>
          </w:p>
        </w:tc>
        <w:tc>
          <w:tcPr>
            <w:tcW w:type="dxa" w:w="4601"/>
          </w:tcPr>
          <w:p>
            <w:pPr>
              <w:pStyle w:val="Compact"/>
              <w:spacing w:line="240" w:lineRule="auto" w:before="20" w:after="20"/>
              <w:jc w:val="left"/>
            </w:pPr>
            <w:r>
              <w:rPr>
                <w:rFonts w:ascii="Arial" w:hAnsi="Arial"/>
                <w:sz w:val="20"/>
              </w:rPr>
              <w:t xml:space="preserve">not usable as effect evidence</w:t>
            </w:r>
          </w:p>
        </w:tc>
      </w:tr>
      <w:tr>
        <w:tc>
          <w:tcPr>
            <w:tcW w:type="dxa" w:w="613"/>
          </w:tcPr>
          <w:p>
            <w:pPr>
              <w:pStyle w:val="Compact"/>
              <w:spacing w:line="240" w:lineRule="auto" w:before="20" w:after="20"/>
              <w:jc w:val="right"/>
            </w:pPr>
            <w:r>
              <w:rPr>
                <w:rFonts w:ascii="Arial" w:hAnsi="Arial"/>
                <w:sz w:val="20"/>
              </w:rPr>
              <w:t xml:space="preserve">9</w:t>
            </w:r>
          </w:p>
        </w:tc>
        <w:tc>
          <w:tcPr>
            <w:tcW w:type="dxa" w:w="1687"/>
          </w:tcPr>
          <w:p>
            <w:pPr>
              <w:pStyle w:val="Compact"/>
              <w:spacing w:line="240" w:lineRule="auto" w:before="20" w:after="20"/>
              <w:jc w:val="right"/>
            </w:pPr>
            <w:r>
              <w:rPr>
                <w:rFonts w:ascii="Arial" w:hAnsi="Arial"/>
                <w:sz w:val="20"/>
              </w:rPr>
              <w:t xml:space="preserve">0.623</w:t>
            </w:r>
          </w:p>
        </w:tc>
        <w:tc>
          <w:tcPr>
            <w:tcW w:type="dxa" w:w="1380"/>
          </w:tcPr>
          <w:p>
            <w:pPr>
              <w:pStyle w:val="Compact"/>
              <w:spacing w:line="240" w:lineRule="auto" w:before="20" w:after="20"/>
              <w:jc w:val="right"/>
            </w:pPr>
            <w:r>
              <w:rPr>
                <w:rFonts w:ascii="Arial" w:hAnsi="Arial"/>
                <w:sz w:val="20"/>
              </w:rPr>
              <w:t xml:space="preserve">93533</w:t>
            </w:r>
          </w:p>
        </w:tc>
        <w:tc>
          <w:tcPr>
            <w:tcW w:type="dxa" w:w="1073"/>
          </w:tcPr>
          <w:p>
            <w:pPr>
              <w:pStyle w:val="Compact"/>
              <w:spacing w:line="240" w:lineRule="auto" w:before="20" w:after="20"/>
              <w:jc w:val="right"/>
            </w:pPr>
            <w:r>
              <w:rPr>
                <w:rFonts w:ascii="Arial" w:hAnsi="Arial"/>
                <w:sz w:val="20"/>
              </w:rPr>
              <w:t xml:space="preserve">66467</w:t>
            </w:r>
          </w:p>
        </w:tc>
        <w:tc>
          <w:tcPr>
            <w:tcW w:type="dxa" w:w="1687"/>
          </w:tcPr>
          <w:p>
            <w:pPr>
              <w:pStyle w:val="Compact"/>
              <w:spacing w:line="240" w:lineRule="auto" w:before="20" w:after="20"/>
              <w:jc w:val="left"/>
            </w:pPr>
            <w:r>
              <w:rPr>
                <w:rFonts w:ascii="Arial" w:hAnsi="Arial"/>
                <w:sz w:val="20"/>
              </w:rPr>
              <w:t xml:space="preserve">92.71%</w:t>
            </w:r>
          </w:p>
        </w:tc>
        <w:tc>
          <w:tcPr>
            <w:tcW w:type="dxa" w:w="1380"/>
          </w:tcPr>
          <w:p>
            <w:pPr>
              <w:pStyle w:val="Compact"/>
              <w:spacing w:line="240" w:lineRule="auto" w:before="20" w:after="20"/>
              <w:jc w:val="left"/>
            </w:pPr>
            <w:r>
              <w:rPr>
                <w:rFonts w:ascii="Arial" w:hAnsi="Arial"/>
                <w:sz w:val="20"/>
              </w:rPr>
              <w:t xml:space="preserve">85.71%</w:t>
            </w:r>
          </w:p>
        </w:tc>
        <w:tc>
          <w:tcPr>
            <w:tcW w:type="dxa" w:w="1533"/>
          </w:tcPr>
          <w:p>
            <w:pPr>
              <w:pStyle w:val="Compact"/>
              <w:spacing w:line="240" w:lineRule="auto" w:before="20" w:after="20"/>
              <w:jc w:val="left"/>
            </w:pPr>
            <w:r>
              <w:rPr>
                <w:rFonts w:ascii="Arial" w:hAnsi="Arial"/>
                <w:sz w:val="20"/>
              </w:rPr>
              <w:t xml:space="preserve">92.71%</w:t>
            </w:r>
          </w:p>
        </w:tc>
        <w:tc>
          <w:tcPr>
            <w:tcW w:type="dxa" w:w="4601"/>
          </w:tcPr>
          <w:p>
            <w:pPr>
              <w:pStyle w:val="Compact"/>
              <w:spacing w:line="240" w:lineRule="auto" w:before="20" w:after="20"/>
              <w:jc w:val="left"/>
            </w:pPr>
            <w:r>
              <w:rPr>
                <w:rFonts w:ascii="Arial" w:hAnsi="Arial"/>
                <w:sz w:val="20"/>
              </w:rPr>
              <w:t xml:space="preserve">not usable as effect evidence</w:t>
            </w:r>
          </w:p>
        </w:tc>
      </w:tr>
      <w:tr>
        <w:tc>
          <w:tcPr>
            <w:tcW w:type="dxa" w:w="613"/>
          </w:tcPr>
          <w:p>
            <w:pPr>
              <w:pStyle w:val="Compact"/>
              <w:spacing w:line="240" w:lineRule="auto" w:before="20" w:after="20"/>
              <w:jc w:val="right"/>
            </w:pPr>
            <w:r>
              <w:rPr>
                <w:rFonts w:ascii="Arial" w:hAnsi="Arial"/>
                <w:sz w:val="20"/>
              </w:rPr>
              <w:t xml:space="preserve">10</w:t>
            </w:r>
          </w:p>
        </w:tc>
        <w:tc>
          <w:tcPr>
            <w:tcW w:type="dxa" w:w="1687"/>
          </w:tcPr>
          <w:p>
            <w:pPr>
              <w:pStyle w:val="Compact"/>
              <w:spacing w:line="240" w:lineRule="auto" w:before="20" w:after="20"/>
              <w:jc w:val="right"/>
            </w:pPr>
            <w:r>
              <w:rPr>
                <w:rFonts w:ascii="Arial" w:hAnsi="Arial"/>
                <w:sz w:val="20"/>
              </w:rPr>
              <w:t xml:space="preserve">0.694</w:t>
            </w:r>
          </w:p>
        </w:tc>
        <w:tc>
          <w:tcPr>
            <w:tcW w:type="dxa" w:w="1380"/>
          </w:tcPr>
          <w:p>
            <w:pPr>
              <w:pStyle w:val="Compact"/>
              <w:spacing w:line="240" w:lineRule="auto" w:before="20" w:after="20"/>
              <w:jc w:val="right"/>
            </w:pPr>
            <w:r>
              <w:rPr>
                <w:rFonts w:ascii="Arial" w:hAnsi="Arial"/>
                <w:sz w:val="20"/>
              </w:rPr>
              <w:t xml:space="preserve">73430</w:t>
            </w:r>
          </w:p>
        </w:tc>
        <w:tc>
          <w:tcPr>
            <w:tcW w:type="dxa" w:w="1073"/>
          </w:tcPr>
          <w:p>
            <w:pPr>
              <w:pStyle w:val="Compact"/>
              <w:spacing w:line="240" w:lineRule="auto" w:before="20" w:after="20"/>
              <w:jc w:val="right"/>
            </w:pPr>
            <w:r>
              <w:rPr>
                <w:rFonts w:ascii="Arial" w:hAnsi="Arial"/>
                <w:sz w:val="20"/>
              </w:rPr>
              <w:t xml:space="preserve">86570</w:t>
            </w:r>
          </w:p>
        </w:tc>
        <w:tc>
          <w:tcPr>
            <w:tcW w:type="dxa" w:w="1687"/>
          </w:tcPr>
          <w:p>
            <w:pPr>
              <w:pStyle w:val="Compact"/>
              <w:spacing w:line="240" w:lineRule="auto" w:before="20" w:after="20"/>
              <w:jc w:val="left"/>
            </w:pPr>
            <w:r>
              <w:rPr>
                <w:rFonts w:ascii="Arial" w:hAnsi="Arial"/>
                <w:sz w:val="20"/>
              </w:rPr>
              <w:t xml:space="preserve">97.55%</w:t>
            </w:r>
          </w:p>
        </w:tc>
        <w:tc>
          <w:tcPr>
            <w:tcW w:type="dxa" w:w="1380"/>
          </w:tcPr>
          <w:p>
            <w:pPr>
              <w:pStyle w:val="Compact"/>
              <w:spacing w:line="240" w:lineRule="auto" w:before="20" w:after="20"/>
              <w:jc w:val="left"/>
            </w:pPr>
            <w:r>
              <w:rPr>
                <w:rFonts w:ascii="Arial" w:hAnsi="Arial"/>
                <w:sz w:val="20"/>
              </w:rPr>
              <w:t xml:space="preserve">89.95%</w:t>
            </w:r>
          </w:p>
        </w:tc>
        <w:tc>
          <w:tcPr>
            <w:tcW w:type="dxa" w:w="1533"/>
          </w:tcPr>
          <w:p>
            <w:pPr>
              <w:pStyle w:val="Compact"/>
              <w:spacing w:line="240" w:lineRule="auto" w:before="20" w:after="20"/>
              <w:jc w:val="left"/>
            </w:pPr>
            <w:r>
              <w:rPr>
                <w:rFonts w:ascii="Arial" w:hAnsi="Arial"/>
                <w:sz w:val="20"/>
              </w:rPr>
              <w:t xml:space="preserve">97.55%</w:t>
            </w:r>
          </w:p>
        </w:tc>
        <w:tc>
          <w:tcPr>
            <w:tcW w:type="dxa" w:w="4601"/>
          </w:tcPr>
          <w:p>
            <w:pPr>
              <w:pStyle w:val="Compact"/>
              <w:spacing w:line="240" w:lineRule="auto" w:before="20" w:after="20"/>
              <w:jc w:val="left"/>
            </w:pPr>
            <w:r>
              <w:rPr>
                <w:rFonts w:ascii="Arial" w:hAnsi="Arial"/>
                <w:sz w:val="20"/>
              </w:rPr>
              <w:t xml:space="preserve">not usable as effect evidence</w:t>
            </w:r>
          </w:p>
        </w:tc>
      </w:tr>
      <w:tr>
        <w:tc>
          <w:tcPr>
            <w:tcW w:type="dxa" w:w="613"/>
          </w:tcPr>
          <w:p>
            <w:pPr>
              <w:pStyle w:val="Compact"/>
              <w:spacing w:line="240" w:lineRule="auto" w:before="20" w:after="20"/>
              <w:jc w:val="right"/>
            </w:pPr>
            <w:r>
              <w:rPr>
                <w:rFonts w:ascii="Arial" w:hAnsi="Arial"/>
                <w:sz w:val="20"/>
              </w:rPr>
              <w:t xml:space="preserve">11</w:t>
            </w:r>
          </w:p>
        </w:tc>
        <w:tc>
          <w:tcPr>
            <w:tcW w:type="dxa" w:w="1687"/>
          </w:tcPr>
          <w:p>
            <w:pPr>
              <w:pStyle w:val="Compact"/>
              <w:spacing w:line="240" w:lineRule="auto" w:before="20" w:after="20"/>
              <w:jc w:val="right"/>
            </w:pPr>
            <w:r>
              <w:rPr>
                <w:rFonts w:ascii="Arial" w:hAnsi="Arial"/>
                <w:sz w:val="20"/>
              </w:rPr>
              <w:t xml:space="preserve">0.782</w:t>
            </w:r>
          </w:p>
        </w:tc>
        <w:tc>
          <w:tcPr>
            <w:tcW w:type="dxa" w:w="1380"/>
          </w:tcPr>
          <w:p>
            <w:pPr>
              <w:pStyle w:val="Compact"/>
              <w:spacing w:line="240" w:lineRule="auto" w:before="20" w:after="20"/>
              <w:jc w:val="right"/>
            </w:pPr>
            <w:r>
              <w:rPr>
                <w:rFonts w:ascii="Arial" w:hAnsi="Arial"/>
                <w:sz w:val="20"/>
              </w:rPr>
              <w:t xml:space="preserve">44176</w:t>
            </w:r>
          </w:p>
        </w:tc>
        <w:tc>
          <w:tcPr>
            <w:tcW w:type="dxa" w:w="1073"/>
          </w:tcPr>
          <w:p>
            <w:pPr>
              <w:pStyle w:val="Compact"/>
              <w:spacing w:line="240" w:lineRule="auto" w:before="20" w:after="20"/>
              <w:jc w:val="right"/>
            </w:pPr>
            <w:r>
              <w:rPr>
                <w:rFonts w:ascii="Arial" w:hAnsi="Arial"/>
                <w:sz w:val="20"/>
              </w:rPr>
              <w:t xml:space="preserve">115824</w:t>
            </w:r>
          </w:p>
        </w:tc>
        <w:tc>
          <w:tcPr>
            <w:tcW w:type="dxa" w:w="1687"/>
          </w:tcPr>
          <w:p>
            <w:pPr>
              <w:pStyle w:val="Compact"/>
              <w:spacing w:line="240" w:lineRule="auto" w:before="20" w:after="20"/>
              <w:jc w:val="left"/>
            </w:pPr>
            <w:r>
              <w:rPr>
                <w:rFonts w:ascii="Arial" w:hAnsi="Arial"/>
                <w:sz w:val="20"/>
              </w:rPr>
              <w:t xml:space="preserve">99.37%</w:t>
            </w:r>
          </w:p>
        </w:tc>
        <w:tc>
          <w:tcPr>
            <w:tcW w:type="dxa" w:w="1380"/>
          </w:tcPr>
          <w:p>
            <w:pPr>
              <w:pStyle w:val="Compact"/>
              <w:spacing w:line="240" w:lineRule="auto" w:before="20" w:after="20"/>
              <w:jc w:val="left"/>
            </w:pPr>
            <w:r>
              <w:rPr>
                <w:rFonts w:ascii="Arial" w:hAnsi="Arial"/>
                <w:sz w:val="20"/>
              </w:rPr>
              <w:t xml:space="preserve">93.50%</w:t>
            </w:r>
          </w:p>
        </w:tc>
        <w:tc>
          <w:tcPr>
            <w:tcW w:type="dxa" w:w="1533"/>
          </w:tcPr>
          <w:p>
            <w:pPr>
              <w:pStyle w:val="Compact"/>
              <w:spacing w:line="240" w:lineRule="auto" w:before="20" w:after="20"/>
              <w:jc w:val="left"/>
            </w:pPr>
            <w:r>
              <w:rPr>
                <w:rFonts w:ascii="Arial" w:hAnsi="Arial"/>
                <w:sz w:val="20"/>
              </w:rPr>
              <w:t xml:space="preserve">99.37%</w:t>
            </w:r>
          </w:p>
        </w:tc>
        <w:tc>
          <w:tcPr>
            <w:tcW w:type="dxa" w:w="4601"/>
          </w:tcPr>
          <w:p>
            <w:pPr>
              <w:pStyle w:val="Compact"/>
              <w:spacing w:line="240" w:lineRule="auto" w:before="20" w:after="20"/>
              <w:jc w:val="left"/>
            </w:pPr>
            <w:r>
              <w:rPr>
                <w:rFonts w:ascii="Arial" w:hAnsi="Arial"/>
                <w:sz w:val="20"/>
              </w:rPr>
              <w:t xml:space="preserve">not usable as effect evidence</w:t>
            </w:r>
          </w:p>
        </w:tc>
      </w:tr>
      <w:tr>
        <w:tc>
          <w:tcPr>
            <w:tcW w:type="dxa" w:w="613"/>
          </w:tcPr>
          <w:p>
            <w:pPr>
              <w:pStyle w:val="Compact"/>
              <w:spacing w:line="240" w:lineRule="auto" w:before="20" w:after="20"/>
              <w:jc w:val="right"/>
            </w:pPr>
            <w:r>
              <w:rPr>
                <w:rFonts w:ascii="Arial" w:hAnsi="Arial"/>
                <w:sz w:val="20"/>
              </w:rPr>
              <w:t xml:space="preserve">12</w:t>
            </w:r>
          </w:p>
        </w:tc>
        <w:tc>
          <w:tcPr>
            <w:tcW w:type="dxa" w:w="1687"/>
          </w:tcPr>
          <w:p>
            <w:pPr>
              <w:pStyle w:val="Compact"/>
              <w:spacing w:line="240" w:lineRule="auto" w:before="20" w:after="20"/>
              <w:jc w:val="right"/>
            </w:pPr>
            <w:r>
              <w:rPr>
                <w:rFonts w:ascii="Arial" w:hAnsi="Arial"/>
                <w:sz w:val="20"/>
              </w:rPr>
              <w:t xml:space="preserve">0.892</w:t>
            </w:r>
          </w:p>
        </w:tc>
        <w:tc>
          <w:tcPr>
            <w:tcW w:type="dxa" w:w="1380"/>
          </w:tcPr>
          <w:p>
            <w:pPr>
              <w:pStyle w:val="Compact"/>
              <w:spacing w:line="240" w:lineRule="auto" w:before="20" w:after="20"/>
              <w:jc w:val="right"/>
            </w:pPr>
            <w:r>
              <w:rPr>
                <w:rFonts w:ascii="Arial" w:hAnsi="Arial"/>
                <w:sz w:val="20"/>
              </w:rPr>
              <w:t xml:space="preserve">45632</w:t>
            </w:r>
          </w:p>
        </w:tc>
        <w:tc>
          <w:tcPr>
            <w:tcW w:type="dxa" w:w="1073"/>
          </w:tcPr>
          <w:p>
            <w:pPr>
              <w:pStyle w:val="Compact"/>
              <w:spacing w:line="240" w:lineRule="auto" w:before="20" w:after="20"/>
              <w:jc w:val="right"/>
            </w:pPr>
            <w:r>
              <w:rPr>
                <w:rFonts w:ascii="Arial" w:hAnsi="Arial"/>
                <w:sz w:val="20"/>
              </w:rPr>
              <w:t xml:space="preserve">114368</w:t>
            </w:r>
          </w:p>
        </w:tc>
        <w:tc>
          <w:tcPr>
            <w:tcW w:type="dxa" w:w="1687"/>
          </w:tcPr>
          <w:p>
            <w:pPr>
              <w:pStyle w:val="Compact"/>
              <w:spacing w:line="240" w:lineRule="auto" w:before="20" w:after="20"/>
              <w:jc w:val="left"/>
            </w:pPr>
            <w:r>
              <w:rPr>
                <w:rFonts w:ascii="Arial" w:hAnsi="Arial"/>
                <w:sz w:val="20"/>
              </w:rPr>
              <w:t xml:space="preserve">99.86%</w:t>
            </w:r>
          </w:p>
        </w:tc>
        <w:tc>
          <w:tcPr>
            <w:tcW w:type="dxa" w:w="1380"/>
          </w:tcPr>
          <w:p>
            <w:pPr>
              <w:pStyle w:val="Compact"/>
              <w:spacing w:line="240" w:lineRule="auto" w:before="20" w:after="20"/>
              <w:jc w:val="left"/>
            </w:pPr>
            <w:r>
              <w:rPr>
                <w:rFonts w:ascii="Arial" w:hAnsi="Arial"/>
                <w:sz w:val="20"/>
              </w:rPr>
              <w:t xml:space="preserve">97.88%</w:t>
            </w:r>
          </w:p>
        </w:tc>
        <w:tc>
          <w:tcPr>
            <w:tcW w:type="dxa" w:w="1533"/>
          </w:tcPr>
          <w:p>
            <w:pPr>
              <w:pStyle w:val="Compact"/>
              <w:spacing w:line="240" w:lineRule="auto" w:before="20" w:after="20"/>
              <w:jc w:val="left"/>
            </w:pPr>
            <w:r>
              <w:rPr>
                <w:rFonts w:ascii="Arial" w:hAnsi="Arial"/>
                <w:sz w:val="20"/>
              </w:rPr>
              <w:t xml:space="preserve">99.86%</w:t>
            </w:r>
          </w:p>
        </w:tc>
        <w:tc>
          <w:tcPr>
            <w:tcW w:type="dxa" w:w="4601"/>
          </w:tcPr>
          <w:p>
            <w:pPr>
              <w:pStyle w:val="Compact"/>
              <w:spacing w:line="240" w:lineRule="auto" w:before="20" w:after="20"/>
              <w:jc w:val="left"/>
            </w:pPr>
            <w:r>
              <w:rPr>
                <w:rFonts w:ascii="Arial" w:hAnsi="Arial"/>
                <w:sz w:val="20"/>
              </w:rPr>
              <w:t xml:space="preserve">not usable as effect evidence</w:t>
            </w:r>
          </w:p>
        </w:tc>
      </w:tr>
    </w:tbl>
    <w:bookmarkEnd w:id="20"/>
    <w:bookmarkStart w:id="21" w:name="X5ff879952a6b46ec962ba5a26f946412281dc22"/>
    <w:p>
      <w:pPr>
        <w:pStyle w:val="Heading2"/>
      </w:pPr>
      <w:r>
        <w:rPr>
          <w:rFonts w:ascii="Arial" w:hAnsi="Arial" w:eastAsia="Arial" w:cs="Arial"/>
          <w:b/>
          <w:sz w:val="24"/>
        </w:rPr>
        <w:t xml:space="preserve">eTable 2. Pooled, width-specific, and conservative readings of the lookup</w:t>
      </w:r>
    </w:p>
    <w:p>
      <w:pPr>
        <w:pStyle w:val="TableCaption"/>
      </w:pPr>
      <w:r>
        <w:t xml:space="preserve">eTable 2. Pooled, width-specific, and conservative readings of the lookup. Sens ED, share of truly effect-dominated repetitions declared usable; Sens BD, share of truly bias-dominated repetitions withheld.</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Caption w:val="eTable 2. Pooled, width-specific, and conservative readings of the lookup. Sens ED, share of truly effect-dominated repetitions declared usable; Sens BD, share of truly bias-dominated repetitions withheld."/>
      </w:tblPr>
      <w:tblGrid>
        <w:gridCol w:w="5765"/>
        <w:gridCol w:w="1667"/>
        <w:gridCol w:w="2881"/>
        <w:gridCol w:w="1820"/>
        <w:gridCol w:w="1821"/>
      </w:tblGrid>
      <w:tr>
        <w:trPr>
          <w:tblHeader w:val="on"/>
        </w:trPr>
        <w:tc>
          <w:tcPr>
            <w:tcW w:type="dxa" w:w="5765"/>
          </w:tcPr>
          <w:p>
            <w:pPr>
              <w:pStyle w:val="Compact"/>
              <w:spacing w:line="240" w:lineRule="auto" w:before="20" w:after="20"/>
              <w:jc w:val="left"/>
            </w:pPr>
            <w:r>
              <w:rPr>
                <w:rFonts w:ascii="Arial" w:hAnsi="Arial"/>
                <w:sz w:val="20"/>
              </w:rPr>
              <w:t xml:space="preserve">Reading</w:t>
            </w:r>
          </w:p>
        </w:tc>
        <w:tc>
          <w:tcPr>
            <w:tcW w:type="dxa" w:w="1667"/>
          </w:tcPr>
          <w:p>
            <w:pPr>
              <w:pStyle w:val="Compact"/>
              <w:spacing w:line="240" w:lineRule="auto" w:before="20" w:after="20"/>
              <w:jc w:val="left"/>
            </w:pPr>
            <w:r>
              <w:rPr>
                <w:rFonts w:ascii="Arial" w:hAnsi="Arial"/>
                <w:sz w:val="20"/>
              </w:rPr>
              <w:t xml:space="preserve">Misuse….</w:t>
            </w:r>
          </w:p>
        </w:tc>
        <w:tc>
          <w:tcPr>
            <w:tcW w:type="dxa" w:w="2881"/>
          </w:tcPr>
          <w:p>
            <w:pPr>
              <w:pStyle w:val="Compact"/>
              <w:spacing w:line="240" w:lineRule="auto" w:before="20" w:after="20"/>
              <w:jc w:val="left"/>
            </w:pPr>
            <w:r>
              <w:rPr>
                <w:rFonts w:ascii="Arial" w:hAnsi="Arial"/>
                <w:sz w:val="20"/>
              </w:rPr>
              <w:t xml:space="preserve">Declare.usable….</w:t>
            </w:r>
          </w:p>
        </w:tc>
        <w:tc>
          <w:tcPr>
            <w:tcW w:type="dxa" w:w="1820"/>
          </w:tcPr>
          <w:p>
            <w:pPr>
              <w:pStyle w:val="Compact"/>
              <w:spacing w:line="240" w:lineRule="auto" w:before="20" w:after="20"/>
              <w:jc w:val="left"/>
            </w:pPr>
            <w:r>
              <w:rPr>
                <w:rFonts w:ascii="Arial" w:hAnsi="Arial"/>
                <w:sz w:val="20"/>
              </w:rPr>
              <w:t xml:space="preserve">Sens.ED….</w:t>
            </w:r>
          </w:p>
        </w:tc>
        <w:tc>
          <w:tcPr>
            <w:tcW w:type="dxa" w:w="1821"/>
          </w:tcPr>
          <w:p>
            <w:pPr>
              <w:pStyle w:val="Compact"/>
              <w:spacing w:line="240" w:lineRule="auto" w:before="20" w:after="20"/>
              <w:jc w:val="left"/>
            </w:pPr>
            <w:r>
              <w:rPr>
                <w:rFonts w:ascii="Arial" w:hAnsi="Arial"/>
                <w:sz w:val="20"/>
              </w:rPr>
              <w:t xml:space="preserve">Sens.BD….</w:t>
            </w:r>
          </w:p>
        </w:tc>
      </w:tr>
      <w:tr>
        <w:tc>
          <w:tcPr>
            <w:tcW w:type="dxa" w:w="5765"/>
          </w:tcPr>
          <w:p>
            <w:pPr>
              <w:pStyle w:val="Compact"/>
              <w:spacing w:line="240" w:lineRule="auto" w:before="20" w:after="20"/>
              <w:jc w:val="left"/>
            </w:pPr>
            <w:r>
              <w:rPr>
                <w:rFonts w:ascii="Arial" w:hAnsi="Arial"/>
                <w:sz w:val="20"/>
              </w:rPr>
              <w:t xml:space="preserve">pooled probability (CI width ignored)</w:t>
            </w:r>
          </w:p>
        </w:tc>
        <w:tc>
          <w:tcPr>
            <w:tcW w:type="dxa" w:w="1667"/>
          </w:tcPr>
          <w:p>
            <w:pPr>
              <w:pStyle w:val="Compact"/>
              <w:spacing w:line="240" w:lineRule="auto" w:before="20" w:after="20"/>
              <w:jc w:val="left"/>
            </w:pPr>
            <w:r>
              <w:rPr>
                <w:rFonts w:ascii="Arial" w:hAnsi="Arial"/>
                <w:sz w:val="20"/>
              </w:rPr>
              <w:t xml:space="preserve">3.02</w:t>
            </w:r>
          </w:p>
        </w:tc>
        <w:tc>
          <w:tcPr>
            <w:tcW w:type="dxa" w:w="2881"/>
          </w:tcPr>
          <w:p>
            <w:pPr>
              <w:pStyle w:val="Compact"/>
              <w:spacing w:line="240" w:lineRule="auto" w:before="20" w:after="20"/>
              <w:jc w:val="left"/>
            </w:pPr>
            <w:r>
              <w:rPr>
                <w:rFonts w:ascii="Arial" w:hAnsi="Arial"/>
                <w:sz w:val="20"/>
              </w:rPr>
              <w:t xml:space="preserve">22.1</w:t>
            </w:r>
          </w:p>
        </w:tc>
        <w:tc>
          <w:tcPr>
            <w:tcW w:type="dxa" w:w="1820"/>
          </w:tcPr>
          <w:p>
            <w:pPr>
              <w:pStyle w:val="Compact"/>
              <w:spacing w:line="240" w:lineRule="auto" w:before="20" w:after="20"/>
              <w:jc w:val="left"/>
            </w:pPr>
            <w:r>
              <w:rPr>
                <w:rFonts w:ascii="Arial" w:hAnsi="Arial"/>
                <w:sz w:val="20"/>
              </w:rPr>
              <w:t xml:space="preserve">82.1</w:t>
            </w:r>
          </w:p>
        </w:tc>
        <w:tc>
          <w:tcPr>
            <w:tcW w:type="dxa" w:w="1821"/>
          </w:tcPr>
          <w:p>
            <w:pPr>
              <w:pStyle w:val="Compact"/>
              <w:spacing w:line="240" w:lineRule="auto" w:before="20" w:after="20"/>
              <w:jc w:val="left"/>
            </w:pPr>
            <w:r>
              <w:rPr>
                <w:rFonts w:ascii="Arial" w:hAnsi="Arial"/>
                <w:sz w:val="20"/>
              </w:rPr>
              <w:t xml:space="preserve">98.7</w:t>
            </w:r>
          </w:p>
        </w:tc>
      </w:tr>
      <w:tr>
        <w:tc>
          <w:tcPr>
            <w:tcW w:type="dxa" w:w="5765"/>
          </w:tcPr>
          <w:p>
            <w:pPr>
              <w:pStyle w:val="Compact"/>
              <w:spacing w:line="240" w:lineRule="auto" w:before="20" w:after="20"/>
              <w:jc w:val="left"/>
            </w:pPr>
            <w:r>
              <w:rPr>
                <w:rFonts w:ascii="Arial" w:hAnsi="Arial"/>
                <w:sz w:val="20"/>
              </w:rPr>
              <w:t xml:space="preserve">width-specific probability</w:t>
            </w:r>
          </w:p>
        </w:tc>
        <w:tc>
          <w:tcPr>
            <w:tcW w:type="dxa" w:w="1667"/>
          </w:tcPr>
          <w:p>
            <w:pPr>
              <w:pStyle w:val="Compact"/>
              <w:spacing w:line="240" w:lineRule="auto" w:before="20" w:after="20"/>
              <w:jc w:val="left"/>
            </w:pPr>
            <w:r>
              <w:rPr>
                <w:rFonts w:ascii="Arial" w:hAnsi="Arial"/>
                <w:sz w:val="20"/>
              </w:rPr>
              <w:t xml:space="preserve">4.00</w:t>
            </w:r>
          </w:p>
        </w:tc>
        <w:tc>
          <w:tcPr>
            <w:tcW w:type="dxa" w:w="2881"/>
          </w:tcPr>
          <w:p>
            <w:pPr>
              <w:pStyle w:val="Compact"/>
              <w:spacing w:line="240" w:lineRule="auto" w:before="20" w:after="20"/>
              <w:jc w:val="left"/>
            </w:pPr>
            <w:r>
              <w:rPr>
                <w:rFonts w:ascii="Arial" w:hAnsi="Arial"/>
                <w:sz w:val="20"/>
              </w:rPr>
              <w:t xml:space="preserve">26.7</w:t>
            </w:r>
          </w:p>
        </w:tc>
        <w:tc>
          <w:tcPr>
            <w:tcW w:type="dxa" w:w="1820"/>
          </w:tcPr>
          <w:p>
            <w:pPr>
              <w:pStyle w:val="Compact"/>
              <w:spacing w:line="240" w:lineRule="auto" w:before="20" w:after="20"/>
              <w:jc w:val="left"/>
            </w:pPr>
            <w:r>
              <w:rPr>
                <w:rFonts w:ascii="Arial" w:hAnsi="Arial"/>
                <w:sz w:val="20"/>
              </w:rPr>
              <w:t xml:space="preserve">85.6</w:t>
            </w:r>
          </w:p>
        </w:tc>
        <w:tc>
          <w:tcPr>
            <w:tcW w:type="dxa" w:w="1821"/>
          </w:tcPr>
          <w:p>
            <w:pPr>
              <w:pStyle w:val="Compact"/>
              <w:spacing w:line="240" w:lineRule="auto" w:before="20" w:after="20"/>
              <w:jc w:val="left"/>
            </w:pPr>
            <w:r>
              <w:rPr>
                <w:rFonts w:ascii="Arial" w:hAnsi="Arial"/>
                <w:sz w:val="20"/>
              </w:rPr>
              <w:t xml:space="preserve">98.0</w:t>
            </w:r>
          </w:p>
        </w:tc>
      </w:tr>
      <w:tr>
        <w:tc>
          <w:tcPr>
            <w:tcW w:type="dxa" w:w="5765"/>
          </w:tcPr>
          <w:p>
            <w:pPr>
              <w:pStyle w:val="Compact"/>
              <w:spacing w:line="240" w:lineRule="auto" w:before="20" w:after="20"/>
              <w:jc w:val="left"/>
            </w:pPr>
            <w:r>
              <w:rPr>
                <w:rFonts w:ascii="Arial" w:hAnsi="Arial"/>
                <w:sz w:val="20"/>
              </w:rPr>
              <w:t xml:space="preserve">conservative max(narrow, wide)</w:t>
            </w:r>
          </w:p>
        </w:tc>
        <w:tc>
          <w:tcPr>
            <w:tcW w:type="dxa" w:w="1667"/>
          </w:tcPr>
          <w:p>
            <w:pPr>
              <w:pStyle w:val="Compact"/>
              <w:spacing w:line="240" w:lineRule="auto" w:before="20" w:after="20"/>
              <w:jc w:val="left"/>
            </w:pPr>
            <w:r>
              <w:rPr>
                <w:rFonts w:ascii="Arial" w:hAnsi="Arial"/>
                <w:sz w:val="20"/>
              </w:rPr>
              <w:t xml:space="preserve">3.02</w:t>
            </w:r>
          </w:p>
        </w:tc>
        <w:tc>
          <w:tcPr>
            <w:tcW w:type="dxa" w:w="2881"/>
          </w:tcPr>
          <w:p>
            <w:pPr>
              <w:pStyle w:val="Compact"/>
              <w:spacing w:line="240" w:lineRule="auto" w:before="20" w:after="20"/>
              <w:jc w:val="left"/>
            </w:pPr>
            <w:r>
              <w:rPr>
                <w:rFonts w:ascii="Arial" w:hAnsi="Arial"/>
                <w:sz w:val="20"/>
              </w:rPr>
              <w:t xml:space="preserve">22.1</w:t>
            </w:r>
          </w:p>
        </w:tc>
        <w:tc>
          <w:tcPr>
            <w:tcW w:type="dxa" w:w="1820"/>
          </w:tcPr>
          <w:p>
            <w:pPr>
              <w:pStyle w:val="Compact"/>
              <w:spacing w:line="240" w:lineRule="auto" w:before="20" w:after="20"/>
              <w:jc w:val="left"/>
            </w:pPr>
            <w:r>
              <w:rPr>
                <w:rFonts w:ascii="Arial" w:hAnsi="Arial"/>
                <w:sz w:val="20"/>
              </w:rPr>
              <w:t xml:space="preserve">82.1</w:t>
            </w:r>
          </w:p>
        </w:tc>
        <w:tc>
          <w:tcPr>
            <w:tcW w:type="dxa" w:w="1821"/>
          </w:tcPr>
          <w:p>
            <w:pPr>
              <w:pStyle w:val="Compact"/>
              <w:spacing w:line="240" w:lineRule="auto" w:before="20" w:after="20"/>
              <w:jc w:val="left"/>
            </w:pPr>
            <w:r>
              <w:rPr>
                <w:rFonts w:ascii="Arial" w:hAnsi="Arial"/>
                <w:sz w:val="20"/>
              </w:rPr>
              <w:t xml:space="preserve">98.7</w:t>
            </w:r>
          </w:p>
        </w:tc>
      </w:tr>
    </w:tbl>
    <w:p>
      <w:pPr>
        <w:pStyle w:val="BodyText"/>
      </w:pPr>
      <w:r>
        <w:t xml:space="preserve">The conservative reading changed 16.28% of verdicts relative to the pooled reading; the maximum within-bin probability gap was 0.206.</w:t>
      </w:r>
    </w:p>
    <w:bookmarkEnd w:id="21"/>
    <w:bookmarkStart w:id="22" w:name="etable-3.-subgroup-robustness"/>
    <w:p>
      <w:pPr>
        <w:pStyle w:val="Heading2"/>
      </w:pPr>
      <w:r>
        <w:rPr>
          <w:rFonts w:ascii="Arial" w:hAnsi="Arial" w:eastAsia="Arial" w:cs="Arial"/>
          <w:b/>
          <w:sz w:val="24"/>
        </w:rPr>
        <w:t xml:space="preserve">eTable 3. Subgroup robustness</w:t>
      </w:r>
    </w:p>
    <w:p>
      <w:pPr>
        <w:pStyle w:val="TableCaption"/>
      </w:pPr>
      <w:r>
        <w:t xml:space="preserve">eTable 3. Misuse rate across 7 pre-specified subgroups.</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Caption w:val="eTable 3. Misuse rate across 7 pre-specified subgroups."/>
      </w:tblPr>
      <w:tblGrid>
        <w:gridCol w:w="3271"/>
        <w:gridCol w:w="763"/>
        <w:gridCol w:w="1745"/>
        <w:gridCol w:w="1962"/>
        <w:gridCol w:w="2071"/>
        <w:gridCol w:w="2180"/>
        <w:gridCol w:w="1962"/>
      </w:tblGrid>
      <w:tr>
        <w:trPr>
          <w:tblHeader w:val="on"/>
        </w:trPr>
        <w:tc>
          <w:tcPr>
            <w:tcW w:type="dxa" w:w="3271"/>
          </w:tcPr>
          <w:p>
            <w:pPr>
              <w:pStyle w:val="Compact"/>
              <w:spacing w:line="240" w:lineRule="auto" w:before="20" w:after="20"/>
              <w:jc w:val="left"/>
            </w:pPr>
            <w:r>
              <w:rPr>
                <w:rFonts w:ascii="Arial" w:hAnsi="Arial"/>
                <w:sz w:val="20"/>
              </w:rPr>
              <w:t xml:space="preserve">Subgroup</w:t>
            </w:r>
          </w:p>
        </w:tc>
        <w:tc>
          <w:tcPr>
            <w:tcW w:type="dxa" w:w="763"/>
          </w:tcPr>
          <w:p>
            <w:pPr>
              <w:pStyle w:val="Compact"/>
              <w:spacing w:line="240" w:lineRule="auto" w:before="20" w:after="20"/>
              <w:jc w:val="right"/>
            </w:pPr>
            <w:r>
              <w:rPr>
                <w:rFonts w:ascii="Arial" w:hAnsi="Arial"/>
                <w:sz w:val="20"/>
              </w:rPr>
              <w:t xml:space="preserve">N</w:t>
            </w:r>
          </w:p>
        </w:tc>
        <w:tc>
          <w:tcPr>
            <w:tcW w:type="dxa" w:w="1745"/>
          </w:tcPr>
          <w:p>
            <w:pPr>
              <w:pStyle w:val="Compact"/>
              <w:spacing w:line="240" w:lineRule="auto" w:before="20" w:after="20"/>
              <w:jc w:val="left"/>
            </w:pPr>
            <w:r>
              <w:rPr>
                <w:rFonts w:ascii="Arial" w:hAnsi="Arial"/>
                <w:sz w:val="20"/>
              </w:rPr>
              <w:t xml:space="preserve">Layer1.pass….</w:t>
            </w:r>
          </w:p>
        </w:tc>
        <w:tc>
          <w:tcPr>
            <w:tcW w:type="dxa" w:w="1962"/>
          </w:tcPr>
          <w:p>
            <w:pPr>
              <w:pStyle w:val="Compact"/>
              <w:spacing w:line="240" w:lineRule="auto" w:before="20" w:after="20"/>
              <w:jc w:val="left"/>
            </w:pPr>
            <w:r>
              <w:rPr>
                <w:rFonts w:ascii="Arial" w:hAnsi="Arial"/>
                <w:sz w:val="20"/>
              </w:rPr>
              <w:t xml:space="preserve">BD.among.pass….</w:t>
            </w:r>
          </w:p>
        </w:tc>
        <w:tc>
          <w:tcPr>
            <w:tcW w:type="dxa" w:w="2071"/>
          </w:tcPr>
          <w:p>
            <w:pPr>
              <w:pStyle w:val="Compact"/>
              <w:spacing w:line="240" w:lineRule="auto" w:before="20" w:after="20"/>
              <w:jc w:val="left"/>
            </w:pPr>
            <w:r>
              <w:rPr>
                <w:rFonts w:ascii="Arial" w:hAnsi="Arial"/>
                <w:sz w:val="20"/>
              </w:rPr>
              <w:t xml:space="preserve">Declare.usable….</w:t>
            </w:r>
          </w:p>
        </w:tc>
        <w:tc>
          <w:tcPr>
            <w:tcW w:type="dxa" w:w="2180"/>
          </w:tcPr>
          <w:p>
            <w:pPr>
              <w:pStyle w:val="Compact"/>
              <w:spacing w:line="240" w:lineRule="auto" w:before="20" w:after="20"/>
              <w:jc w:val="left"/>
            </w:pPr>
            <w:r>
              <w:rPr>
                <w:rFonts w:ascii="Arial" w:hAnsi="Arial"/>
                <w:sz w:val="20"/>
              </w:rPr>
              <w:t xml:space="preserve">BD.among.usable….</w:t>
            </w:r>
          </w:p>
        </w:tc>
        <w:tc>
          <w:tcPr>
            <w:tcW w:type="dxa" w:w="1962"/>
          </w:tcPr>
          <w:p>
            <w:pPr>
              <w:pStyle w:val="Compact"/>
              <w:spacing w:line="240" w:lineRule="auto" w:before="20" w:after="20"/>
              <w:jc w:val="right"/>
            </w:pPr>
            <w:r>
              <w:rPr>
                <w:rFonts w:ascii="Arial" w:hAnsi="Arial"/>
                <w:sz w:val="20"/>
              </w:rPr>
              <w:t xml:space="preserve">Median.half.width</w:t>
            </w:r>
          </w:p>
        </w:tc>
      </w:tr>
      <w:tr>
        <w:tc>
          <w:tcPr>
            <w:tcW w:type="dxa" w:w="3271"/>
          </w:tcPr>
          <w:p>
            <w:pPr>
              <w:pStyle w:val="Compact"/>
              <w:spacing w:line="240" w:lineRule="auto" w:before="20" w:after="20"/>
              <w:jc w:val="left"/>
            </w:pPr>
            <w:r>
              <w:rPr>
                <w:rFonts w:ascii="Arial" w:hAnsi="Arial"/>
                <w:sz w:val="20"/>
              </w:rPr>
              <w:t xml:space="preserve">K = 12 negative controls</w:t>
            </w:r>
          </w:p>
        </w:tc>
        <w:tc>
          <w:tcPr>
            <w:tcW w:type="dxa" w:w="763"/>
          </w:tcPr>
          <w:p>
            <w:pPr>
              <w:pStyle w:val="Compact"/>
              <w:spacing w:line="240" w:lineRule="auto" w:before="20" w:after="20"/>
              <w:jc w:val="right"/>
            </w:pPr>
            <w:r>
              <w:rPr>
                <w:rFonts w:ascii="Arial" w:hAnsi="Arial"/>
                <w:sz w:val="20"/>
              </w:rPr>
              <w:t xml:space="preserve">640000</w:t>
            </w:r>
          </w:p>
        </w:tc>
        <w:tc>
          <w:tcPr>
            <w:tcW w:type="dxa" w:w="1745"/>
          </w:tcPr>
          <w:p>
            <w:pPr>
              <w:pStyle w:val="Compact"/>
              <w:spacing w:line="240" w:lineRule="auto" w:before="20" w:after="20"/>
              <w:jc w:val="left"/>
            </w:pPr>
            <w:r>
              <w:rPr>
                <w:rFonts w:ascii="Arial" w:hAnsi="Arial"/>
                <w:sz w:val="20"/>
              </w:rPr>
              <w:t xml:space="preserve">62.4</w:t>
            </w:r>
          </w:p>
        </w:tc>
        <w:tc>
          <w:tcPr>
            <w:tcW w:type="dxa" w:w="1962"/>
          </w:tcPr>
          <w:p>
            <w:pPr>
              <w:pStyle w:val="Compact"/>
              <w:spacing w:line="240" w:lineRule="auto" w:before="20" w:after="20"/>
              <w:jc w:val="left"/>
            </w:pPr>
            <w:r>
              <w:rPr>
                <w:rFonts w:ascii="Arial" w:hAnsi="Arial"/>
                <w:sz w:val="20"/>
              </w:rPr>
              <w:t xml:space="preserve">36.3</w:t>
            </w:r>
          </w:p>
        </w:tc>
        <w:tc>
          <w:tcPr>
            <w:tcW w:type="dxa" w:w="2071"/>
          </w:tcPr>
          <w:p>
            <w:pPr>
              <w:pStyle w:val="Compact"/>
              <w:spacing w:line="240" w:lineRule="auto" w:before="20" w:after="20"/>
              <w:jc w:val="left"/>
            </w:pPr>
            <w:r>
              <w:rPr>
                <w:rFonts w:ascii="Arial" w:hAnsi="Arial"/>
                <w:sz w:val="20"/>
              </w:rPr>
              <w:t xml:space="preserve">22.4</w:t>
            </w:r>
          </w:p>
        </w:tc>
        <w:tc>
          <w:tcPr>
            <w:tcW w:type="dxa" w:w="2180"/>
          </w:tcPr>
          <w:p>
            <w:pPr>
              <w:pStyle w:val="Compact"/>
              <w:spacing w:line="240" w:lineRule="auto" w:before="20" w:after="20"/>
              <w:jc w:val="left"/>
            </w:pPr>
            <w:r>
              <w:rPr>
                <w:rFonts w:ascii="Arial" w:hAnsi="Arial"/>
                <w:sz w:val="20"/>
              </w:rPr>
              <w:t xml:space="preserve">3.46</w:t>
            </w:r>
          </w:p>
        </w:tc>
        <w:tc>
          <w:tcPr>
            <w:tcW w:type="dxa" w:w="1962"/>
          </w:tcPr>
          <w:p>
            <w:pPr>
              <w:pStyle w:val="Compact"/>
              <w:spacing w:line="240" w:lineRule="auto" w:before="20" w:after="20"/>
              <w:jc w:val="right"/>
            </w:pPr>
            <w:r>
              <w:rPr>
                <w:rFonts w:ascii="Arial" w:hAnsi="Arial"/>
                <w:sz w:val="20"/>
              </w:rPr>
              <w:t xml:space="preserve">0.144</w:t>
            </w:r>
          </w:p>
        </w:tc>
      </w:tr>
      <w:tr>
        <w:tc>
          <w:tcPr>
            <w:tcW w:type="dxa" w:w="3271"/>
          </w:tcPr>
          <w:p>
            <w:pPr>
              <w:pStyle w:val="Compact"/>
              <w:spacing w:line="240" w:lineRule="auto" w:before="20" w:after="20"/>
              <w:jc w:val="left"/>
            </w:pPr>
            <w:r>
              <w:rPr>
                <w:rFonts w:ascii="Arial" w:hAnsi="Arial"/>
                <w:sz w:val="20"/>
              </w:rPr>
              <w:t xml:space="preserve">K = 25 negative controls</w:t>
            </w:r>
          </w:p>
        </w:tc>
        <w:tc>
          <w:tcPr>
            <w:tcW w:type="dxa" w:w="763"/>
          </w:tcPr>
          <w:p>
            <w:pPr>
              <w:pStyle w:val="Compact"/>
              <w:spacing w:line="240" w:lineRule="auto" w:before="20" w:after="20"/>
              <w:jc w:val="right"/>
            </w:pPr>
            <w:r>
              <w:rPr>
                <w:rFonts w:ascii="Arial" w:hAnsi="Arial"/>
                <w:sz w:val="20"/>
              </w:rPr>
              <w:t xml:space="preserve">640000</w:t>
            </w:r>
          </w:p>
        </w:tc>
        <w:tc>
          <w:tcPr>
            <w:tcW w:type="dxa" w:w="1745"/>
          </w:tcPr>
          <w:p>
            <w:pPr>
              <w:pStyle w:val="Compact"/>
              <w:spacing w:line="240" w:lineRule="auto" w:before="20" w:after="20"/>
              <w:jc w:val="left"/>
            </w:pPr>
            <w:r>
              <w:rPr>
                <w:rFonts w:ascii="Arial" w:hAnsi="Arial"/>
                <w:sz w:val="20"/>
              </w:rPr>
              <w:t xml:space="preserve">61.8</w:t>
            </w:r>
          </w:p>
        </w:tc>
        <w:tc>
          <w:tcPr>
            <w:tcW w:type="dxa" w:w="1962"/>
          </w:tcPr>
          <w:p>
            <w:pPr>
              <w:pStyle w:val="Compact"/>
              <w:spacing w:line="240" w:lineRule="auto" w:before="20" w:after="20"/>
              <w:jc w:val="left"/>
            </w:pPr>
            <w:r>
              <w:rPr>
                <w:rFonts w:ascii="Arial" w:hAnsi="Arial"/>
                <w:sz w:val="20"/>
              </w:rPr>
              <w:t xml:space="preserve">35.9</w:t>
            </w:r>
          </w:p>
        </w:tc>
        <w:tc>
          <w:tcPr>
            <w:tcW w:type="dxa" w:w="2071"/>
          </w:tcPr>
          <w:p>
            <w:pPr>
              <w:pStyle w:val="Compact"/>
              <w:spacing w:line="240" w:lineRule="auto" w:before="20" w:after="20"/>
              <w:jc w:val="left"/>
            </w:pPr>
            <w:r>
              <w:rPr>
                <w:rFonts w:ascii="Arial" w:hAnsi="Arial"/>
                <w:sz w:val="20"/>
              </w:rPr>
              <w:t xml:space="preserve">22.1</w:t>
            </w:r>
          </w:p>
        </w:tc>
        <w:tc>
          <w:tcPr>
            <w:tcW w:type="dxa" w:w="2180"/>
          </w:tcPr>
          <w:p>
            <w:pPr>
              <w:pStyle w:val="Compact"/>
              <w:spacing w:line="240" w:lineRule="auto" w:before="20" w:after="20"/>
              <w:jc w:val="left"/>
            </w:pPr>
            <w:r>
              <w:rPr>
                <w:rFonts w:ascii="Arial" w:hAnsi="Arial"/>
                <w:sz w:val="20"/>
              </w:rPr>
              <w:t xml:space="preserve">3.00</w:t>
            </w:r>
          </w:p>
        </w:tc>
        <w:tc>
          <w:tcPr>
            <w:tcW w:type="dxa" w:w="1962"/>
          </w:tcPr>
          <w:p>
            <w:pPr>
              <w:pStyle w:val="Compact"/>
              <w:spacing w:line="240" w:lineRule="auto" w:before="20" w:after="20"/>
              <w:jc w:val="right"/>
            </w:pPr>
            <w:r>
              <w:rPr>
                <w:rFonts w:ascii="Arial" w:hAnsi="Arial"/>
                <w:sz w:val="20"/>
              </w:rPr>
              <w:t xml:space="preserve">0.091</w:t>
            </w:r>
          </w:p>
        </w:tc>
      </w:tr>
      <w:tr>
        <w:tc>
          <w:tcPr>
            <w:tcW w:type="dxa" w:w="3271"/>
          </w:tcPr>
          <w:p>
            <w:pPr>
              <w:pStyle w:val="Compact"/>
              <w:spacing w:line="240" w:lineRule="auto" w:before="20" w:after="20"/>
              <w:jc w:val="left"/>
            </w:pPr>
            <w:r>
              <w:rPr>
                <w:rFonts w:ascii="Arial" w:hAnsi="Arial"/>
                <w:sz w:val="20"/>
              </w:rPr>
              <w:t xml:space="preserve">K = 50 negative controls</w:t>
            </w:r>
          </w:p>
        </w:tc>
        <w:tc>
          <w:tcPr>
            <w:tcW w:type="dxa" w:w="763"/>
          </w:tcPr>
          <w:p>
            <w:pPr>
              <w:pStyle w:val="Compact"/>
              <w:spacing w:line="240" w:lineRule="auto" w:before="20" w:after="20"/>
              <w:jc w:val="right"/>
            </w:pPr>
            <w:r>
              <w:rPr>
                <w:rFonts w:ascii="Arial" w:hAnsi="Arial"/>
                <w:sz w:val="20"/>
              </w:rPr>
              <w:t xml:space="preserve">640000</w:t>
            </w:r>
          </w:p>
        </w:tc>
        <w:tc>
          <w:tcPr>
            <w:tcW w:type="dxa" w:w="1745"/>
          </w:tcPr>
          <w:p>
            <w:pPr>
              <w:pStyle w:val="Compact"/>
              <w:spacing w:line="240" w:lineRule="auto" w:before="20" w:after="20"/>
              <w:jc w:val="left"/>
            </w:pPr>
            <w:r>
              <w:rPr>
                <w:rFonts w:ascii="Arial" w:hAnsi="Arial"/>
                <w:sz w:val="20"/>
              </w:rPr>
              <w:t xml:space="preserve">61.3</w:t>
            </w:r>
          </w:p>
        </w:tc>
        <w:tc>
          <w:tcPr>
            <w:tcW w:type="dxa" w:w="1962"/>
          </w:tcPr>
          <w:p>
            <w:pPr>
              <w:pStyle w:val="Compact"/>
              <w:spacing w:line="240" w:lineRule="auto" w:before="20" w:after="20"/>
              <w:jc w:val="left"/>
            </w:pPr>
            <w:r>
              <w:rPr>
                <w:rFonts w:ascii="Arial" w:hAnsi="Arial"/>
                <w:sz w:val="20"/>
              </w:rPr>
              <w:t xml:space="preserve">35.8</w:t>
            </w:r>
          </w:p>
        </w:tc>
        <w:tc>
          <w:tcPr>
            <w:tcW w:type="dxa" w:w="2071"/>
          </w:tcPr>
          <w:p>
            <w:pPr>
              <w:pStyle w:val="Compact"/>
              <w:spacing w:line="240" w:lineRule="auto" w:before="20" w:after="20"/>
              <w:jc w:val="left"/>
            </w:pPr>
            <w:r>
              <w:rPr>
                <w:rFonts w:ascii="Arial" w:hAnsi="Arial"/>
                <w:sz w:val="20"/>
              </w:rPr>
              <w:t xml:space="preserve">21.8</w:t>
            </w:r>
          </w:p>
        </w:tc>
        <w:tc>
          <w:tcPr>
            <w:tcW w:type="dxa" w:w="2180"/>
          </w:tcPr>
          <w:p>
            <w:pPr>
              <w:pStyle w:val="Compact"/>
              <w:spacing w:line="240" w:lineRule="auto" w:before="20" w:after="20"/>
              <w:jc w:val="left"/>
            </w:pPr>
            <w:r>
              <w:rPr>
                <w:rFonts w:ascii="Arial" w:hAnsi="Arial"/>
                <w:sz w:val="20"/>
              </w:rPr>
              <w:t xml:space="preserve">2.59</w:t>
            </w:r>
          </w:p>
        </w:tc>
        <w:tc>
          <w:tcPr>
            <w:tcW w:type="dxa" w:w="1962"/>
          </w:tcPr>
          <w:p>
            <w:pPr>
              <w:pStyle w:val="Compact"/>
              <w:spacing w:line="240" w:lineRule="auto" w:before="20" w:after="20"/>
              <w:jc w:val="right"/>
            </w:pPr>
            <w:r>
              <w:rPr>
                <w:rFonts w:ascii="Arial" w:hAnsi="Arial"/>
                <w:sz w:val="20"/>
              </w:rPr>
              <w:t xml:space="preserve">0.060</w:t>
            </w:r>
          </w:p>
        </w:tc>
      </w:tr>
      <w:tr>
        <w:tc>
          <w:tcPr>
            <w:tcW w:type="dxa" w:w="3271"/>
          </w:tcPr>
          <w:p>
            <w:pPr>
              <w:pStyle w:val="Compact"/>
              <w:spacing w:line="240" w:lineRule="auto" w:before="20" w:after="20"/>
              <w:jc w:val="left"/>
            </w:pPr>
            <w:r>
              <w:rPr>
                <w:rFonts w:ascii="Arial" w:hAnsi="Arial"/>
                <w:sz w:val="20"/>
              </w:rPr>
              <w:t xml:space="preserve">bias exchangeability held</w:t>
            </w:r>
          </w:p>
        </w:tc>
        <w:tc>
          <w:tcPr>
            <w:tcW w:type="dxa" w:w="763"/>
          </w:tcPr>
          <w:p>
            <w:pPr>
              <w:pStyle w:val="Compact"/>
              <w:spacing w:line="240" w:lineRule="auto" w:before="20" w:after="20"/>
              <w:jc w:val="right"/>
            </w:pPr>
            <w:r>
              <w:rPr>
                <w:rFonts w:ascii="Arial" w:hAnsi="Arial"/>
                <w:sz w:val="20"/>
              </w:rPr>
              <w:t xml:space="preserve">960000</w:t>
            </w:r>
          </w:p>
        </w:tc>
        <w:tc>
          <w:tcPr>
            <w:tcW w:type="dxa" w:w="1745"/>
          </w:tcPr>
          <w:p>
            <w:pPr>
              <w:pStyle w:val="Compact"/>
              <w:spacing w:line="240" w:lineRule="auto" w:before="20" w:after="20"/>
              <w:jc w:val="left"/>
            </w:pPr>
            <w:r>
              <w:rPr>
                <w:rFonts w:ascii="Arial" w:hAnsi="Arial"/>
                <w:sz w:val="20"/>
              </w:rPr>
              <w:t xml:space="preserve">60.4</w:t>
            </w:r>
          </w:p>
        </w:tc>
        <w:tc>
          <w:tcPr>
            <w:tcW w:type="dxa" w:w="1962"/>
          </w:tcPr>
          <w:p>
            <w:pPr>
              <w:pStyle w:val="Compact"/>
              <w:spacing w:line="240" w:lineRule="auto" w:before="20" w:after="20"/>
              <w:jc w:val="left"/>
            </w:pPr>
            <w:r>
              <w:rPr>
                <w:rFonts w:ascii="Arial" w:hAnsi="Arial"/>
                <w:sz w:val="20"/>
              </w:rPr>
              <w:t xml:space="preserve">35.5</w:t>
            </w:r>
          </w:p>
        </w:tc>
        <w:tc>
          <w:tcPr>
            <w:tcW w:type="dxa" w:w="2071"/>
          </w:tcPr>
          <w:p>
            <w:pPr>
              <w:pStyle w:val="Compact"/>
              <w:spacing w:line="240" w:lineRule="auto" w:before="20" w:after="20"/>
              <w:jc w:val="left"/>
            </w:pPr>
            <w:r>
              <w:rPr>
                <w:rFonts w:ascii="Arial" w:hAnsi="Arial"/>
                <w:sz w:val="20"/>
              </w:rPr>
              <w:t xml:space="preserve">19.9</w:t>
            </w:r>
          </w:p>
        </w:tc>
        <w:tc>
          <w:tcPr>
            <w:tcW w:type="dxa" w:w="2180"/>
          </w:tcPr>
          <w:p>
            <w:pPr>
              <w:pStyle w:val="Compact"/>
              <w:spacing w:line="240" w:lineRule="auto" w:before="20" w:after="20"/>
              <w:jc w:val="left"/>
            </w:pPr>
            <w:r>
              <w:rPr>
                <w:rFonts w:ascii="Arial" w:hAnsi="Arial"/>
                <w:sz w:val="20"/>
              </w:rPr>
              <w:t xml:space="preserve">1.39</w:t>
            </w:r>
          </w:p>
        </w:tc>
        <w:tc>
          <w:tcPr>
            <w:tcW w:type="dxa" w:w="1962"/>
          </w:tcPr>
          <w:p>
            <w:pPr>
              <w:pStyle w:val="Compact"/>
              <w:spacing w:line="240" w:lineRule="auto" w:before="20" w:after="20"/>
              <w:jc w:val="right"/>
            </w:pPr>
            <w:r>
              <w:rPr>
                <w:rFonts w:ascii="Arial" w:hAnsi="Arial"/>
                <w:sz w:val="20"/>
              </w:rPr>
              <w:t xml:space="preserve">0.090</w:t>
            </w:r>
          </w:p>
        </w:tc>
      </w:tr>
      <w:tr>
        <w:tc>
          <w:tcPr>
            <w:tcW w:type="dxa" w:w="3271"/>
          </w:tcPr>
          <w:p>
            <w:pPr>
              <w:pStyle w:val="Compact"/>
              <w:spacing w:line="240" w:lineRule="auto" w:before="20" w:after="20"/>
              <w:jc w:val="left"/>
            </w:pPr>
            <w:r>
              <w:rPr>
                <w:rFonts w:ascii="Arial" w:hAnsi="Arial"/>
                <w:sz w:val="20"/>
              </w:rPr>
              <w:t xml:space="preserve">30% exchangeability violation</w:t>
            </w:r>
          </w:p>
        </w:tc>
        <w:tc>
          <w:tcPr>
            <w:tcW w:type="dxa" w:w="763"/>
          </w:tcPr>
          <w:p>
            <w:pPr>
              <w:pStyle w:val="Compact"/>
              <w:spacing w:line="240" w:lineRule="auto" w:before="20" w:after="20"/>
              <w:jc w:val="right"/>
            </w:pPr>
            <w:r>
              <w:rPr>
                <w:rFonts w:ascii="Arial" w:hAnsi="Arial"/>
                <w:sz w:val="20"/>
              </w:rPr>
              <w:t xml:space="preserve">960000</w:t>
            </w:r>
          </w:p>
        </w:tc>
        <w:tc>
          <w:tcPr>
            <w:tcW w:type="dxa" w:w="1745"/>
          </w:tcPr>
          <w:p>
            <w:pPr>
              <w:pStyle w:val="Compact"/>
              <w:spacing w:line="240" w:lineRule="auto" w:before="20" w:after="20"/>
              <w:jc w:val="left"/>
            </w:pPr>
            <w:r>
              <w:rPr>
                <w:rFonts w:ascii="Arial" w:hAnsi="Arial"/>
                <w:sz w:val="20"/>
              </w:rPr>
              <w:t xml:space="preserve">63.2</w:t>
            </w:r>
          </w:p>
        </w:tc>
        <w:tc>
          <w:tcPr>
            <w:tcW w:type="dxa" w:w="1962"/>
          </w:tcPr>
          <w:p>
            <w:pPr>
              <w:pStyle w:val="Compact"/>
              <w:spacing w:line="240" w:lineRule="auto" w:before="20" w:after="20"/>
              <w:jc w:val="left"/>
            </w:pPr>
            <w:r>
              <w:rPr>
                <w:rFonts w:ascii="Arial" w:hAnsi="Arial"/>
                <w:sz w:val="20"/>
              </w:rPr>
              <w:t xml:space="preserve">36.6</w:t>
            </w:r>
          </w:p>
        </w:tc>
        <w:tc>
          <w:tcPr>
            <w:tcW w:type="dxa" w:w="2071"/>
          </w:tcPr>
          <w:p>
            <w:pPr>
              <w:pStyle w:val="Compact"/>
              <w:spacing w:line="240" w:lineRule="auto" w:before="20" w:after="20"/>
              <w:jc w:val="left"/>
            </w:pPr>
            <w:r>
              <w:rPr>
                <w:rFonts w:ascii="Arial" w:hAnsi="Arial"/>
                <w:sz w:val="20"/>
              </w:rPr>
              <w:t xml:space="preserve">24.2</w:t>
            </w:r>
          </w:p>
        </w:tc>
        <w:tc>
          <w:tcPr>
            <w:tcW w:type="dxa" w:w="2180"/>
          </w:tcPr>
          <w:p>
            <w:pPr>
              <w:pStyle w:val="Compact"/>
              <w:spacing w:line="240" w:lineRule="auto" w:before="20" w:after="20"/>
              <w:jc w:val="left"/>
            </w:pPr>
            <w:r>
              <w:rPr>
                <w:rFonts w:ascii="Arial" w:hAnsi="Arial"/>
                <w:sz w:val="20"/>
              </w:rPr>
              <w:t xml:space="preserve">4.36</w:t>
            </w:r>
          </w:p>
        </w:tc>
        <w:tc>
          <w:tcPr>
            <w:tcW w:type="dxa" w:w="1962"/>
          </w:tcPr>
          <w:p>
            <w:pPr>
              <w:pStyle w:val="Compact"/>
              <w:spacing w:line="240" w:lineRule="auto" w:before="20" w:after="20"/>
              <w:jc w:val="right"/>
            </w:pPr>
            <w:r>
              <w:rPr>
                <w:rFonts w:ascii="Arial" w:hAnsi="Arial"/>
                <w:sz w:val="20"/>
              </w:rPr>
              <w:t xml:space="preserve">0.087</w:t>
            </w:r>
          </w:p>
        </w:tc>
      </w:tr>
      <w:tr>
        <w:tc>
          <w:tcPr>
            <w:tcW w:type="dxa" w:w="3271"/>
          </w:tcPr>
          <w:p>
            <w:pPr>
              <w:pStyle w:val="Compact"/>
              <w:spacing w:line="240" w:lineRule="auto" w:before="20" w:after="20"/>
              <w:jc w:val="left"/>
            </w:pPr>
            <w:r>
              <w:rPr>
                <w:rFonts w:ascii="Arial" w:hAnsi="Arial"/>
                <w:sz w:val="20"/>
              </w:rPr>
              <w:t xml:space="preserve">sigma_ps = 0.06</w:t>
            </w:r>
          </w:p>
        </w:tc>
        <w:tc>
          <w:tcPr>
            <w:tcW w:type="dxa" w:w="763"/>
          </w:tcPr>
          <w:p>
            <w:pPr>
              <w:pStyle w:val="Compact"/>
              <w:spacing w:line="240" w:lineRule="auto" w:before="20" w:after="20"/>
              <w:jc w:val="right"/>
            </w:pPr>
            <w:r>
              <w:rPr>
                <w:rFonts w:ascii="Arial" w:hAnsi="Arial"/>
                <w:sz w:val="20"/>
              </w:rPr>
              <w:t xml:space="preserve">960000</w:t>
            </w:r>
          </w:p>
        </w:tc>
        <w:tc>
          <w:tcPr>
            <w:tcW w:type="dxa" w:w="1745"/>
          </w:tcPr>
          <w:p>
            <w:pPr>
              <w:pStyle w:val="Compact"/>
              <w:spacing w:line="240" w:lineRule="auto" w:before="20" w:after="20"/>
              <w:jc w:val="left"/>
            </w:pPr>
            <w:r>
              <w:rPr>
                <w:rFonts w:ascii="Arial" w:hAnsi="Arial"/>
                <w:sz w:val="20"/>
              </w:rPr>
              <w:t xml:space="preserve">69.9</w:t>
            </w:r>
          </w:p>
        </w:tc>
        <w:tc>
          <w:tcPr>
            <w:tcW w:type="dxa" w:w="1962"/>
          </w:tcPr>
          <w:p>
            <w:pPr>
              <w:pStyle w:val="Compact"/>
              <w:spacing w:line="240" w:lineRule="auto" w:before="20" w:after="20"/>
              <w:jc w:val="left"/>
            </w:pPr>
            <w:r>
              <w:rPr>
                <w:rFonts w:ascii="Arial" w:hAnsi="Arial"/>
                <w:sz w:val="20"/>
              </w:rPr>
              <w:t xml:space="preserve">38.4</w:t>
            </w:r>
          </w:p>
        </w:tc>
        <w:tc>
          <w:tcPr>
            <w:tcW w:type="dxa" w:w="2071"/>
          </w:tcPr>
          <w:p>
            <w:pPr>
              <w:pStyle w:val="Compact"/>
              <w:spacing w:line="240" w:lineRule="auto" w:before="20" w:after="20"/>
              <w:jc w:val="left"/>
            </w:pPr>
            <w:r>
              <w:rPr>
                <w:rFonts w:ascii="Arial" w:hAnsi="Arial"/>
                <w:sz w:val="20"/>
              </w:rPr>
              <w:t xml:space="preserve">23.0</w:t>
            </w:r>
          </w:p>
        </w:tc>
        <w:tc>
          <w:tcPr>
            <w:tcW w:type="dxa" w:w="2180"/>
          </w:tcPr>
          <w:p>
            <w:pPr>
              <w:pStyle w:val="Compact"/>
              <w:spacing w:line="240" w:lineRule="auto" w:before="20" w:after="20"/>
              <w:jc w:val="left"/>
            </w:pPr>
            <w:r>
              <w:rPr>
                <w:rFonts w:ascii="Arial" w:hAnsi="Arial"/>
                <w:sz w:val="20"/>
              </w:rPr>
              <w:t xml:space="preserve">2.09</w:t>
            </w:r>
          </w:p>
        </w:tc>
        <w:tc>
          <w:tcPr>
            <w:tcW w:type="dxa" w:w="1962"/>
          </w:tcPr>
          <w:p>
            <w:pPr>
              <w:pStyle w:val="Compact"/>
              <w:spacing w:line="240" w:lineRule="auto" w:before="20" w:after="20"/>
              <w:jc w:val="right"/>
            </w:pPr>
            <w:r>
              <w:rPr>
                <w:rFonts w:ascii="Arial" w:hAnsi="Arial"/>
                <w:sz w:val="20"/>
              </w:rPr>
              <w:t xml:space="preserve">0.089</w:t>
            </w:r>
          </w:p>
        </w:tc>
      </w:tr>
      <w:tr>
        <w:tc>
          <w:tcPr>
            <w:tcW w:type="dxa" w:w="3271"/>
          </w:tcPr>
          <w:p>
            <w:pPr>
              <w:pStyle w:val="Compact"/>
              <w:spacing w:line="240" w:lineRule="auto" w:before="20" w:after="20"/>
              <w:jc w:val="left"/>
            </w:pPr>
            <w:r>
              <w:rPr>
                <w:rFonts w:ascii="Arial" w:hAnsi="Arial"/>
                <w:sz w:val="20"/>
              </w:rPr>
              <w:t xml:space="preserve">sigma_ps = 0.10</w:t>
            </w:r>
          </w:p>
        </w:tc>
        <w:tc>
          <w:tcPr>
            <w:tcW w:type="dxa" w:w="763"/>
          </w:tcPr>
          <w:p>
            <w:pPr>
              <w:pStyle w:val="Compact"/>
              <w:spacing w:line="240" w:lineRule="auto" w:before="20" w:after="20"/>
              <w:jc w:val="right"/>
            </w:pPr>
            <w:r>
              <w:rPr>
                <w:rFonts w:ascii="Arial" w:hAnsi="Arial"/>
                <w:sz w:val="20"/>
              </w:rPr>
              <w:t xml:space="preserve">960000</w:t>
            </w:r>
          </w:p>
        </w:tc>
        <w:tc>
          <w:tcPr>
            <w:tcW w:type="dxa" w:w="1745"/>
          </w:tcPr>
          <w:p>
            <w:pPr>
              <w:pStyle w:val="Compact"/>
              <w:spacing w:line="240" w:lineRule="auto" w:before="20" w:after="20"/>
              <w:jc w:val="left"/>
            </w:pPr>
            <w:r>
              <w:rPr>
                <w:rFonts w:ascii="Arial" w:hAnsi="Arial"/>
                <w:sz w:val="20"/>
              </w:rPr>
              <w:t xml:space="preserve">53.8</w:t>
            </w:r>
          </w:p>
        </w:tc>
        <w:tc>
          <w:tcPr>
            <w:tcW w:type="dxa" w:w="1962"/>
          </w:tcPr>
          <w:p>
            <w:pPr>
              <w:pStyle w:val="Compact"/>
              <w:spacing w:line="240" w:lineRule="auto" w:before="20" w:after="20"/>
              <w:jc w:val="left"/>
            </w:pPr>
            <w:r>
              <w:rPr>
                <w:rFonts w:ascii="Arial" w:hAnsi="Arial"/>
                <w:sz w:val="20"/>
              </w:rPr>
              <w:t xml:space="preserve">32.9</w:t>
            </w:r>
          </w:p>
        </w:tc>
        <w:tc>
          <w:tcPr>
            <w:tcW w:type="dxa" w:w="2071"/>
          </w:tcPr>
          <w:p>
            <w:pPr>
              <w:pStyle w:val="Compact"/>
              <w:spacing w:line="240" w:lineRule="auto" w:before="20" w:after="20"/>
              <w:jc w:val="left"/>
            </w:pPr>
            <w:r>
              <w:rPr>
                <w:rFonts w:ascii="Arial" w:hAnsi="Arial"/>
                <w:sz w:val="20"/>
              </w:rPr>
              <w:t xml:space="preserve">21.2</w:t>
            </w:r>
          </w:p>
        </w:tc>
        <w:tc>
          <w:tcPr>
            <w:tcW w:type="dxa" w:w="2180"/>
          </w:tcPr>
          <w:p>
            <w:pPr>
              <w:pStyle w:val="Compact"/>
              <w:spacing w:line="240" w:lineRule="auto" w:before="20" w:after="20"/>
              <w:jc w:val="left"/>
            </w:pPr>
            <w:r>
              <w:rPr>
                <w:rFonts w:ascii="Arial" w:hAnsi="Arial"/>
                <w:sz w:val="20"/>
              </w:rPr>
              <w:t xml:space="preserve">4.02</w:t>
            </w:r>
          </w:p>
        </w:tc>
        <w:tc>
          <w:tcPr>
            <w:tcW w:type="dxa" w:w="1962"/>
          </w:tcPr>
          <w:p>
            <w:pPr>
              <w:pStyle w:val="Compact"/>
              <w:spacing w:line="240" w:lineRule="auto" w:before="20" w:after="20"/>
              <w:jc w:val="right"/>
            </w:pPr>
            <w:r>
              <w:rPr>
                <w:rFonts w:ascii="Arial" w:hAnsi="Arial"/>
                <w:sz w:val="20"/>
              </w:rPr>
              <w:t xml:space="preserve">0.088</w:t>
            </w:r>
          </w:p>
        </w:tc>
      </w:tr>
    </w:tbl>
    <w:bookmarkEnd w:id="22"/>
    <w:bookmarkStart w:id="23" w:name="X7de0a102de60095584938ec17d004bbb0179b20"/>
    <w:p>
      <w:pPr>
        <w:pStyle w:val="Heading2"/>
      </w:pPr>
      <w:r>
        <w:rPr>
          <w:rFonts w:ascii="Arial" w:hAnsi="Arial" w:eastAsia="Arial" w:cs="Arial"/>
          <w:b/>
          <w:sz w:val="24"/>
        </w:rPr>
        <w:t xml:space="preserve">eTable 4. Case-study sensitivity analyses (question 1)</w:t>
      </w:r>
    </w:p>
    <w:p>
      <w:pPr>
        <w:pStyle w:val="FirstParagraph"/>
      </w:pPr>
      <w:r>
        <w:t xml:space="preserve">Question 1 was re-estimated under three families of sensitivity analyses: leave-one-out resampling of the negative control panel, three alternative Super Learner libraries in place of the primary library, and a Gaussian-process perturbation of the propensity-score model.</w:t>
      </w:r>
    </w:p>
    <w:p>
      <w:pPr>
        <w:pStyle w:val="TableCaption"/>
      </w:pPr>
      <w:r>
        <w:t xml:space="preserve">eTable 4. Question-1 sensitivity analyses. The credible interval is reported for the Super Learner variants; the leave-one-out and Gaussian-process rows give the extremes of a range and have no interval of their own. The Gaussian-process perturbation moved the calibrated relative risk between 0.972 and 1.025 under otherwise identical settings. Every analysis left the question-1 determination at not usable as effect evidence and the question-2 determination in the mixed zone.</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Caption w:val="eTable 4. Question-1 sensitivity analyses. The credible interval is reported for the Super Learner variants; the leave-one-out and Gaussian-process rows give the extremes of a range and have no interval of their own. The Gaussian-process perturbation moved the calibrated relative risk between 0.972 and 1.025 under otherwise identical settings. Every analysis left the question-1 determination at not usable as effect evidence and the question-2 determination in the mixed zone."/>
      </w:tblPr>
      <w:tblGrid>
        <w:gridCol w:w="4454"/>
        <w:gridCol w:w="5196"/>
        <w:gridCol w:w="1038"/>
        <w:gridCol w:w="3266"/>
      </w:tblGrid>
      <w:tr>
        <w:trPr>
          <w:tblHeader w:val="on"/>
        </w:trPr>
        <w:tc>
          <w:tcPr>
            <w:tcW w:type="dxa" w:w="4454"/>
          </w:tcPr>
          <w:p>
            <w:pPr>
              <w:pStyle w:val="Compact"/>
              <w:spacing w:line="240" w:lineRule="auto" w:before="20" w:after="20"/>
              <w:jc w:val="left"/>
            </w:pPr>
            <w:r>
              <w:rPr>
                <w:rFonts w:ascii="Arial" w:hAnsi="Arial"/>
                <w:sz w:val="20"/>
              </w:rPr>
              <w:t xml:space="preserve">Analysis</w:t>
            </w:r>
          </w:p>
        </w:tc>
        <w:tc>
          <w:tcPr>
            <w:tcW w:type="dxa" w:w="5196"/>
          </w:tcPr>
          <w:p>
            <w:pPr>
              <w:pStyle w:val="Compact"/>
              <w:spacing w:line="240" w:lineRule="auto" w:before="20" w:after="20"/>
              <w:jc w:val="left"/>
            </w:pPr>
            <w:r>
              <w:rPr>
                <w:rFonts w:ascii="Arial" w:hAnsi="Arial"/>
                <w:sz w:val="20"/>
              </w:rPr>
              <w:t xml:space="preserve">Specification</w:t>
            </w:r>
          </w:p>
        </w:tc>
        <w:tc>
          <w:tcPr>
            <w:tcW w:type="dxa" w:w="1038"/>
          </w:tcPr>
          <w:p>
            <w:pPr>
              <w:pStyle w:val="Compact"/>
              <w:spacing w:line="240" w:lineRule="auto" w:before="20" w:after="20"/>
              <w:jc w:val="left"/>
            </w:pPr>
            <w:r>
              <w:rPr>
                <w:rFonts w:ascii="Arial" w:hAnsi="Arial"/>
                <w:sz w:val="20"/>
              </w:rPr>
              <w:t xml:space="preserve">BAFhat</w:t>
            </w:r>
          </w:p>
        </w:tc>
        <w:tc>
          <w:tcPr>
            <w:tcW w:type="dxa" w:w="3266"/>
          </w:tcPr>
          <w:p>
            <w:pPr>
              <w:pStyle w:val="Compact"/>
              <w:spacing w:line="240" w:lineRule="auto" w:before="20" w:after="20"/>
              <w:jc w:val="left"/>
            </w:pPr>
            <w:r>
              <w:rPr>
                <w:rFonts w:ascii="Arial" w:hAnsi="Arial"/>
                <w:sz w:val="20"/>
              </w:rPr>
              <w:t xml:space="preserve">95% credible interval</w:t>
            </w:r>
          </w:p>
        </w:tc>
      </w:tr>
      <w:tr>
        <w:tc>
          <w:tcPr>
            <w:tcW w:type="dxa" w:w="4454"/>
          </w:tcPr>
          <w:p>
            <w:pPr>
              <w:pStyle w:val="Compact"/>
              <w:spacing w:line="240" w:lineRule="auto" w:before="20" w:after="20"/>
              <w:jc w:val="left"/>
            </w:pPr>
            <w:r>
              <w:rPr>
                <w:rFonts w:ascii="Arial" w:hAnsi="Arial"/>
                <w:sz w:val="20"/>
              </w:rPr>
              <w:t xml:space="preserve">Leave-one-out panel</w:t>
            </w:r>
          </w:p>
        </w:tc>
        <w:tc>
          <w:tcPr>
            <w:tcW w:type="dxa" w:w="5196"/>
          </w:tcPr>
          <w:p>
            <w:pPr>
              <w:pStyle w:val="Compact"/>
              <w:spacing w:line="240" w:lineRule="auto" w:before="20" w:after="20"/>
              <w:jc w:val="left"/>
            </w:pPr>
            <w:r>
              <w:rPr>
                <w:rFonts w:ascii="Arial" w:hAnsi="Arial"/>
                <w:sz w:val="20"/>
              </w:rPr>
              <w:t xml:space="preserve">Minimum across the 12 panels</w:t>
            </w:r>
          </w:p>
        </w:tc>
        <w:tc>
          <w:tcPr>
            <w:tcW w:type="dxa" w:w="1038"/>
          </w:tcPr>
          <w:p>
            <w:pPr>
              <w:pStyle w:val="Compact"/>
              <w:spacing w:line="240" w:lineRule="auto" w:before="20" w:after="20"/>
              <w:jc w:val="left"/>
            </w:pPr>
            <w:r>
              <w:rPr>
                <w:rFonts w:ascii="Arial" w:hAnsi="Arial"/>
                <w:sz w:val="20"/>
              </w:rPr>
              <w:t xml:space="preserve">0.815</w:t>
            </w:r>
          </w:p>
        </w:tc>
        <w:tc>
          <w:tcPr>
            <w:tcW w:type="dxa" w:w="3266"/>
          </w:tcPr>
          <w:p>
            <w:pPr>
              <w:pStyle w:val="Compact"/>
              <w:spacing w:line="240" w:lineRule="auto" w:before="20" w:after="20"/>
              <w:jc w:val="left"/>
            </w:pPr>
            <w:r>
              <w:rPr>
                <w:rFonts w:ascii="Arial" w:hAnsi="Arial"/>
                <w:sz w:val="20"/>
              </w:rPr>
              <w:t xml:space="preserve">—</w:t>
            </w:r>
          </w:p>
        </w:tc>
      </w:tr>
      <w:tr>
        <w:tc>
          <w:tcPr>
            <w:tcW w:type="dxa" w:w="4454"/>
          </w:tcPr>
          <w:p>
            <w:pPr>
              <w:pStyle w:val="Compact"/>
              <w:spacing w:line="240" w:lineRule="auto" w:before="20" w:after="20"/>
              <w:jc w:val="left"/>
            </w:pPr>
            <w:r>
              <w:rPr>
                <w:rFonts w:ascii="Arial" w:hAnsi="Arial"/>
                <w:sz w:val="20"/>
              </w:rPr>
              <w:t xml:space="preserve">Leave-one-out panel</w:t>
            </w:r>
          </w:p>
        </w:tc>
        <w:tc>
          <w:tcPr>
            <w:tcW w:type="dxa" w:w="5196"/>
          </w:tcPr>
          <w:p>
            <w:pPr>
              <w:pStyle w:val="Compact"/>
              <w:spacing w:line="240" w:lineRule="auto" w:before="20" w:after="20"/>
              <w:jc w:val="left"/>
            </w:pPr>
            <w:r>
              <w:rPr>
                <w:rFonts w:ascii="Arial" w:hAnsi="Arial"/>
                <w:sz w:val="20"/>
              </w:rPr>
              <w:t xml:space="preserve">Maximum across the 12 panels</w:t>
            </w:r>
          </w:p>
        </w:tc>
        <w:tc>
          <w:tcPr>
            <w:tcW w:type="dxa" w:w="1038"/>
          </w:tcPr>
          <w:p>
            <w:pPr>
              <w:pStyle w:val="Compact"/>
              <w:spacing w:line="240" w:lineRule="auto" w:before="20" w:after="20"/>
              <w:jc w:val="left"/>
            </w:pPr>
            <w:r>
              <w:rPr>
                <w:rFonts w:ascii="Arial" w:hAnsi="Arial"/>
                <w:sz w:val="20"/>
              </w:rPr>
              <w:t xml:space="preserve">0.955</w:t>
            </w:r>
          </w:p>
        </w:tc>
        <w:tc>
          <w:tcPr>
            <w:tcW w:type="dxa" w:w="3266"/>
          </w:tcPr>
          <w:p>
            <w:pPr>
              <w:pStyle w:val="Compact"/>
              <w:spacing w:line="240" w:lineRule="auto" w:before="20" w:after="20"/>
              <w:jc w:val="left"/>
            </w:pPr>
            <w:r>
              <w:rPr>
                <w:rFonts w:ascii="Arial" w:hAnsi="Arial"/>
                <w:sz w:val="20"/>
              </w:rPr>
              <w:t xml:space="preserve">—</w:t>
            </w:r>
          </w:p>
        </w:tc>
      </w:tr>
      <w:tr>
        <w:tc>
          <w:tcPr>
            <w:tcW w:type="dxa" w:w="4454"/>
          </w:tcPr>
          <w:p>
            <w:pPr>
              <w:pStyle w:val="Compact"/>
              <w:spacing w:line="240" w:lineRule="auto" w:before="20" w:after="20"/>
              <w:jc w:val="left"/>
            </w:pPr>
            <w:r>
              <w:rPr>
                <w:rFonts w:ascii="Arial" w:hAnsi="Arial"/>
                <w:sz w:val="20"/>
              </w:rPr>
              <w:t xml:space="preserve">Leave-one-out panel</w:t>
            </w:r>
          </w:p>
        </w:tc>
        <w:tc>
          <w:tcPr>
            <w:tcW w:type="dxa" w:w="5196"/>
          </w:tcPr>
          <w:p>
            <w:pPr>
              <w:pStyle w:val="Compact"/>
              <w:spacing w:line="240" w:lineRule="auto" w:before="20" w:after="20"/>
              <w:jc w:val="left"/>
            </w:pPr>
            <w:r>
              <w:rPr>
                <w:rFonts w:ascii="Arial" w:hAnsi="Arial"/>
                <w:sz w:val="20"/>
              </w:rPr>
              <w:t xml:space="preserve">Falls control excluded</w:t>
            </w:r>
          </w:p>
        </w:tc>
        <w:tc>
          <w:tcPr>
            <w:tcW w:type="dxa" w:w="1038"/>
          </w:tcPr>
          <w:p>
            <w:pPr>
              <w:pStyle w:val="Compact"/>
              <w:spacing w:line="240" w:lineRule="auto" w:before="20" w:after="20"/>
              <w:jc w:val="left"/>
            </w:pPr>
            <w:r>
              <w:rPr>
                <w:rFonts w:ascii="Arial" w:hAnsi="Arial"/>
                <w:sz w:val="20"/>
              </w:rPr>
              <w:t xml:space="preserve">0.941</w:t>
            </w:r>
          </w:p>
        </w:tc>
        <w:tc>
          <w:tcPr>
            <w:tcW w:type="dxa" w:w="3266"/>
          </w:tcPr>
          <w:p>
            <w:pPr>
              <w:pStyle w:val="Compact"/>
              <w:spacing w:line="240" w:lineRule="auto" w:before="20" w:after="20"/>
              <w:jc w:val="left"/>
            </w:pPr>
            <w:r>
              <w:rPr>
                <w:rFonts w:ascii="Arial" w:hAnsi="Arial"/>
                <w:sz w:val="20"/>
              </w:rPr>
              <w:t xml:space="preserve">—</w:t>
            </w:r>
          </w:p>
        </w:tc>
      </w:tr>
      <w:tr>
        <w:tc>
          <w:tcPr>
            <w:tcW w:type="dxa" w:w="4454"/>
          </w:tcPr>
          <w:p>
            <w:pPr>
              <w:pStyle w:val="Compact"/>
              <w:spacing w:line="240" w:lineRule="auto" w:before="20" w:after="20"/>
              <w:jc w:val="left"/>
            </w:pPr>
            <w:r>
              <w:rPr>
                <w:rFonts w:ascii="Arial" w:hAnsi="Arial"/>
                <w:sz w:val="20"/>
              </w:rPr>
              <w:t xml:space="preserve">Super Learner library</w:t>
            </w:r>
          </w:p>
        </w:tc>
        <w:tc>
          <w:tcPr>
            <w:tcW w:type="dxa" w:w="5196"/>
          </w:tcPr>
          <w:p>
            <w:pPr>
              <w:pStyle w:val="Compact"/>
              <w:spacing w:line="240" w:lineRule="auto" w:before="20" w:after="20"/>
              <w:jc w:val="left"/>
            </w:pPr>
            <w:r>
              <w:rPr>
                <w:rFonts w:ascii="Arial" w:hAnsi="Arial"/>
                <w:sz w:val="20"/>
              </w:rPr>
              <w:t xml:space="preserve">SL.glm</w:t>
            </w:r>
          </w:p>
        </w:tc>
        <w:tc>
          <w:tcPr>
            <w:tcW w:type="dxa" w:w="1038"/>
          </w:tcPr>
          <w:p>
            <w:pPr>
              <w:pStyle w:val="Compact"/>
              <w:spacing w:line="240" w:lineRule="auto" w:before="20" w:after="20"/>
              <w:jc w:val="left"/>
            </w:pPr>
            <w:r>
              <w:rPr>
                <w:rFonts w:ascii="Arial" w:hAnsi="Arial"/>
                <w:sz w:val="20"/>
              </w:rPr>
              <w:t xml:space="preserve">0.871</w:t>
            </w:r>
          </w:p>
        </w:tc>
        <w:tc>
          <w:tcPr>
            <w:tcW w:type="dxa" w:w="3266"/>
          </w:tcPr>
          <w:p>
            <w:pPr>
              <w:pStyle w:val="Compact"/>
              <w:spacing w:line="240" w:lineRule="auto" w:before="20" w:after="20"/>
              <w:jc w:val="left"/>
            </w:pPr>
            <w:r>
              <w:rPr>
                <w:rFonts w:ascii="Arial" w:hAnsi="Arial"/>
                <w:sz w:val="20"/>
              </w:rPr>
              <w:t xml:space="preserve">0.391 to 0.991</w:t>
            </w:r>
          </w:p>
        </w:tc>
      </w:tr>
      <w:tr>
        <w:tc>
          <w:tcPr>
            <w:tcW w:type="dxa" w:w="4454"/>
          </w:tcPr>
          <w:p>
            <w:pPr>
              <w:pStyle w:val="Compact"/>
              <w:spacing w:line="240" w:lineRule="auto" w:before="20" w:after="20"/>
              <w:jc w:val="left"/>
            </w:pPr>
            <w:r>
              <w:rPr>
                <w:rFonts w:ascii="Arial" w:hAnsi="Arial"/>
                <w:sz w:val="20"/>
              </w:rPr>
              <w:t xml:space="preserve">Super Learner library</w:t>
            </w:r>
          </w:p>
        </w:tc>
        <w:tc>
          <w:tcPr>
            <w:tcW w:type="dxa" w:w="5196"/>
          </w:tcPr>
          <w:p>
            <w:pPr>
              <w:pStyle w:val="Compact"/>
              <w:spacing w:line="240" w:lineRule="auto" w:before="20" w:after="20"/>
              <w:jc w:val="left"/>
            </w:pPr>
            <w:r>
              <w:rPr>
                <w:rFonts w:ascii="Arial" w:hAnsi="Arial"/>
                <w:sz w:val="20"/>
              </w:rPr>
              <w:t xml:space="preserve">SL.glm + SL.gam</w:t>
            </w:r>
          </w:p>
        </w:tc>
        <w:tc>
          <w:tcPr>
            <w:tcW w:type="dxa" w:w="1038"/>
          </w:tcPr>
          <w:p>
            <w:pPr>
              <w:pStyle w:val="Compact"/>
              <w:spacing w:line="240" w:lineRule="auto" w:before="20" w:after="20"/>
              <w:jc w:val="left"/>
            </w:pPr>
            <w:r>
              <w:rPr>
                <w:rFonts w:ascii="Arial" w:hAnsi="Arial"/>
                <w:sz w:val="20"/>
              </w:rPr>
              <w:t xml:space="preserve">0.871</w:t>
            </w:r>
          </w:p>
        </w:tc>
        <w:tc>
          <w:tcPr>
            <w:tcW w:type="dxa" w:w="3266"/>
          </w:tcPr>
          <w:p>
            <w:pPr>
              <w:pStyle w:val="Compact"/>
              <w:spacing w:line="240" w:lineRule="auto" w:before="20" w:after="20"/>
              <w:jc w:val="left"/>
            </w:pPr>
            <w:r>
              <w:rPr>
                <w:rFonts w:ascii="Arial" w:hAnsi="Arial"/>
                <w:sz w:val="20"/>
              </w:rPr>
              <w:t xml:space="preserve">0.395 to 0.992</w:t>
            </w:r>
          </w:p>
        </w:tc>
      </w:tr>
      <w:tr>
        <w:tc>
          <w:tcPr>
            <w:tcW w:type="dxa" w:w="4454"/>
          </w:tcPr>
          <w:p>
            <w:pPr>
              <w:pStyle w:val="Compact"/>
              <w:spacing w:line="240" w:lineRule="auto" w:before="20" w:after="20"/>
              <w:jc w:val="left"/>
            </w:pPr>
            <w:r>
              <w:rPr>
                <w:rFonts w:ascii="Arial" w:hAnsi="Arial"/>
                <w:sz w:val="20"/>
              </w:rPr>
              <w:t xml:space="preserve">Super Learner library</w:t>
            </w:r>
          </w:p>
        </w:tc>
        <w:tc>
          <w:tcPr>
            <w:tcW w:type="dxa" w:w="5196"/>
          </w:tcPr>
          <w:p>
            <w:pPr>
              <w:pStyle w:val="Compact"/>
              <w:spacing w:line="240" w:lineRule="auto" w:before="20" w:after="20"/>
              <w:jc w:val="left"/>
            </w:pPr>
            <w:r>
              <w:rPr>
                <w:rFonts w:ascii="Arial" w:hAnsi="Arial"/>
                <w:sz w:val="20"/>
              </w:rPr>
              <w:t xml:space="preserve">SL.glm + SL.gam + SL.xgboost</w:t>
            </w:r>
          </w:p>
        </w:tc>
        <w:tc>
          <w:tcPr>
            <w:tcW w:type="dxa" w:w="1038"/>
          </w:tcPr>
          <w:p>
            <w:pPr>
              <w:pStyle w:val="Compact"/>
              <w:spacing w:line="240" w:lineRule="auto" w:before="20" w:after="20"/>
              <w:jc w:val="left"/>
            </w:pPr>
            <w:r>
              <w:rPr>
                <w:rFonts w:ascii="Arial" w:hAnsi="Arial"/>
                <w:sz w:val="20"/>
              </w:rPr>
              <w:t xml:space="preserve">0.876</w:t>
            </w:r>
          </w:p>
        </w:tc>
        <w:tc>
          <w:tcPr>
            <w:tcW w:type="dxa" w:w="3266"/>
          </w:tcPr>
          <w:p>
            <w:pPr>
              <w:pStyle w:val="Compact"/>
              <w:spacing w:line="240" w:lineRule="auto" w:before="20" w:after="20"/>
              <w:jc w:val="left"/>
            </w:pPr>
            <w:r>
              <w:rPr>
                <w:rFonts w:ascii="Arial" w:hAnsi="Arial"/>
                <w:sz w:val="20"/>
              </w:rPr>
              <w:t xml:space="preserve">0.374 to 0.994</w:t>
            </w:r>
          </w:p>
        </w:tc>
      </w:tr>
      <w:tr>
        <w:tc>
          <w:tcPr>
            <w:tcW w:type="dxa" w:w="4454"/>
          </w:tcPr>
          <w:p>
            <w:pPr>
              <w:pStyle w:val="Compact"/>
              <w:spacing w:line="240" w:lineRule="auto" w:before="20" w:after="20"/>
              <w:jc w:val="left"/>
            </w:pPr>
            <w:r>
              <w:rPr>
                <w:rFonts w:ascii="Arial" w:hAnsi="Arial"/>
                <w:sz w:val="20"/>
              </w:rPr>
              <w:t xml:space="preserve">Gaussian-process perturbation</w:t>
            </w:r>
          </w:p>
        </w:tc>
        <w:tc>
          <w:tcPr>
            <w:tcW w:type="dxa" w:w="5196"/>
          </w:tcPr>
          <w:p>
            <w:pPr>
              <w:pStyle w:val="Compact"/>
              <w:spacing w:line="240" w:lineRule="auto" w:before="20" w:after="20"/>
              <w:jc w:val="left"/>
            </w:pPr>
            <w:r>
              <w:rPr>
                <w:rFonts w:ascii="Arial" w:hAnsi="Arial"/>
                <w:sz w:val="20"/>
              </w:rPr>
              <w:t xml:space="preserve">Minimum over the perturbation grid</w:t>
            </w:r>
          </w:p>
        </w:tc>
        <w:tc>
          <w:tcPr>
            <w:tcW w:type="dxa" w:w="1038"/>
          </w:tcPr>
          <w:p>
            <w:pPr>
              <w:pStyle w:val="Compact"/>
              <w:spacing w:line="240" w:lineRule="auto" w:before="20" w:after="20"/>
              <w:jc w:val="left"/>
            </w:pPr>
            <w:r>
              <w:rPr>
                <w:rFonts w:ascii="Arial" w:hAnsi="Arial"/>
                <w:sz w:val="20"/>
              </w:rPr>
              <w:t xml:space="preserve">0.857</w:t>
            </w:r>
          </w:p>
        </w:tc>
        <w:tc>
          <w:tcPr>
            <w:tcW w:type="dxa" w:w="3266"/>
          </w:tcPr>
          <w:p>
            <w:pPr>
              <w:pStyle w:val="Compact"/>
              <w:spacing w:line="240" w:lineRule="auto" w:before="20" w:after="20"/>
              <w:jc w:val="left"/>
            </w:pPr>
            <w:r>
              <w:rPr>
                <w:rFonts w:ascii="Arial" w:hAnsi="Arial"/>
                <w:sz w:val="20"/>
              </w:rPr>
              <w:t xml:space="preserve">—</w:t>
            </w:r>
          </w:p>
        </w:tc>
      </w:tr>
      <w:tr>
        <w:tc>
          <w:tcPr>
            <w:tcW w:type="dxa" w:w="4454"/>
          </w:tcPr>
          <w:p>
            <w:pPr>
              <w:pStyle w:val="Compact"/>
              <w:spacing w:line="240" w:lineRule="auto" w:before="20" w:after="20"/>
              <w:jc w:val="left"/>
            </w:pPr>
            <w:r>
              <w:rPr>
                <w:rFonts w:ascii="Arial" w:hAnsi="Arial"/>
                <w:sz w:val="20"/>
              </w:rPr>
              <w:t xml:space="preserve">Gaussian-process perturbation</w:t>
            </w:r>
          </w:p>
        </w:tc>
        <w:tc>
          <w:tcPr>
            <w:tcW w:type="dxa" w:w="5196"/>
          </w:tcPr>
          <w:p>
            <w:pPr>
              <w:pStyle w:val="Compact"/>
              <w:spacing w:line="240" w:lineRule="auto" w:before="20" w:after="20"/>
              <w:jc w:val="left"/>
            </w:pPr>
            <w:r>
              <w:rPr>
                <w:rFonts w:ascii="Arial" w:hAnsi="Arial"/>
                <w:sz w:val="20"/>
              </w:rPr>
              <w:t xml:space="preserve">Maximum over the perturbation grid</w:t>
            </w:r>
          </w:p>
        </w:tc>
        <w:tc>
          <w:tcPr>
            <w:tcW w:type="dxa" w:w="1038"/>
          </w:tcPr>
          <w:p>
            <w:pPr>
              <w:pStyle w:val="Compact"/>
              <w:spacing w:line="240" w:lineRule="auto" w:before="20" w:after="20"/>
              <w:jc w:val="left"/>
            </w:pPr>
            <w:r>
              <w:rPr>
                <w:rFonts w:ascii="Arial" w:hAnsi="Arial"/>
                <w:sz w:val="20"/>
              </w:rPr>
              <w:t xml:space="preserve">0.951</w:t>
            </w:r>
          </w:p>
        </w:tc>
        <w:tc>
          <w:tcPr>
            <w:tcW w:type="dxa" w:w="3266"/>
          </w:tcPr>
          <w:p>
            <w:pPr>
              <w:pStyle w:val="Compact"/>
              <w:spacing w:line="240" w:lineRule="auto" w:before="20" w:after="20"/>
              <w:jc w:val="left"/>
            </w:pPr>
            <w:r>
              <w:rPr>
                <w:rFonts w:ascii="Arial" w:hAnsi="Arial"/>
                <w:sz w:val="20"/>
              </w:rPr>
              <w:t xml:space="preserve">—</w:t>
            </w:r>
          </w:p>
        </w:tc>
      </w:tr>
    </w:tbl>
    <w:bookmarkEnd w:id="23"/>
    <w:bookmarkStart w:id="24" w:name="Xb939c147084c054354984f78f3cbc3be2b48923"/>
    <w:p>
      <w:pPr>
        <w:pStyle w:val="Heading2"/>
      </w:pPr>
      <w:r>
        <w:rPr>
          <w:rFonts w:ascii="Arial" w:hAnsi="Arial" w:eastAsia="Arial" w:cs="Arial"/>
          <w:b/>
          <w:sz w:val="24"/>
        </w:rPr>
        <w:t xml:space="preserve">eTable 5. Case-study estimation output for the two clinical questions</w:t>
      </w:r>
    </w:p>
    <w:p>
      <w:pPr>
        <w:pStyle w:val="TableCaption"/>
      </w:pPr>
      <w:r>
        <w:t xml:space="preserve">eTable 5. Full estimation output for the two clinical questions.</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Caption w:val="eTable 5. Full estimation output for the two clinical questions."/>
      </w:tblPr>
      <w:tblGrid>
        <w:gridCol w:w="3731"/>
        <w:gridCol w:w="1083"/>
        <w:gridCol w:w="841"/>
        <w:gridCol w:w="841"/>
        <w:gridCol w:w="841"/>
        <w:gridCol w:w="841"/>
        <w:gridCol w:w="841"/>
        <w:gridCol w:w="1324"/>
        <w:gridCol w:w="3611"/>
      </w:tblGrid>
      <w:tr>
        <w:trPr>
          <w:tblHeader w:val="on"/>
        </w:trPr>
        <w:tc>
          <w:tcPr>
            <w:tcW w:type="dxa" w:w="3731"/>
          </w:tcPr>
          <w:p>
            <w:pPr>
              <w:pStyle w:val="Compact"/>
              <w:spacing w:line="240" w:lineRule="auto" w:before="20" w:after="20"/>
              <w:jc w:val="left"/>
            </w:pPr>
            <w:r>
              <w:rPr>
                <w:rFonts w:ascii="Arial" w:hAnsi="Arial"/>
                <w:sz w:val="20"/>
              </w:rPr>
              <w:t xml:space="preserve">Question</w:t>
            </w:r>
          </w:p>
        </w:tc>
        <w:tc>
          <w:tcPr>
            <w:tcW w:type="dxa" w:w="1083"/>
          </w:tcPr>
          <w:p>
            <w:pPr>
              <w:pStyle w:val="Compact"/>
              <w:spacing w:line="240" w:lineRule="auto" w:before="20" w:after="20"/>
              <w:jc w:val="right"/>
            </w:pPr>
            <w:r>
              <w:rPr>
                <w:rFonts w:ascii="Arial" w:hAnsi="Arial"/>
                <w:sz w:val="20"/>
              </w:rPr>
              <w:t xml:space="preserve">Uncal.RR</w:t>
            </w:r>
          </w:p>
        </w:tc>
        <w:tc>
          <w:tcPr>
            <w:tcW w:type="dxa" w:w="841"/>
          </w:tcPr>
          <w:p>
            <w:pPr>
              <w:pStyle w:val="Compact"/>
              <w:spacing w:line="240" w:lineRule="auto" w:before="20" w:after="20"/>
              <w:jc w:val="right"/>
            </w:pPr>
            <w:r>
              <w:rPr>
                <w:rFonts w:ascii="Arial" w:hAnsi="Arial"/>
                <w:sz w:val="20"/>
              </w:rPr>
              <w:t xml:space="preserve">Cal.RR</w:t>
            </w:r>
          </w:p>
        </w:tc>
        <w:tc>
          <w:tcPr>
            <w:tcW w:type="dxa" w:w="841"/>
          </w:tcPr>
          <w:p>
            <w:pPr>
              <w:pStyle w:val="Compact"/>
              <w:spacing w:line="240" w:lineRule="auto" w:before="20" w:after="20"/>
              <w:jc w:val="right"/>
            </w:pPr>
            <w:r>
              <w:rPr>
                <w:rFonts w:ascii="Arial" w:hAnsi="Arial"/>
                <w:sz w:val="20"/>
              </w:rPr>
              <w:t xml:space="preserve">Cal.P</w:t>
            </w:r>
          </w:p>
        </w:tc>
        <w:tc>
          <w:tcPr>
            <w:tcW w:type="dxa" w:w="841"/>
          </w:tcPr>
          <w:p>
            <w:pPr>
              <w:pStyle w:val="Compact"/>
              <w:spacing w:line="240" w:lineRule="auto" w:before="20" w:after="20"/>
              <w:jc w:val="right"/>
            </w:pPr>
            <w:r>
              <w:rPr>
                <w:rFonts w:ascii="Arial" w:hAnsi="Arial"/>
                <w:sz w:val="20"/>
              </w:rPr>
              <w:t xml:space="preserve">BAFhat</w:t>
            </w:r>
          </w:p>
        </w:tc>
        <w:tc>
          <w:tcPr>
            <w:tcW w:type="dxa" w:w="841"/>
          </w:tcPr>
          <w:p>
            <w:pPr>
              <w:pStyle w:val="Compact"/>
              <w:spacing w:line="240" w:lineRule="auto" w:before="20" w:after="20"/>
              <w:jc w:val="right"/>
            </w:pPr>
            <w:r>
              <w:rPr>
                <w:rFonts w:ascii="Arial" w:hAnsi="Arial"/>
                <w:sz w:val="20"/>
              </w:rPr>
              <w:t xml:space="preserve">BAF.lo</w:t>
            </w:r>
          </w:p>
        </w:tc>
        <w:tc>
          <w:tcPr>
            <w:tcW w:type="dxa" w:w="841"/>
          </w:tcPr>
          <w:p>
            <w:pPr>
              <w:pStyle w:val="Compact"/>
              <w:spacing w:line="240" w:lineRule="auto" w:before="20" w:after="20"/>
              <w:jc w:val="right"/>
            </w:pPr>
            <w:r>
              <w:rPr>
                <w:rFonts w:ascii="Arial" w:hAnsi="Arial"/>
                <w:sz w:val="20"/>
              </w:rPr>
              <w:t xml:space="preserve">BAF.hi</w:t>
            </w:r>
          </w:p>
        </w:tc>
        <w:tc>
          <w:tcPr>
            <w:tcW w:type="dxa" w:w="1324"/>
          </w:tcPr>
          <w:p>
            <w:pPr>
              <w:pStyle w:val="Compact"/>
              <w:spacing w:line="240" w:lineRule="auto" w:before="20" w:after="20"/>
              <w:jc w:val="right"/>
            </w:pPr>
            <w:r>
              <w:rPr>
                <w:rFonts w:ascii="Arial" w:hAnsi="Arial"/>
                <w:sz w:val="20"/>
              </w:rPr>
              <w:t xml:space="preserve">p.bias.dom</w:t>
            </w:r>
          </w:p>
        </w:tc>
        <w:tc>
          <w:tcPr>
            <w:tcW w:type="dxa" w:w="3611"/>
          </w:tcPr>
          <w:p>
            <w:pPr>
              <w:pStyle w:val="Compact"/>
              <w:spacing w:line="240" w:lineRule="auto" w:before="20" w:after="20"/>
              <w:jc w:val="left"/>
            </w:pPr>
            <w:r>
              <w:rPr>
                <w:rFonts w:ascii="Arial" w:hAnsi="Arial"/>
                <w:sz w:val="20"/>
              </w:rPr>
              <w:t xml:space="preserve">Verdict</w:t>
            </w:r>
          </w:p>
        </w:tc>
      </w:tr>
      <w:tr>
        <w:tc>
          <w:tcPr>
            <w:tcW w:type="dxa" w:w="3731"/>
          </w:tcPr>
          <w:p>
            <w:pPr>
              <w:pStyle w:val="Compact"/>
              <w:spacing w:line="240" w:lineRule="auto" w:before="20" w:after="20"/>
              <w:jc w:val="left"/>
            </w:pPr>
            <w:r>
              <w:rPr>
                <w:rFonts w:ascii="Arial" w:hAnsi="Arial"/>
                <w:sz w:val="20"/>
              </w:rPr>
              <w:t xml:space="preserve">Beta-blocker &gt;=50% target dose</w:t>
            </w:r>
          </w:p>
        </w:tc>
        <w:tc>
          <w:tcPr>
            <w:tcW w:type="dxa" w:w="1083"/>
          </w:tcPr>
          <w:p>
            <w:pPr>
              <w:pStyle w:val="Compact"/>
              <w:spacing w:line="240" w:lineRule="auto" w:before="20" w:after="20"/>
              <w:jc w:val="right"/>
            </w:pPr>
            <w:r>
              <w:rPr>
                <w:rFonts w:ascii="Arial" w:hAnsi="Arial"/>
                <w:sz w:val="20"/>
              </w:rPr>
              <w:t xml:space="preserve">0.831</w:t>
            </w:r>
          </w:p>
        </w:tc>
        <w:tc>
          <w:tcPr>
            <w:tcW w:type="dxa" w:w="841"/>
          </w:tcPr>
          <w:p>
            <w:pPr>
              <w:pStyle w:val="Compact"/>
              <w:spacing w:line="240" w:lineRule="auto" w:before="20" w:after="20"/>
              <w:jc w:val="right"/>
            </w:pPr>
            <w:r>
              <w:rPr>
                <w:rFonts w:ascii="Arial" w:hAnsi="Arial"/>
                <w:sz w:val="20"/>
              </w:rPr>
              <w:t xml:space="preserve">0.983</w:t>
            </w:r>
          </w:p>
        </w:tc>
        <w:tc>
          <w:tcPr>
            <w:tcW w:type="dxa" w:w="841"/>
          </w:tcPr>
          <w:p>
            <w:pPr>
              <w:pStyle w:val="Compact"/>
              <w:spacing w:line="240" w:lineRule="auto" w:before="20" w:after="20"/>
              <w:jc w:val="right"/>
            </w:pPr>
            <w:r>
              <w:rPr>
                <w:rFonts w:ascii="Arial" w:hAnsi="Arial"/>
                <w:sz w:val="20"/>
              </w:rPr>
              <w:t xml:space="preserve">0.8940</w:t>
            </w:r>
          </w:p>
        </w:tc>
        <w:tc>
          <w:tcPr>
            <w:tcW w:type="dxa" w:w="841"/>
          </w:tcPr>
          <w:p>
            <w:pPr>
              <w:pStyle w:val="Compact"/>
              <w:spacing w:line="240" w:lineRule="auto" w:before="20" w:after="20"/>
              <w:jc w:val="right"/>
            </w:pPr>
            <w:r>
              <w:rPr>
                <w:rFonts w:ascii="Arial" w:hAnsi="Arial"/>
                <w:sz w:val="20"/>
              </w:rPr>
              <w:t xml:space="preserve">0.875</w:t>
            </w:r>
          </w:p>
        </w:tc>
        <w:tc>
          <w:tcPr>
            <w:tcW w:type="dxa" w:w="841"/>
          </w:tcPr>
          <w:p>
            <w:pPr>
              <w:pStyle w:val="Compact"/>
              <w:spacing w:line="240" w:lineRule="auto" w:before="20" w:after="20"/>
              <w:jc w:val="right"/>
            </w:pPr>
            <w:r>
              <w:rPr>
                <w:rFonts w:ascii="Arial" w:hAnsi="Arial"/>
                <w:sz w:val="20"/>
              </w:rPr>
              <w:t xml:space="preserve">0.385</w:t>
            </w:r>
          </w:p>
        </w:tc>
        <w:tc>
          <w:tcPr>
            <w:tcW w:type="dxa" w:w="841"/>
          </w:tcPr>
          <w:p>
            <w:pPr>
              <w:pStyle w:val="Compact"/>
              <w:spacing w:line="240" w:lineRule="auto" w:before="20" w:after="20"/>
              <w:jc w:val="right"/>
            </w:pPr>
            <w:r>
              <w:rPr>
                <w:rFonts w:ascii="Arial" w:hAnsi="Arial"/>
                <w:sz w:val="20"/>
              </w:rPr>
              <w:t xml:space="preserve">0.992</w:t>
            </w:r>
          </w:p>
        </w:tc>
        <w:tc>
          <w:tcPr>
            <w:tcW w:type="dxa" w:w="1324"/>
          </w:tcPr>
          <w:p>
            <w:pPr>
              <w:pStyle w:val="Compact"/>
              <w:spacing w:line="240" w:lineRule="auto" w:before="20" w:after="20"/>
              <w:jc w:val="right"/>
            </w:pPr>
            <w:r>
              <w:rPr>
                <w:rFonts w:ascii="Arial" w:hAnsi="Arial"/>
                <w:sz w:val="20"/>
              </w:rPr>
              <w:t xml:space="preserve">0.999</w:t>
            </w:r>
          </w:p>
        </w:tc>
        <w:tc>
          <w:tcPr>
            <w:tcW w:type="dxa" w:w="3611"/>
          </w:tcPr>
          <w:p>
            <w:pPr>
              <w:pStyle w:val="Compact"/>
              <w:spacing w:line="240" w:lineRule="auto" w:before="20" w:after="20"/>
              <w:jc w:val="left"/>
            </w:pPr>
            <w:r>
              <w:rPr>
                <w:rFonts w:ascii="Arial" w:hAnsi="Arial"/>
                <w:sz w:val="20"/>
              </w:rPr>
              <w:t xml:space="preserve">not usable as effect evidence</w:t>
            </w:r>
          </w:p>
        </w:tc>
      </w:tr>
      <w:tr>
        <w:tc>
          <w:tcPr>
            <w:tcW w:type="dxa" w:w="3731"/>
          </w:tcPr>
          <w:p>
            <w:pPr>
              <w:pStyle w:val="Compact"/>
              <w:spacing w:line="240" w:lineRule="auto" w:before="20" w:after="20"/>
              <w:jc w:val="left"/>
            </w:pPr>
            <w:r>
              <w:rPr>
                <w:rFonts w:ascii="Arial" w:hAnsi="Arial"/>
                <w:sz w:val="20"/>
              </w:rPr>
              <w:t xml:space="preserve">GDMT &gt;=2 of 3 classes</w:t>
            </w:r>
          </w:p>
        </w:tc>
        <w:tc>
          <w:tcPr>
            <w:tcW w:type="dxa" w:w="1083"/>
          </w:tcPr>
          <w:p>
            <w:pPr>
              <w:pStyle w:val="Compact"/>
              <w:spacing w:line="240" w:lineRule="auto" w:before="20" w:after="20"/>
              <w:jc w:val="right"/>
            </w:pPr>
            <w:r>
              <w:rPr>
                <w:rFonts w:ascii="Arial" w:hAnsi="Arial"/>
                <w:sz w:val="20"/>
              </w:rPr>
              <w:t xml:space="preserve">0.682</w:t>
            </w:r>
          </w:p>
        </w:tc>
        <w:tc>
          <w:tcPr>
            <w:tcW w:type="dxa" w:w="841"/>
          </w:tcPr>
          <w:p>
            <w:pPr>
              <w:pStyle w:val="Compact"/>
              <w:spacing w:line="240" w:lineRule="auto" w:before="20" w:after="20"/>
              <w:jc w:val="right"/>
            </w:pPr>
            <w:r>
              <w:rPr>
                <w:rFonts w:ascii="Arial" w:hAnsi="Arial"/>
                <w:sz w:val="20"/>
              </w:rPr>
              <w:t xml:space="preserve">0.807</w:t>
            </w:r>
          </w:p>
        </w:tc>
        <w:tc>
          <w:tcPr>
            <w:tcW w:type="dxa" w:w="841"/>
          </w:tcPr>
          <w:p>
            <w:pPr>
              <w:pStyle w:val="Compact"/>
              <w:spacing w:line="240" w:lineRule="auto" w:before="20" w:after="20"/>
              <w:jc w:val="right"/>
            </w:pPr>
            <w:r>
              <w:rPr>
                <w:rFonts w:ascii="Arial" w:hAnsi="Arial"/>
                <w:sz w:val="20"/>
              </w:rPr>
              <w:t xml:space="preserve">0.1026</w:t>
            </w:r>
          </w:p>
        </w:tc>
        <w:tc>
          <w:tcPr>
            <w:tcW w:type="dxa" w:w="841"/>
          </w:tcPr>
          <w:p>
            <w:pPr>
              <w:pStyle w:val="Compact"/>
              <w:spacing w:line="240" w:lineRule="auto" w:before="20" w:after="20"/>
              <w:jc w:val="right"/>
            </w:pPr>
            <w:r>
              <w:rPr>
                <w:rFonts w:ascii="Arial" w:hAnsi="Arial"/>
                <w:sz w:val="20"/>
              </w:rPr>
              <w:t xml:space="preserve">0.460</w:t>
            </w:r>
          </w:p>
        </w:tc>
        <w:tc>
          <w:tcPr>
            <w:tcW w:type="dxa" w:w="841"/>
          </w:tcPr>
          <w:p>
            <w:pPr>
              <w:pStyle w:val="Compact"/>
              <w:spacing w:line="240" w:lineRule="auto" w:before="20" w:after="20"/>
              <w:jc w:val="right"/>
            </w:pPr>
            <w:r>
              <w:rPr>
                <w:rFonts w:ascii="Arial" w:hAnsi="Arial"/>
                <w:sz w:val="20"/>
              </w:rPr>
              <w:t xml:space="preserve">0.186</w:t>
            </w:r>
          </w:p>
        </w:tc>
        <w:tc>
          <w:tcPr>
            <w:tcW w:type="dxa" w:w="841"/>
          </w:tcPr>
          <w:p>
            <w:pPr>
              <w:pStyle w:val="Compact"/>
              <w:spacing w:line="240" w:lineRule="auto" w:before="20" w:after="20"/>
              <w:jc w:val="right"/>
            </w:pPr>
            <w:r>
              <w:rPr>
                <w:rFonts w:ascii="Arial" w:hAnsi="Arial"/>
                <w:sz w:val="20"/>
              </w:rPr>
              <w:t xml:space="preserve">0.619</w:t>
            </w:r>
          </w:p>
        </w:tc>
        <w:tc>
          <w:tcPr>
            <w:tcW w:type="dxa" w:w="1324"/>
          </w:tcPr>
          <w:p>
            <w:pPr>
              <w:pStyle w:val="Compact"/>
              <w:spacing w:line="240" w:lineRule="auto" w:before="20" w:after="20"/>
              <w:jc w:val="right"/>
            </w:pPr>
            <w:r>
              <w:rPr>
                <w:rFonts w:ascii="Arial" w:hAnsi="Arial"/>
                <w:sz w:val="20"/>
              </w:rPr>
              <w:t xml:space="preserve">0.588</w:t>
            </w:r>
          </w:p>
        </w:tc>
        <w:tc>
          <w:tcPr>
            <w:tcW w:type="dxa" w:w="3611"/>
          </w:tcPr>
          <w:p>
            <w:pPr>
              <w:pStyle w:val="Compact"/>
              <w:spacing w:line="240" w:lineRule="auto" w:before="20" w:after="20"/>
              <w:jc w:val="left"/>
            </w:pPr>
            <w:r>
              <w:rPr>
                <w:rFonts w:ascii="Arial" w:hAnsi="Arial"/>
                <w:sz w:val="20"/>
              </w:rPr>
              <w:t xml:space="preserve">competitive, no verdict</w:t>
            </w:r>
          </w:p>
        </w:tc>
      </w:tr>
    </w:tbl>
    <w:bookmarkEnd w:id="24"/>
    <w:bookmarkStart w:id="25" w:name="X9321697105d23b759dd4277189dbd29d191b507"/>
    <w:p>
      <w:pPr>
        <w:pStyle w:val="Heading2"/>
      </w:pPr>
      <w:r>
        <w:rPr>
          <w:rFonts w:ascii="Arial" w:hAnsi="Arial" w:eastAsia="Arial" w:cs="Arial"/>
          <w:b/>
          <w:sz w:val="24"/>
        </w:rPr>
        <w:t xml:space="preserve">eTable 6. Negative control outcomes in the case study</w:t>
      </w:r>
    </w:p>
    <w:p>
      <w:pPr>
        <w:pStyle w:val="FirstParagraph"/>
      </w:pPr>
      <w:r>
        <w:t xml:space="preserve">The 12 negative controls were selected from 20 candidate outcomes before any case-study analysis, screened in four levels (eMethods,</w:t>
      </w:r>
      <w:r>
        <w:t xml:space="preserve"> </w:t>
      </w:r>
      <w:r>
        <w:t xml:space="preserve">“Negative control selection”</w:t>
      </w:r>
      <w:r>
        <w:t xml:space="preserve">; eTable 11), and spread across six clinical domains (infection, gastrointestinal, trauma, ophthalmology, rheumatology, and urology). Each control outcome was ascertained from ICD-9 and ICD-10 diagnosis codes in the same hospitalizations that carry the target estimates and passed through the same estimation pipeline as the target outcome, including the guideline-restricted beta-blocker contrast, and the uncalibrated relative risks below were used to fit the empirical null. 10 of the 12 controls lie below the null and 2 above it, so the panel is predominantly but not exclusively protective, consistent with the pervasive healthy-adherer effect reported in the main manuscript.</w:t>
      </w:r>
    </w:p>
    <w:p>
      <w:pPr>
        <w:pStyle w:val="TableCaption"/>
      </w:pPr>
      <w:r>
        <w:t xml:space="preserve">eTable 6. The 12 negative control outcomes in the reported panel: code definitions, event counts, and uncalibrated estimates. Code ranges are shown in conventional dotted notation; the complete code lists are given in scripts/config_negative_controls.R in the analysis repository. The estimates are from the guideline-matched panel that supplies the empirical null for both case-study questions.</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Caption w:val="eTable 6. The 12 negative control outcomes in the reported panel: code definitions, event counts, and uncalibrated estimates. Code ranges are shown in conventional dotted notation; the complete code lists are given in scripts/config_negative_controls.R in the analysis repository. The estimates are from the guideline-matched panel that supplies the empirical null for both case-study questions."/>
      </w:tblPr>
      <w:tblGrid>
        <w:gridCol w:w="2212"/>
        <w:gridCol w:w="1296"/>
        <w:gridCol w:w="4042"/>
        <w:gridCol w:w="2974"/>
        <w:gridCol w:w="915"/>
        <w:gridCol w:w="1906"/>
        <w:gridCol w:w="609"/>
      </w:tblGrid>
      <w:tr>
        <w:trPr>
          <w:tblHeader w:val="on"/>
        </w:trPr>
        <w:tc>
          <w:tcPr>
            <w:tcW w:type="dxa" w:w="2212"/>
          </w:tcPr>
          <w:p>
            <w:pPr>
              <w:pStyle w:val="Compact"/>
              <w:spacing w:line="240" w:lineRule="auto" w:before="20" w:after="20"/>
              <w:jc w:val="left"/>
            </w:pPr>
            <w:r>
              <w:rPr>
                <w:rFonts w:ascii="Arial" w:hAnsi="Arial"/>
                <w:sz w:val="20"/>
              </w:rPr>
              <w:t xml:space="preserve">Outcome</w:t>
            </w:r>
          </w:p>
        </w:tc>
        <w:tc>
          <w:tcPr>
            <w:tcW w:type="dxa" w:w="1296"/>
          </w:tcPr>
          <w:p>
            <w:pPr>
              <w:pStyle w:val="Compact"/>
              <w:spacing w:line="240" w:lineRule="auto" w:before="20" w:after="20"/>
              <w:jc w:val="left"/>
            </w:pPr>
            <w:r>
              <w:rPr>
                <w:rFonts w:ascii="Arial" w:hAnsi="Arial"/>
                <w:sz w:val="20"/>
              </w:rPr>
              <w:t xml:space="preserve">Domain</w:t>
            </w:r>
          </w:p>
        </w:tc>
        <w:tc>
          <w:tcPr>
            <w:tcW w:type="dxa" w:w="4042"/>
          </w:tcPr>
          <w:p>
            <w:pPr>
              <w:pStyle w:val="Compact"/>
              <w:spacing w:line="240" w:lineRule="auto" w:before="20" w:after="20"/>
              <w:jc w:val="left"/>
            </w:pPr>
            <w:r>
              <w:rPr>
                <w:rFonts w:ascii="Arial" w:hAnsi="Arial"/>
                <w:sz w:val="20"/>
              </w:rPr>
              <w:t xml:space="preserve">ICD-10</w:t>
            </w:r>
          </w:p>
        </w:tc>
        <w:tc>
          <w:tcPr>
            <w:tcW w:type="dxa" w:w="2974"/>
          </w:tcPr>
          <w:p>
            <w:pPr>
              <w:pStyle w:val="Compact"/>
              <w:spacing w:line="240" w:lineRule="auto" w:before="20" w:after="20"/>
              <w:jc w:val="left"/>
            </w:pPr>
            <w:r>
              <w:rPr>
                <w:rFonts w:ascii="Arial" w:hAnsi="Arial"/>
                <w:sz w:val="20"/>
              </w:rPr>
              <w:t xml:space="preserve">ICD-9</w:t>
            </w:r>
          </w:p>
        </w:tc>
        <w:tc>
          <w:tcPr>
            <w:tcW w:type="dxa" w:w="915"/>
          </w:tcPr>
          <w:p>
            <w:pPr>
              <w:pStyle w:val="Compact"/>
              <w:spacing w:line="240" w:lineRule="auto" w:before="20" w:after="20"/>
              <w:jc w:val="left"/>
            </w:pPr>
            <w:r>
              <w:rPr>
                <w:rFonts w:ascii="Arial" w:hAnsi="Arial"/>
                <w:sz w:val="20"/>
              </w:rPr>
              <w:t xml:space="preserve">Events, No.</w:t>
            </w:r>
          </w:p>
        </w:tc>
        <w:tc>
          <w:tcPr>
            <w:tcW w:type="dxa" w:w="1906"/>
          </w:tcPr>
          <w:p>
            <w:pPr>
              <w:pStyle w:val="Compact"/>
              <w:spacing w:line="240" w:lineRule="auto" w:before="20" w:after="20"/>
              <w:jc w:val="left"/>
            </w:pPr>
            <w:r>
              <w:rPr>
                <w:rFonts w:ascii="Arial" w:hAnsi="Arial"/>
                <w:sz w:val="20"/>
              </w:rPr>
              <w:t xml:space="preserve">Uncalibrated RR (95% CI)</w:t>
            </w:r>
          </w:p>
        </w:tc>
        <w:tc>
          <w:tcPr>
            <w:tcW w:type="dxa" w:w="609"/>
          </w:tcPr>
          <w:p>
            <w:pPr>
              <w:pStyle w:val="Compact"/>
              <w:spacing w:line="240" w:lineRule="auto" w:before="20" w:after="20"/>
              <w:jc w:val="left"/>
            </w:pPr>
            <w:r>
              <w:rPr>
                <w:rFonts w:ascii="Arial" w:hAnsi="Arial"/>
                <w:sz w:val="20"/>
              </w:rPr>
              <w:t xml:space="preserve">P value</w:t>
            </w:r>
          </w:p>
        </w:tc>
      </w:tr>
      <w:tr>
        <w:tc>
          <w:tcPr>
            <w:tcW w:type="dxa" w:w="2212"/>
          </w:tcPr>
          <w:p>
            <w:pPr>
              <w:pStyle w:val="Compact"/>
              <w:spacing w:line="240" w:lineRule="auto" w:before="20" w:after="20"/>
              <w:jc w:val="left"/>
            </w:pPr>
            <w:r>
              <w:rPr>
                <w:rFonts w:ascii="Arial" w:hAnsi="Arial"/>
                <w:sz w:val="20"/>
              </w:rPr>
              <w:t xml:space="preserve">Infection (combined)</w:t>
            </w:r>
          </w:p>
        </w:tc>
        <w:tc>
          <w:tcPr>
            <w:tcW w:type="dxa" w:w="1296"/>
          </w:tcPr>
          <w:p>
            <w:pPr>
              <w:pStyle w:val="Compact"/>
              <w:spacing w:line="240" w:lineRule="auto" w:before="20" w:after="20"/>
              <w:jc w:val="left"/>
            </w:pPr>
            <w:r>
              <w:rPr>
                <w:rFonts w:ascii="Arial" w:hAnsi="Arial"/>
                <w:sz w:val="20"/>
              </w:rPr>
              <w:t xml:space="preserve">Infection</w:t>
            </w:r>
          </w:p>
        </w:tc>
        <w:tc>
          <w:tcPr>
            <w:tcW w:type="dxa" w:w="4042"/>
          </w:tcPr>
          <w:p>
            <w:pPr>
              <w:pStyle w:val="Compact"/>
              <w:spacing w:line="240" w:lineRule="auto" w:before="20" w:after="20"/>
              <w:jc w:val="left"/>
            </w:pPr>
            <w:r>
              <w:rPr>
                <w:rFonts w:ascii="Arial" w:hAnsi="Arial"/>
                <w:sz w:val="20"/>
              </w:rPr>
              <w:t xml:space="preserve">N30, N39.0, J12-J18, K35-K37, K57, K81, A40-A41, A49</w:t>
            </w:r>
          </w:p>
        </w:tc>
        <w:tc>
          <w:tcPr>
            <w:tcW w:type="dxa" w:w="2974"/>
          </w:tcPr>
          <w:p>
            <w:pPr>
              <w:pStyle w:val="Compact"/>
              <w:spacing w:line="240" w:lineRule="auto" w:before="20" w:after="20"/>
              <w:jc w:val="left"/>
            </w:pPr>
            <w:r>
              <w:rPr>
                <w:rFonts w:ascii="Arial" w:hAnsi="Arial"/>
                <w:sz w:val="20"/>
              </w:rPr>
              <w:t xml:space="preserve">595, 599.0, 480-488, 540-542, 562, 574</w:t>
            </w:r>
          </w:p>
        </w:tc>
        <w:tc>
          <w:tcPr>
            <w:tcW w:type="dxa" w:w="915"/>
          </w:tcPr>
          <w:p>
            <w:pPr>
              <w:pStyle w:val="Compact"/>
              <w:spacing w:line="240" w:lineRule="auto" w:before="20" w:after="20"/>
              <w:jc w:val="left"/>
            </w:pPr>
            <w:r>
              <w:rPr>
                <w:rFonts w:ascii="Arial" w:hAnsi="Arial"/>
                <w:sz w:val="20"/>
              </w:rPr>
              <w:t xml:space="preserve">4,705</w:t>
            </w:r>
          </w:p>
        </w:tc>
        <w:tc>
          <w:tcPr>
            <w:tcW w:type="dxa" w:w="1906"/>
          </w:tcPr>
          <w:p>
            <w:pPr>
              <w:pStyle w:val="Compact"/>
              <w:spacing w:line="240" w:lineRule="auto" w:before="20" w:after="20"/>
              <w:jc w:val="left"/>
            </w:pPr>
            <w:r>
              <w:rPr>
                <w:rFonts w:ascii="Arial" w:hAnsi="Arial"/>
                <w:sz w:val="20"/>
              </w:rPr>
              <w:t xml:space="preserve">0.83 (0.77-0.90)</w:t>
            </w:r>
          </w:p>
        </w:tc>
        <w:tc>
          <w:tcPr>
            <w:tcW w:type="dxa" w:w="609"/>
          </w:tcPr>
          <w:p>
            <w:pPr>
              <w:pStyle w:val="Compact"/>
              <w:spacing w:line="240" w:lineRule="auto" w:before="20" w:after="20"/>
              <w:jc w:val="left"/>
            </w:pPr>
            <w:r>
              <w:rPr>
                <w:rFonts w:ascii="Arial" w:hAnsi="Arial"/>
                <w:sz w:val="20"/>
              </w:rPr>
              <w:t xml:space="preserve">&lt;.001</w:t>
            </w:r>
          </w:p>
        </w:tc>
      </w:tr>
      <w:tr>
        <w:tc>
          <w:tcPr>
            <w:tcW w:type="dxa" w:w="2212"/>
          </w:tcPr>
          <w:p>
            <w:pPr>
              <w:pStyle w:val="Compact"/>
              <w:spacing w:line="240" w:lineRule="auto" w:before="20" w:after="20"/>
              <w:jc w:val="left"/>
            </w:pPr>
            <w:r>
              <w:rPr>
                <w:rFonts w:ascii="Arial" w:hAnsi="Arial"/>
                <w:sz w:val="20"/>
              </w:rPr>
              <w:t xml:space="preserve">Gastrointestinal bleeding</w:t>
            </w:r>
          </w:p>
        </w:tc>
        <w:tc>
          <w:tcPr>
            <w:tcW w:type="dxa" w:w="1296"/>
          </w:tcPr>
          <w:p>
            <w:pPr>
              <w:pStyle w:val="Compact"/>
              <w:spacing w:line="240" w:lineRule="auto" w:before="20" w:after="20"/>
              <w:jc w:val="left"/>
            </w:pPr>
            <w:r>
              <w:rPr>
                <w:rFonts w:ascii="Arial" w:hAnsi="Arial"/>
                <w:sz w:val="20"/>
              </w:rPr>
              <w:t xml:space="preserve">Gastrointestinal</w:t>
            </w:r>
          </w:p>
        </w:tc>
        <w:tc>
          <w:tcPr>
            <w:tcW w:type="dxa" w:w="4042"/>
          </w:tcPr>
          <w:p>
            <w:pPr>
              <w:pStyle w:val="Compact"/>
              <w:spacing w:line="240" w:lineRule="auto" w:before="20" w:after="20"/>
              <w:jc w:val="left"/>
            </w:pPr>
            <w:r>
              <w:rPr>
                <w:rFonts w:ascii="Arial" w:hAnsi="Arial"/>
                <w:sz w:val="20"/>
              </w:rPr>
              <w:t xml:space="preserve">K25-K28 (with hemorrhage), K29.0, K62.5, K92.0-K92.2</w:t>
            </w:r>
          </w:p>
        </w:tc>
        <w:tc>
          <w:tcPr>
            <w:tcW w:type="dxa" w:w="2974"/>
          </w:tcPr>
          <w:p>
            <w:pPr>
              <w:pStyle w:val="Compact"/>
              <w:spacing w:line="240" w:lineRule="auto" w:before="20" w:after="20"/>
              <w:jc w:val="left"/>
            </w:pPr>
            <w:r>
              <w:rPr>
                <w:rFonts w:ascii="Arial" w:hAnsi="Arial"/>
                <w:sz w:val="20"/>
              </w:rPr>
              <w:t xml:space="preserve">531-534 (with hemorrhage), 569.3, 578</w:t>
            </w:r>
          </w:p>
        </w:tc>
        <w:tc>
          <w:tcPr>
            <w:tcW w:type="dxa" w:w="915"/>
          </w:tcPr>
          <w:p>
            <w:pPr>
              <w:pStyle w:val="Compact"/>
              <w:spacing w:line="240" w:lineRule="auto" w:before="20" w:after="20"/>
              <w:jc w:val="left"/>
            </w:pPr>
            <w:r>
              <w:rPr>
                <w:rFonts w:ascii="Arial" w:hAnsi="Arial"/>
                <w:sz w:val="20"/>
              </w:rPr>
              <w:t xml:space="preserve">1,535</w:t>
            </w:r>
          </w:p>
        </w:tc>
        <w:tc>
          <w:tcPr>
            <w:tcW w:type="dxa" w:w="1906"/>
          </w:tcPr>
          <w:p>
            <w:pPr>
              <w:pStyle w:val="Compact"/>
              <w:spacing w:line="240" w:lineRule="auto" w:before="20" w:after="20"/>
              <w:jc w:val="left"/>
            </w:pPr>
            <w:r>
              <w:rPr>
                <w:rFonts w:ascii="Arial" w:hAnsi="Arial"/>
                <w:sz w:val="20"/>
              </w:rPr>
              <w:t xml:space="preserve">0.79 (0.67-0.94)</w:t>
            </w:r>
          </w:p>
        </w:tc>
        <w:tc>
          <w:tcPr>
            <w:tcW w:type="dxa" w:w="609"/>
          </w:tcPr>
          <w:p>
            <w:pPr>
              <w:pStyle w:val="Compact"/>
              <w:spacing w:line="240" w:lineRule="auto" w:before="20" w:after="20"/>
              <w:jc w:val="left"/>
            </w:pPr>
            <w:r>
              <w:rPr>
                <w:rFonts w:ascii="Arial" w:hAnsi="Arial"/>
                <w:sz w:val="20"/>
              </w:rPr>
              <w:t xml:space="preserve">.01</w:t>
            </w:r>
          </w:p>
        </w:tc>
      </w:tr>
      <w:tr>
        <w:tc>
          <w:tcPr>
            <w:tcW w:type="dxa" w:w="2212"/>
          </w:tcPr>
          <w:p>
            <w:pPr>
              <w:pStyle w:val="Compact"/>
              <w:spacing w:line="240" w:lineRule="auto" w:before="20" w:after="20"/>
              <w:jc w:val="left"/>
            </w:pPr>
            <w:r>
              <w:rPr>
                <w:rFonts w:ascii="Arial" w:hAnsi="Arial"/>
                <w:sz w:val="20"/>
              </w:rPr>
              <w:t xml:space="preserve">Fall without fracture</w:t>
            </w:r>
          </w:p>
        </w:tc>
        <w:tc>
          <w:tcPr>
            <w:tcW w:type="dxa" w:w="1296"/>
          </w:tcPr>
          <w:p>
            <w:pPr>
              <w:pStyle w:val="Compact"/>
              <w:spacing w:line="240" w:lineRule="auto" w:before="20" w:after="20"/>
              <w:jc w:val="left"/>
            </w:pPr>
            <w:r>
              <w:rPr>
                <w:rFonts w:ascii="Arial" w:hAnsi="Arial"/>
                <w:sz w:val="20"/>
              </w:rPr>
              <w:t xml:space="preserve">Trauma</w:t>
            </w:r>
          </w:p>
        </w:tc>
        <w:tc>
          <w:tcPr>
            <w:tcW w:type="dxa" w:w="4042"/>
          </w:tcPr>
          <w:p>
            <w:pPr>
              <w:pStyle w:val="Compact"/>
              <w:spacing w:line="240" w:lineRule="auto" w:before="20" w:after="20"/>
              <w:jc w:val="left"/>
            </w:pPr>
            <w:r>
              <w:rPr>
                <w:rFonts w:ascii="Arial" w:hAnsi="Arial"/>
                <w:sz w:val="20"/>
              </w:rPr>
              <w:t xml:space="preserve">W00-W19</w:t>
            </w:r>
          </w:p>
        </w:tc>
        <w:tc>
          <w:tcPr>
            <w:tcW w:type="dxa" w:w="2974"/>
          </w:tcPr>
          <w:p>
            <w:pPr>
              <w:pStyle w:val="Compact"/>
              <w:spacing w:line="240" w:lineRule="auto" w:before="20" w:after="20"/>
              <w:jc w:val="left"/>
            </w:pPr>
            <w:r>
              <w:rPr>
                <w:rFonts w:ascii="Arial" w:hAnsi="Arial"/>
                <w:sz w:val="20"/>
              </w:rPr>
              <w:t xml:space="preserve">E880-E889</w:t>
            </w:r>
          </w:p>
        </w:tc>
        <w:tc>
          <w:tcPr>
            <w:tcW w:type="dxa" w:w="915"/>
          </w:tcPr>
          <w:p>
            <w:pPr>
              <w:pStyle w:val="Compact"/>
              <w:spacing w:line="240" w:lineRule="auto" w:before="20" w:after="20"/>
              <w:jc w:val="left"/>
            </w:pPr>
            <w:r>
              <w:rPr>
                <w:rFonts w:ascii="Arial" w:hAnsi="Arial"/>
                <w:sz w:val="20"/>
              </w:rPr>
              <w:t xml:space="preserve">83</w:t>
            </w:r>
          </w:p>
        </w:tc>
        <w:tc>
          <w:tcPr>
            <w:tcW w:type="dxa" w:w="1906"/>
          </w:tcPr>
          <w:p>
            <w:pPr>
              <w:pStyle w:val="Compact"/>
              <w:spacing w:line="240" w:lineRule="auto" w:before="20" w:after="20"/>
              <w:jc w:val="left"/>
            </w:pPr>
            <w:r>
              <w:rPr>
                <w:rFonts w:ascii="Arial" w:hAnsi="Arial"/>
                <w:sz w:val="20"/>
              </w:rPr>
              <w:t xml:space="preserve">1.19 (0.60-2.39)</w:t>
            </w:r>
          </w:p>
        </w:tc>
        <w:tc>
          <w:tcPr>
            <w:tcW w:type="dxa" w:w="609"/>
          </w:tcPr>
          <w:p>
            <w:pPr>
              <w:pStyle w:val="Compact"/>
              <w:spacing w:line="240" w:lineRule="auto" w:before="20" w:after="20"/>
              <w:jc w:val="left"/>
            </w:pPr>
            <w:r>
              <w:rPr>
                <w:rFonts w:ascii="Arial" w:hAnsi="Arial"/>
                <w:sz w:val="20"/>
              </w:rPr>
              <w:t xml:space="preserve">.61</w:t>
            </w:r>
          </w:p>
        </w:tc>
      </w:tr>
      <w:tr>
        <w:tc>
          <w:tcPr>
            <w:tcW w:type="dxa" w:w="2212"/>
          </w:tcPr>
          <w:p>
            <w:pPr>
              <w:pStyle w:val="Compact"/>
              <w:spacing w:line="240" w:lineRule="auto" w:before="20" w:after="20"/>
              <w:jc w:val="left"/>
            </w:pPr>
            <w:r>
              <w:rPr>
                <w:rFonts w:ascii="Arial" w:hAnsi="Arial"/>
                <w:sz w:val="20"/>
              </w:rPr>
              <w:t xml:space="preserve">Urinary tract infection</w:t>
            </w:r>
          </w:p>
        </w:tc>
        <w:tc>
          <w:tcPr>
            <w:tcW w:type="dxa" w:w="1296"/>
          </w:tcPr>
          <w:p>
            <w:pPr>
              <w:pStyle w:val="Compact"/>
              <w:spacing w:line="240" w:lineRule="auto" w:before="20" w:after="20"/>
              <w:jc w:val="left"/>
            </w:pPr>
            <w:r>
              <w:rPr>
                <w:rFonts w:ascii="Arial" w:hAnsi="Arial"/>
                <w:sz w:val="20"/>
              </w:rPr>
              <w:t xml:space="preserve">Infection</w:t>
            </w:r>
          </w:p>
        </w:tc>
        <w:tc>
          <w:tcPr>
            <w:tcW w:type="dxa" w:w="4042"/>
          </w:tcPr>
          <w:p>
            <w:pPr>
              <w:pStyle w:val="Compact"/>
              <w:spacing w:line="240" w:lineRule="auto" w:before="20" w:after="20"/>
              <w:jc w:val="left"/>
            </w:pPr>
            <w:r>
              <w:rPr>
                <w:rFonts w:ascii="Arial" w:hAnsi="Arial"/>
                <w:sz w:val="20"/>
              </w:rPr>
              <w:t xml:space="preserve">N10, N12, N15.1, N15.9, N30, N34.0, N39.0, O23.4</w:t>
            </w:r>
          </w:p>
        </w:tc>
        <w:tc>
          <w:tcPr>
            <w:tcW w:type="dxa" w:w="2974"/>
          </w:tcPr>
          <w:p>
            <w:pPr>
              <w:pStyle w:val="Compact"/>
              <w:spacing w:line="240" w:lineRule="auto" w:before="20" w:after="20"/>
              <w:jc w:val="left"/>
            </w:pPr>
            <w:r>
              <w:rPr>
                <w:rFonts w:ascii="Arial" w:hAnsi="Arial"/>
                <w:sz w:val="20"/>
              </w:rPr>
              <w:t xml:space="preserve">590, 595, 599.0</w:t>
            </w:r>
          </w:p>
        </w:tc>
        <w:tc>
          <w:tcPr>
            <w:tcW w:type="dxa" w:w="915"/>
          </w:tcPr>
          <w:p>
            <w:pPr>
              <w:pStyle w:val="Compact"/>
              <w:spacing w:line="240" w:lineRule="auto" w:before="20" w:after="20"/>
              <w:jc w:val="left"/>
            </w:pPr>
            <w:r>
              <w:rPr>
                <w:rFonts w:ascii="Arial" w:hAnsi="Arial"/>
                <w:sz w:val="20"/>
              </w:rPr>
              <w:t xml:space="preserve">3,620</w:t>
            </w:r>
          </w:p>
        </w:tc>
        <w:tc>
          <w:tcPr>
            <w:tcW w:type="dxa" w:w="1906"/>
          </w:tcPr>
          <w:p>
            <w:pPr>
              <w:pStyle w:val="Compact"/>
              <w:spacing w:line="240" w:lineRule="auto" w:before="20" w:after="20"/>
              <w:jc w:val="left"/>
            </w:pPr>
            <w:r>
              <w:rPr>
                <w:rFonts w:ascii="Arial" w:hAnsi="Arial"/>
                <w:sz w:val="20"/>
              </w:rPr>
              <w:t xml:space="preserve">0.82 (0.74-0.91)</w:t>
            </w:r>
          </w:p>
        </w:tc>
        <w:tc>
          <w:tcPr>
            <w:tcW w:type="dxa" w:w="609"/>
          </w:tcPr>
          <w:p>
            <w:pPr>
              <w:pStyle w:val="Compact"/>
              <w:spacing w:line="240" w:lineRule="auto" w:before="20" w:after="20"/>
              <w:jc w:val="left"/>
            </w:pPr>
            <w:r>
              <w:rPr>
                <w:rFonts w:ascii="Arial" w:hAnsi="Arial"/>
                <w:sz w:val="20"/>
              </w:rPr>
              <w:t xml:space="preserve">&lt;.001</w:t>
            </w:r>
          </w:p>
        </w:tc>
      </w:tr>
      <w:tr>
        <w:tc>
          <w:tcPr>
            <w:tcW w:type="dxa" w:w="2212"/>
          </w:tcPr>
          <w:p>
            <w:pPr>
              <w:pStyle w:val="Compact"/>
              <w:spacing w:line="240" w:lineRule="auto" w:before="20" w:after="20"/>
              <w:jc w:val="left"/>
            </w:pPr>
            <w:r>
              <w:rPr>
                <w:rFonts w:ascii="Arial" w:hAnsi="Arial"/>
                <w:sz w:val="20"/>
              </w:rPr>
              <w:t xml:space="preserve">Cellulitis</w:t>
            </w:r>
          </w:p>
        </w:tc>
        <w:tc>
          <w:tcPr>
            <w:tcW w:type="dxa" w:w="1296"/>
          </w:tcPr>
          <w:p>
            <w:pPr>
              <w:pStyle w:val="Compact"/>
              <w:spacing w:line="240" w:lineRule="auto" w:before="20" w:after="20"/>
              <w:jc w:val="left"/>
            </w:pPr>
            <w:r>
              <w:rPr>
                <w:rFonts w:ascii="Arial" w:hAnsi="Arial"/>
                <w:sz w:val="20"/>
              </w:rPr>
              <w:t xml:space="preserve">Infection</w:t>
            </w:r>
          </w:p>
        </w:tc>
        <w:tc>
          <w:tcPr>
            <w:tcW w:type="dxa" w:w="4042"/>
          </w:tcPr>
          <w:p>
            <w:pPr>
              <w:pStyle w:val="Compact"/>
              <w:spacing w:line="240" w:lineRule="auto" w:before="20" w:after="20"/>
              <w:jc w:val="left"/>
            </w:pPr>
            <w:r>
              <w:rPr>
                <w:rFonts w:ascii="Arial" w:hAnsi="Arial"/>
                <w:sz w:val="20"/>
              </w:rPr>
              <w:t xml:space="preserve">L03</w:t>
            </w:r>
          </w:p>
        </w:tc>
        <w:tc>
          <w:tcPr>
            <w:tcW w:type="dxa" w:w="2974"/>
          </w:tcPr>
          <w:p>
            <w:pPr>
              <w:pStyle w:val="Compact"/>
              <w:spacing w:line="240" w:lineRule="auto" w:before="20" w:after="20"/>
              <w:jc w:val="left"/>
            </w:pPr>
            <w:r>
              <w:rPr>
                <w:rFonts w:ascii="Arial" w:hAnsi="Arial"/>
                <w:sz w:val="20"/>
              </w:rPr>
              <w:t xml:space="preserve">681, 682</w:t>
            </w:r>
          </w:p>
        </w:tc>
        <w:tc>
          <w:tcPr>
            <w:tcW w:type="dxa" w:w="915"/>
          </w:tcPr>
          <w:p>
            <w:pPr>
              <w:pStyle w:val="Compact"/>
              <w:spacing w:line="240" w:lineRule="auto" w:before="20" w:after="20"/>
              <w:jc w:val="left"/>
            </w:pPr>
            <w:r>
              <w:rPr>
                <w:rFonts w:ascii="Arial" w:hAnsi="Arial"/>
                <w:sz w:val="20"/>
              </w:rPr>
              <w:t xml:space="preserve">1,339</w:t>
            </w:r>
          </w:p>
        </w:tc>
        <w:tc>
          <w:tcPr>
            <w:tcW w:type="dxa" w:w="1906"/>
          </w:tcPr>
          <w:p>
            <w:pPr>
              <w:pStyle w:val="Compact"/>
              <w:spacing w:line="240" w:lineRule="auto" w:before="20" w:after="20"/>
              <w:jc w:val="left"/>
            </w:pPr>
            <w:r>
              <w:rPr>
                <w:rFonts w:ascii="Arial" w:hAnsi="Arial"/>
                <w:sz w:val="20"/>
              </w:rPr>
              <w:t xml:space="preserve">0.77 (0.64-0.92)</w:t>
            </w:r>
          </w:p>
        </w:tc>
        <w:tc>
          <w:tcPr>
            <w:tcW w:type="dxa" w:w="609"/>
          </w:tcPr>
          <w:p>
            <w:pPr>
              <w:pStyle w:val="Compact"/>
              <w:spacing w:line="240" w:lineRule="auto" w:before="20" w:after="20"/>
              <w:jc w:val="left"/>
            </w:pPr>
            <w:r>
              <w:rPr>
                <w:rFonts w:ascii="Arial" w:hAnsi="Arial"/>
                <w:sz w:val="20"/>
              </w:rPr>
              <w:t xml:space="preserve">.00</w:t>
            </w:r>
          </w:p>
        </w:tc>
      </w:tr>
      <w:tr>
        <w:tc>
          <w:tcPr>
            <w:tcW w:type="dxa" w:w="2212"/>
          </w:tcPr>
          <w:p>
            <w:pPr>
              <w:pStyle w:val="Compact"/>
              <w:spacing w:line="240" w:lineRule="auto" w:before="20" w:after="20"/>
              <w:jc w:val="left"/>
            </w:pPr>
            <w:r>
              <w:rPr>
                <w:rFonts w:ascii="Arial" w:hAnsi="Arial"/>
                <w:sz w:val="20"/>
              </w:rPr>
              <w:t xml:space="preserve">Cataract</w:t>
            </w:r>
          </w:p>
        </w:tc>
        <w:tc>
          <w:tcPr>
            <w:tcW w:type="dxa" w:w="1296"/>
          </w:tcPr>
          <w:p>
            <w:pPr>
              <w:pStyle w:val="Compact"/>
              <w:spacing w:line="240" w:lineRule="auto" w:before="20" w:after="20"/>
              <w:jc w:val="left"/>
            </w:pPr>
            <w:r>
              <w:rPr>
                <w:rFonts w:ascii="Arial" w:hAnsi="Arial"/>
                <w:sz w:val="20"/>
              </w:rPr>
              <w:t xml:space="preserve">Ophthalmology</w:t>
            </w:r>
          </w:p>
        </w:tc>
        <w:tc>
          <w:tcPr>
            <w:tcW w:type="dxa" w:w="4042"/>
          </w:tcPr>
          <w:p>
            <w:pPr>
              <w:pStyle w:val="Compact"/>
              <w:spacing w:line="240" w:lineRule="auto" w:before="20" w:after="20"/>
              <w:jc w:val="left"/>
            </w:pPr>
            <w:r>
              <w:rPr>
                <w:rFonts w:ascii="Arial" w:hAnsi="Arial"/>
                <w:sz w:val="20"/>
              </w:rPr>
              <w:t xml:space="preserve">H25-H26</w:t>
            </w:r>
          </w:p>
        </w:tc>
        <w:tc>
          <w:tcPr>
            <w:tcW w:type="dxa" w:w="2974"/>
          </w:tcPr>
          <w:p>
            <w:pPr>
              <w:pStyle w:val="Compact"/>
              <w:spacing w:line="240" w:lineRule="auto" w:before="20" w:after="20"/>
              <w:jc w:val="left"/>
            </w:pPr>
            <w:r>
              <w:rPr>
                <w:rFonts w:ascii="Arial" w:hAnsi="Arial"/>
                <w:sz w:val="20"/>
              </w:rPr>
              <w:t xml:space="preserve">366</w:t>
            </w:r>
          </w:p>
        </w:tc>
        <w:tc>
          <w:tcPr>
            <w:tcW w:type="dxa" w:w="915"/>
          </w:tcPr>
          <w:p>
            <w:pPr>
              <w:pStyle w:val="Compact"/>
              <w:spacing w:line="240" w:lineRule="auto" w:before="20" w:after="20"/>
              <w:jc w:val="left"/>
            </w:pPr>
            <w:r>
              <w:rPr>
                <w:rFonts w:ascii="Arial" w:hAnsi="Arial"/>
                <w:sz w:val="20"/>
              </w:rPr>
              <w:t xml:space="preserve">317</w:t>
            </w:r>
          </w:p>
        </w:tc>
        <w:tc>
          <w:tcPr>
            <w:tcW w:type="dxa" w:w="1906"/>
          </w:tcPr>
          <w:p>
            <w:pPr>
              <w:pStyle w:val="Compact"/>
              <w:spacing w:line="240" w:lineRule="auto" w:before="20" w:after="20"/>
              <w:jc w:val="left"/>
            </w:pPr>
            <w:r>
              <w:rPr>
                <w:rFonts w:ascii="Arial" w:hAnsi="Arial"/>
                <w:sz w:val="20"/>
              </w:rPr>
              <w:t xml:space="preserve">0.95 (0.66-1.38)</w:t>
            </w:r>
          </w:p>
        </w:tc>
        <w:tc>
          <w:tcPr>
            <w:tcW w:type="dxa" w:w="609"/>
          </w:tcPr>
          <w:p>
            <w:pPr>
              <w:pStyle w:val="Compact"/>
              <w:spacing w:line="240" w:lineRule="auto" w:before="20" w:after="20"/>
              <w:jc w:val="left"/>
            </w:pPr>
            <w:r>
              <w:rPr>
                <w:rFonts w:ascii="Arial" w:hAnsi="Arial"/>
                <w:sz w:val="20"/>
              </w:rPr>
              <w:t xml:space="preserve">.81</w:t>
            </w:r>
          </w:p>
        </w:tc>
      </w:tr>
      <w:tr>
        <w:tc>
          <w:tcPr>
            <w:tcW w:type="dxa" w:w="2212"/>
          </w:tcPr>
          <w:p>
            <w:pPr>
              <w:pStyle w:val="Compact"/>
              <w:spacing w:line="240" w:lineRule="auto" w:before="20" w:after="20"/>
              <w:jc w:val="left"/>
            </w:pPr>
            <w:r>
              <w:rPr>
                <w:rFonts w:ascii="Arial" w:hAnsi="Arial"/>
                <w:sz w:val="20"/>
              </w:rPr>
              <w:t xml:space="preserve">Osteoarthritis</w:t>
            </w:r>
          </w:p>
        </w:tc>
        <w:tc>
          <w:tcPr>
            <w:tcW w:type="dxa" w:w="1296"/>
          </w:tcPr>
          <w:p>
            <w:pPr>
              <w:pStyle w:val="Compact"/>
              <w:spacing w:line="240" w:lineRule="auto" w:before="20" w:after="20"/>
              <w:jc w:val="left"/>
            </w:pPr>
            <w:r>
              <w:rPr>
                <w:rFonts w:ascii="Arial" w:hAnsi="Arial"/>
                <w:sz w:val="20"/>
              </w:rPr>
              <w:t xml:space="preserve">Rheumatology</w:t>
            </w:r>
          </w:p>
        </w:tc>
        <w:tc>
          <w:tcPr>
            <w:tcW w:type="dxa" w:w="4042"/>
          </w:tcPr>
          <w:p>
            <w:pPr>
              <w:pStyle w:val="Compact"/>
              <w:spacing w:line="240" w:lineRule="auto" w:before="20" w:after="20"/>
              <w:jc w:val="left"/>
            </w:pPr>
            <w:r>
              <w:rPr>
                <w:rFonts w:ascii="Arial" w:hAnsi="Arial"/>
                <w:sz w:val="20"/>
              </w:rPr>
              <w:t xml:space="preserve">M16-M19</w:t>
            </w:r>
          </w:p>
        </w:tc>
        <w:tc>
          <w:tcPr>
            <w:tcW w:type="dxa" w:w="2974"/>
          </w:tcPr>
          <w:p>
            <w:pPr>
              <w:pStyle w:val="Compact"/>
              <w:spacing w:line="240" w:lineRule="auto" w:before="20" w:after="20"/>
              <w:jc w:val="left"/>
            </w:pPr>
            <w:r>
              <w:rPr>
                <w:rFonts w:ascii="Arial" w:hAnsi="Arial"/>
                <w:sz w:val="20"/>
              </w:rPr>
              <w:t xml:space="preserve">715</w:t>
            </w:r>
          </w:p>
        </w:tc>
        <w:tc>
          <w:tcPr>
            <w:tcW w:type="dxa" w:w="915"/>
          </w:tcPr>
          <w:p>
            <w:pPr>
              <w:pStyle w:val="Compact"/>
              <w:spacing w:line="240" w:lineRule="auto" w:before="20" w:after="20"/>
              <w:jc w:val="left"/>
            </w:pPr>
            <w:r>
              <w:rPr>
                <w:rFonts w:ascii="Arial" w:hAnsi="Arial"/>
                <w:sz w:val="20"/>
              </w:rPr>
              <w:t xml:space="preserve">1,502</w:t>
            </w:r>
          </w:p>
        </w:tc>
        <w:tc>
          <w:tcPr>
            <w:tcW w:type="dxa" w:w="1906"/>
          </w:tcPr>
          <w:p>
            <w:pPr>
              <w:pStyle w:val="Compact"/>
              <w:spacing w:line="240" w:lineRule="auto" w:before="20" w:after="20"/>
              <w:jc w:val="left"/>
            </w:pPr>
            <w:r>
              <w:rPr>
                <w:rFonts w:ascii="Arial" w:hAnsi="Arial"/>
                <w:sz w:val="20"/>
              </w:rPr>
              <w:t xml:space="preserve">0.73 (0.61-0.88)</w:t>
            </w:r>
          </w:p>
        </w:tc>
        <w:tc>
          <w:tcPr>
            <w:tcW w:type="dxa" w:w="609"/>
          </w:tcPr>
          <w:p>
            <w:pPr>
              <w:pStyle w:val="Compact"/>
              <w:spacing w:line="240" w:lineRule="auto" w:before="20" w:after="20"/>
              <w:jc w:val="left"/>
            </w:pPr>
            <w:r>
              <w:rPr>
                <w:rFonts w:ascii="Arial" w:hAnsi="Arial"/>
                <w:sz w:val="20"/>
              </w:rPr>
              <w:t xml:space="preserve">&lt;.001</w:t>
            </w:r>
          </w:p>
        </w:tc>
      </w:tr>
      <w:tr>
        <w:tc>
          <w:tcPr>
            <w:tcW w:type="dxa" w:w="2212"/>
          </w:tcPr>
          <w:p>
            <w:pPr>
              <w:pStyle w:val="Compact"/>
              <w:spacing w:line="240" w:lineRule="auto" w:before="20" w:after="20"/>
              <w:jc w:val="left"/>
            </w:pPr>
            <w:r>
              <w:rPr>
                <w:rFonts w:ascii="Arial" w:hAnsi="Arial"/>
                <w:sz w:val="20"/>
              </w:rPr>
              <w:t xml:space="preserve">Traffic accident</w:t>
            </w:r>
          </w:p>
        </w:tc>
        <w:tc>
          <w:tcPr>
            <w:tcW w:type="dxa" w:w="1296"/>
          </w:tcPr>
          <w:p>
            <w:pPr>
              <w:pStyle w:val="Compact"/>
              <w:spacing w:line="240" w:lineRule="auto" w:before="20" w:after="20"/>
              <w:jc w:val="left"/>
            </w:pPr>
            <w:r>
              <w:rPr>
                <w:rFonts w:ascii="Arial" w:hAnsi="Arial"/>
                <w:sz w:val="20"/>
              </w:rPr>
              <w:t xml:space="preserve">Trauma</w:t>
            </w:r>
          </w:p>
        </w:tc>
        <w:tc>
          <w:tcPr>
            <w:tcW w:type="dxa" w:w="4042"/>
          </w:tcPr>
          <w:p>
            <w:pPr>
              <w:pStyle w:val="Compact"/>
              <w:spacing w:line="240" w:lineRule="auto" w:before="20" w:after="20"/>
              <w:jc w:val="left"/>
            </w:pPr>
            <w:r>
              <w:rPr>
                <w:rFonts w:ascii="Arial" w:hAnsi="Arial"/>
                <w:sz w:val="20"/>
              </w:rPr>
              <w:t xml:space="preserve">V01-V99</w:t>
            </w:r>
          </w:p>
        </w:tc>
        <w:tc>
          <w:tcPr>
            <w:tcW w:type="dxa" w:w="2974"/>
          </w:tcPr>
          <w:p>
            <w:pPr>
              <w:pStyle w:val="Compact"/>
              <w:spacing w:line="240" w:lineRule="auto" w:before="20" w:after="20"/>
              <w:jc w:val="left"/>
            </w:pPr>
            <w:r>
              <w:rPr>
                <w:rFonts w:ascii="Arial" w:hAnsi="Arial"/>
                <w:sz w:val="20"/>
              </w:rPr>
              <w:t xml:space="preserve">E810-E829</w:t>
            </w:r>
          </w:p>
        </w:tc>
        <w:tc>
          <w:tcPr>
            <w:tcW w:type="dxa" w:w="915"/>
          </w:tcPr>
          <w:p>
            <w:pPr>
              <w:pStyle w:val="Compact"/>
              <w:spacing w:line="240" w:lineRule="auto" w:before="20" w:after="20"/>
              <w:jc w:val="left"/>
            </w:pPr>
            <w:r>
              <w:rPr>
                <w:rFonts w:ascii="Arial" w:hAnsi="Arial"/>
                <w:sz w:val="20"/>
              </w:rPr>
              <w:t xml:space="preserve">77</w:t>
            </w:r>
          </w:p>
        </w:tc>
        <w:tc>
          <w:tcPr>
            <w:tcW w:type="dxa" w:w="1906"/>
          </w:tcPr>
          <w:p>
            <w:pPr>
              <w:pStyle w:val="Compact"/>
              <w:spacing w:line="240" w:lineRule="auto" w:before="20" w:after="20"/>
              <w:jc w:val="left"/>
            </w:pPr>
            <w:r>
              <w:rPr>
                <w:rFonts w:ascii="Arial" w:hAnsi="Arial"/>
                <w:sz w:val="20"/>
              </w:rPr>
              <w:t xml:space="preserve">0.46 (0.18-1.18)</w:t>
            </w:r>
          </w:p>
        </w:tc>
        <w:tc>
          <w:tcPr>
            <w:tcW w:type="dxa" w:w="609"/>
          </w:tcPr>
          <w:p>
            <w:pPr>
              <w:pStyle w:val="Compact"/>
              <w:spacing w:line="240" w:lineRule="auto" w:before="20" w:after="20"/>
              <w:jc w:val="left"/>
            </w:pPr>
            <w:r>
              <w:rPr>
                <w:rFonts w:ascii="Arial" w:hAnsi="Arial"/>
                <w:sz w:val="20"/>
              </w:rPr>
              <w:t xml:space="preserve">.11</w:t>
            </w:r>
          </w:p>
        </w:tc>
      </w:tr>
      <w:tr>
        <w:tc>
          <w:tcPr>
            <w:tcW w:type="dxa" w:w="2212"/>
          </w:tcPr>
          <w:p>
            <w:pPr>
              <w:pStyle w:val="Compact"/>
              <w:spacing w:line="240" w:lineRule="auto" w:before="20" w:after="20"/>
              <w:jc w:val="left"/>
            </w:pPr>
            <w:r>
              <w:rPr>
                <w:rFonts w:ascii="Arial" w:hAnsi="Arial"/>
                <w:sz w:val="20"/>
              </w:rPr>
              <w:t xml:space="preserve">Hemorrhoids</w:t>
            </w:r>
          </w:p>
        </w:tc>
        <w:tc>
          <w:tcPr>
            <w:tcW w:type="dxa" w:w="1296"/>
          </w:tcPr>
          <w:p>
            <w:pPr>
              <w:pStyle w:val="Compact"/>
              <w:spacing w:line="240" w:lineRule="auto" w:before="20" w:after="20"/>
              <w:jc w:val="left"/>
            </w:pPr>
            <w:r>
              <w:rPr>
                <w:rFonts w:ascii="Arial" w:hAnsi="Arial"/>
                <w:sz w:val="20"/>
              </w:rPr>
              <w:t xml:space="preserve">Gastrointestinal</w:t>
            </w:r>
          </w:p>
        </w:tc>
        <w:tc>
          <w:tcPr>
            <w:tcW w:type="dxa" w:w="4042"/>
          </w:tcPr>
          <w:p>
            <w:pPr>
              <w:pStyle w:val="Compact"/>
              <w:spacing w:line="240" w:lineRule="auto" w:before="20" w:after="20"/>
              <w:jc w:val="left"/>
            </w:pPr>
            <w:r>
              <w:rPr>
                <w:rFonts w:ascii="Arial" w:hAnsi="Arial"/>
                <w:sz w:val="20"/>
              </w:rPr>
              <w:t xml:space="preserve">K64</w:t>
            </w:r>
          </w:p>
        </w:tc>
        <w:tc>
          <w:tcPr>
            <w:tcW w:type="dxa" w:w="2974"/>
          </w:tcPr>
          <w:p>
            <w:pPr>
              <w:pStyle w:val="Compact"/>
              <w:spacing w:line="240" w:lineRule="auto" w:before="20" w:after="20"/>
              <w:jc w:val="left"/>
            </w:pPr>
            <w:r>
              <w:rPr>
                <w:rFonts w:ascii="Arial" w:hAnsi="Arial"/>
                <w:sz w:val="20"/>
              </w:rPr>
              <w:t xml:space="preserve">455</w:t>
            </w:r>
          </w:p>
        </w:tc>
        <w:tc>
          <w:tcPr>
            <w:tcW w:type="dxa" w:w="915"/>
          </w:tcPr>
          <w:p>
            <w:pPr>
              <w:pStyle w:val="Compact"/>
              <w:spacing w:line="240" w:lineRule="auto" w:before="20" w:after="20"/>
              <w:jc w:val="left"/>
            </w:pPr>
            <w:r>
              <w:rPr>
                <w:rFonts w:ascii="Arial" w:hAnsi="Arial"/>
                <w:sz w:val="20"/>
              </w:rPr>
              <w:t xml:space="preserve">674</w:t>
            </w:r>
          </w:p>
        </w:tc>
        <w:tc>
          <w:tcPr>
            <w:tcW w:type="dxa" w:w="1906"/>
          </w:tcPr>
          <w:p>
            <w:pPr>
              <w:pStyle w:val="Compact"/>
              <w:spacing w:line="240" w:lineRule="auto" w:before="20" w:after="20"/>
              <w:jc w:val="left"/>
            </w:pPr>
            <w:r>
              <w:rPr>
                <w:rFonts w:ascii="Arial" w:hAnsi="Arial"/>
                <w:sz w:val="20"/>
              </w:rPr>
              <w:t xml:space="preserve">0.73 (0.55-0.96)</w:t>
            </w:r>
          </w:p>
        </w:tc>
        <w:tc>
          <w:tcPr>
            <w:tcW w:type="dxa" w:w="609"/>
          </w:tcPr>
          <w:p>
            <w:pPr>
              <w:pStyle w:val="Compact"/>
              <w:spacing w:line="240" w:lineRule="auto" w:before="20" w:after="20"/>
              <w:jc w:val="left"/>
            </w:pPr>
            <w:r>
              <w:rPr>
                <w:rFonts w:ascii="Arial" w:hAnsi="Arial"/>
                <w:sz w:val="20"/>
              </w:rPr>
              <w:t xml:space="preserve">.02</w:t>
            </w:r>
          </w:p>
        </w:tc>
      </w:tr>
      <w:tr>
        <w:tc>
          <w:tcPr>
            <w:tcW w:type="dxa" w:w="2212"/>
          </w:tcPr>
          <w:p>
            <w:pPr>
              <w:pStyle w:val="Compact"/>
              <w:spacing w:line="240" w:lineRule="auto" w:before="20" w:after="20"/>
              <w:jc w:val="left"/>
            </w:pPr>
            <w:r>
              <w:rPr>
                <w:rFonts w:ascii="Arial" w:hAnsi="Arial"/>
                <w:sz w:val="20"/>
              </w:rPr>
              <w:t xml:space="preserve">Benign prostatic hyperplasia</w:t>
            </w:r>
          </w:p>
        </w:tc>
        <w:tc>
          <w:tcPr>
            <w:tcW w:type="dxa" w:w="1296"/>
          </w:tcPr>
          <w:p>
            <w:pPr>
              <w:pStyle w:val="Compact"/>
              <w:spacing w:line="240" w:lineRule="auto" w:before="20" w:after="20"/>
              <w:jc w:val="left"/>
            </w:pPr>
            <w:r>
              <w:rPr>
                <w:rFonts w:ascii="Arial" w:hAnsi="Arial"/>
                <w:sz w:val="20"/>
              </w:rPr>
              <w:t xml:space="preserve">Urology</w:t>
            </w:r>
          </w:p>
        </w:tc>
        <w:tc>
          <w:tcPr>
            <w:tcW w:type="dxa" w:w="4042"/>
          </w:tcPr>
          <w:p>
            <w:pPr>
              <w:pStyle w:val="Compact"/>
              <w:spacing w:line="240" w:lineRule="auto" w:before="20" w:after="20"/>
              <w:jc w:val="left"/>
            </w:pPr>
            <w:r>
              <w:rPr>
                <w:rFonts w:ascii="Arial" w:hAnsi="Arial"/>
                <w:sz w:val="20"/>
              </w:rPr>
              <w:t xml:space="preserve">N40</w:t>
            </w:r>
          </w:p>
        </w:tc>
        <w:tc>
          <w:tcPr>
            <w:tcW w:type="dxa" w:w="2974"/>
          </w:tcPr>
          <w:p>
            <w:pPr>
              <w:pStyle w:val="Compact"/>
              <w:spacing w:line="240" w:lineRule="auto" w:before="20" w:after="20"/>
              <w:jc w:val="left"/>
            </w:pPr>
            <w:r>
              <w:rPr>
                <w:rFonts w:ascii="Arial" w:hAnsi="Arial"/>
                <w:sz w:val="20"/>
              </w:rPr>
              <w:t xml:space="preserve">600</w:t>
            </w:r>
          </w:p>
        </w:tc>
        <w:tc>
          <w:tcPr>
            <w:tcW w:type="dxa" w:w="915"/>
          </w:tcPr>
          <w:p>
            <w:pPr>
              <w:pStyle w:val="Compact"/>
              <w:spacing w:line="240" w:lineRule="auto" w:before="20" w:after="20"/>
              <w:jc w:val="left"/>
            </w:pPr>
            <w:r>
              <w:rPr>
                <w:rFonts w:ascii="Arial" w:hAnsi="Arial"/>
                <w:sz w:val="20"/>
              </w:rPr>
              <w:t xml:space="preserve">938</w:t>
            </w:r>
          </w:p>
        </w:tc>
        <w:tc>
          <w:tcPr>
            <w:tcW w:type="dxa" w:w="1906"/>
          </w:tcPr>
          <w:p>
            <w:pPr>
              <w:pStyle w:val="Compact"/>
              <w:spacing w:line="240" w:lineRule="auto" w:before="20" w:after="20"/>
              <w:jc w:val="left"/>
            </w:pPr>
            <w:r>
              <w:rPr>
                <w:rFonts w:ascii="Arial" w:hAnsi="Arial"/>
                <w:sz w:val="20"/>
              </w:rPr>
              <w:t xml:space="preserve">0.91 (0.74-1.13)</w:t>
            </w:r>
          </w:p>
        </w:tc>
        <w:tc>
          <w:tcPr>
            <w:tcW w:type="dxa" w:w="609"/>
          </w:tcPr>
          <w:p>
            <w:pPr>
              <w:pStyle w:val="Compact"/>
              <w:spacing w:line="240" w:lineRule="auto" w:before="20" w:after="20"/>
              <w:jc w:val="left"/>
            </w:pPr>
            <w:r>
              <w:rPr>
                <w:rFonts w:ascii="Arial" w:hAnsi="Arial"/>
                <w:sz w:val="20"/>
              </w:rPr>
              <w:t xml:space="preserve">.41</w:t>
            </w:r>
          </w:p>
        </w:tc>
      </w:tr>
      <w:tr>
        <w:tc>
          <w:tcPr>
            <w:tcW w:type="dxa" w:w="2212"/>
          </w:tcPr>
          <w:p>
            <w:pPr>
              <w:pStyle w:val="Compact"/>
              <w:spacing w:line="240" w:lineRule="auto" w:before="20" w:after="20"/>
              <w:jc w:val="left"/>
            </w:pPr>
            <w:r>
              <w:rPr>
                <w:rFonts w:ascii="Arial" w:hAnsi="Arial"/>
                <w:sz w:val="20"/>
              </w:rPr>
              <w:t xml:space="preserve">Gout</w:t>
            </w:r>
          </w:p>
        </w:tc>
        <w:tc>
          <w:tcPr>
            <w:tcW w:type="dxa" w:w="1296"/>
          </w:tcPr>
          <w:p>
            <w:pPr>
              <w:pStyle w:val="Compact"/>
              <w:spacing w:line="240" w:lineRule="auto" w:before="20" w:after="20"/>
              <w:jc w:val="left"/>
            </w:pPr>
            <w:r>
              <w:rPr>
                <w:rFonts w:ascii="Arial" w:hAnsi="Arial"/>
                <w:sz w:val="20"/>
              </w:rPr>
              <w:t xml:space="preserve">Rheumatology</w:t>
            </w:r>
          </w:p>
        </w:tc>
        <w:tc>
          <w:tcPr>
            <w:tcW w:type="dxa" w:w="4042"/>
          </w:tcPr>
          <w:p>
            <w:pPr>
              <w:pStyle w:val="Compact"/>
              <w:spacing w:line="240" w:lineRule="auto" w:before="20" w:after="20"/>
              <w:jc w:val="left"/>
            </w:pPr>
            <w:r>
              <w:rPr>
                <w:rFonts w:ascii="Arial" w:hAnsi="Arial"/>
                <w:sz w:val="20"/>
              </w:rPr>
              <w:t xml:space="preserve">M10</w:t>
            </w:r>
          </w:p>
        </w:tc>
        <w:tc>
          <w:tcPr>
            <w:tcW w:type="dxa" w:w="2974"/>
          </w:tcPr>
          <w:p>
            <w:pPr>
              <w:pStyle w:val="Compact"/>
              <w:spacing w:line="240" w:lineRule="auto" w:before="20" w:after="20"/>
              <w:jc w:val="left"/>
            </w:pPr>
            <w:r>
              <w:rPr>
                <w:rFonts w:ascii="Arial" w:hAnsi="Arial"/>
                <w:sz w:val="20"/>
              </w:rPr>
              <w:t xml:space="preserve">274</w:t>
            </w:r>
          </w:p>
        </w:tc>
        <w:tc>
          <w:tcPr>
            <w:tcW w:type="dxa" w:w="915"/>
          </w:tcPr>
          <w:p>
            <w:pPr>
              <w:pStyle w:val="Compact"/>
              <w:spacing w:line="240" w:lineRule="auto" w:before="20" w:after="20"/>
              <w:jc w:val="left"/>
            </w:pPr>
            <w:r>
              <w:rPr>
                <w:rFonts w:ascii="Arial" w:hAnsi="Arial"/>
                <w:sz w:val="20"/>
              </w:rPr>
              <w:t xml:space="preserve">1,847</w:t>
            </w:r>
          </w:p>
        </w:tc>
        <w:tc>
          <w:tcPr>
            <w:tcW w:type="dxa" w:w="1906"/>
          </w:tcPr>
          <w:p>
            <w:pPr>
              <w:pStyle w:val="Compact"/>
              <w:spacing w:line="240" w:lineRule="auto" w:before="20" w:after="20"/>
              <w:jc w:val="left"/>
            </w:pPr>
            <w:r>
              <w:rPr>
                <w:rFonts w:ascii="Arial" w:hAnsi="Arial"/>
                <w:sz w:val="20"/>
              </w:rPr>
              <w:t xml:space="preserve">1.14 (1.00-1.29)</w:t>
            </w:r>
          </w:p>
        </w:tc>
        <w:tc>
          <w:tcPr>
            <w:tcW w:type="dxa" w:w="609"/>
          </w:tcPr>
          <w:p>
            <w:pPr>
              <w:pStyle w:val="Compact"/>
              <w:spacing w:line="240" w:lineRule="auto" w:before="20" w:after="20"/>
              <w:jc w:val="left"/>
            </w:pPr>
            <w:r>
              <w:rPr>
                <w:rFonts w:ascii="Arial" w:hAnsi="Arial"/>
                <w:sz w:val="20"/>
              </w:rPr>
              <w:t xml:space="preserve">.04</w:t>
            </w:r>
          </w:p>
        </w:tc>
      </w:tr>
      <w:tr>
        <w:tc>
          <w:tcPr>
            <w:tcW w:type="dxa" w:w="2212"/>
          </w:tcPr>
          <w:p>
            <w:pPr>
              <w:pStyle w:val="Compact"/>
              <w:spacing w:line="240" w:lineRule="auto" w:before="20" w:after="20"/>
              <w:jc w:val="left"/>
            </w:pPr>
            <w:r>
              <w:rPr>
                <w:rFonts w:ascii="Arial" w:hAnsi="Arial"/>
                <w:sz w:val="20"/>
              </w:rPr>
              <w:t xml:space="preserve">Tendinitis</w:t>
            </w:r>
          </w:p>
        </w:tc>
        <w:tc>
          <w:tcPr>
            <w:tcW w:type="dxa" w:w="1296"/>
          </w:tcPr>
          <w:p>
            <w:pPr>
              <w:pStyle w:val="Compact"/>
              <w:spacing w:line="240" w:lineRule="auto" w:before="20" w:after="20"/>
              <w:jc w:val="left"/>
            </w:pPr>
            <w:r>
              <w:rPr>
                <w:rFonts w:ascii="Arial" w:hAnsi="Arial"/>
                <w:sz w:val="20"/>
              </w:rPr>
              <w:t xml:space="preserve">Rheumatology</w:t>
            </w:r>
          </w:p>
        </w:tc>
        <w:tc>
          <w:tcPr>
            <w:tcW w:type="dxa" w:w="4042"/>
          </w:tcPr>
          <w:p>
            <w:pPr>
              <w:pStyle w:val="Compact"/>
              <w:spacing w:line="240" w:lineRule="auto" w:before="20" w:after="20"/>
              <w:jc w:val="left"/>
            </w:pPr>
            <w:r>
              <w:rPr>
                <w:rFonts w:ascii="Arial" w:hAnsi="Arial"/>
                <w:sz w:val="20"/>
              </w:rPr>
              <w:t xml:space="preserve">M75-M77</w:t>
            </w:r>
          </w:p>
        </w:tc>
        <w:tc>
          <w:tcPr>
            <w:tcW w:type="dxa" w:w="2974"/>
          </w:tcPr>
          <w:p>
            <w:pPr>
              <w:pStyle w:val="Compact"/>
              <w:spacing w:line="240" w:lineRule="auto" w:before="20" w:after="20"/>
              <w:jc w:val="left"/>
            </w:pPr>
            <w:r>
              <w:rPr>
                <w:rFonts w:ascii="Arial" w:hAnsi="Arial"/>
                <w:sz w:val="20"/>
              </w:rPr>
              <w:t xml:space="preserve">726</w:t>
            </w:r>
          </w:p>
        </w:tc>
        <w:tc>
          <w:tcPr>
            <w:tcW w:type="dxa" w:w="915"/>
          </w:tcPr>
          <w:p>
            <w:pPr>
              <w:pStyle w:val="Compact"/>
              <w:spacing w:line="240" w:lineRule="auto" w:before="20" w:after="20"/>
              <w:jc w:val="left"/>
            </w:pPr>
            <w:r>
              <w:rPr>
                <w:rFonts w:ascii="Arial" w:hAnsi="Arial"/>
                <w:sz w:val="20"/>
              </w:rPr>
              <w:t xml:space="preserve">58</w:t>
            </w:r>
          </w:p>
        </w:tc>
        <w:tc>
          <w:tcPr>
            <w:tcW w:type="dxa" w:w="1906"/>
          </w:tcPr>
          <w:p>
            <w:pPr>
              <w:pStyle w:val="Compact"/>
              <w:spacing w:line="240" w:lineRule="auto" w:before="20" w:after="20"/>
              <w:jc w:val="left"/>
            </w:pPr>
            <w:r>
              <w:rPr>
                <w:rFonts w:ascii="Arial" w:hAnsi="Arial"/>
                <w:sz w:val="20"/>
              </w:rPr>
              <w:t xml:space="preserve">0.67 (0.25-1.83)</w:t>
            </w:r>
          </w:p>
        </w:tc>
        <w:tc>
          <w:tcPr>
            <w:tcW w:type="dxa" w:w="609"/>
          </w:tcPr>
          <w:p>
            <w:pPr>
              <w:pStyle w:val="Compact"/>
              <w:spacing w:line="240" w:lineRule="auto" w:before="20" w:after="20"/>
              <w:jc w:val="left"/>
            </w:pPr>
            <w:r>
              <w:rPr>
                <w:rFonts w:ascii="Arial" w:hAnsi="Arial"/>
                <w:sz w:val="20"/>
              </w:rPr>
              <w:t xml:space="preserve">.44</w:t>
            </w:r>
          </w:p>
        </w:tc>
      </w:tr>
    </w:tbl>
    <w:bookmarkEnd w:id="25"/>
    <w:bookmarkStart w:id="26" w:name="Xba5da64610f2002374f85d6c7cd1bbdfacf5c33"/>
    <w:p>
      <w:pPr>
        <w:pStyle w:val="Heading2"/>
      </w:pPr>
      <w:r>
        <w:rPr>
          <w:rFonts w:ascii="Arial" w:hAnsi="Arial" w:eastAsia="Arial" w:cs="Arial"/>
          <w:b/>
          <w:sz w:val="24"/>
        </w:rPr>
        <w:t xml:space="preserve">eTable 7. Baseline characteristics by guideline-directed medical therapy strategy (question 2)</w:t>
      </w:r>
    </w:p>
    <w:p>
      <w:pPr>
        <w:pStyle w:val="FirstParagraph"/>
      </w:pPr>
      <w:r>
        <w:t xml:space="preserve">This table mirrors eTable 15 (question 1, beta-blocker target dose) but for question 2. The GDMT contrast is binary (received vs not received, per the case-study analysis</w:t>
      </w:r>
      <w:r>
        <w:t xml:space="preserve"> </w:t>
      </w:r>
      <w:r>
        <w:rPr>
          <w:rStyle w:val="VerbatimChar"/>
        </w:rPr>
        <w:t xml:space="preserve">scripts/run_ltmle_gdmt.R</w:t>
      </w:r>
      <w:r>
        <w:t xml:space="preserve">); among the 14,677 eligible patients, 1,744 were optimized and 12,933 were not optimized (the 3,494 patients with missing GDMT score were classified as not optimized, matching the analysis). Of 16 baseline variables, 4 exceeded the conventional 0.10 imbalance threshold before weighting and 0 remained above it after IPTW adjustment with a 16-variable propensity model.</w:t>
      </w:r>
    </w:p>
    <w:p>
      <w:pPr>
        <w:pStyle w:val="TableCaption"/>
      </w:pPr>
      <w:r>
        <w:t xml:space="preserve">eTable 7. Baseline characteristics of the 14,677 eligible patients by guideline-directed medical therapy strategy (question 2). Values are mean (SD) for continuous variables and No. (%) for categorical variables. SMD is the absolute standardized mean difference between strategies; IPTW-adjusted SMD uses a stabilized inverse-probability weight from a 16-variable propensity model. Of 16 baseline variables, 4 exceeded the 0.10 threshold before weighting and 0 remained above it after IPTW adjustment. The GDMT contrast is binary (received vs not received) per the case-study analysis; patients with missing GDMT score were classified as not optimized.</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Caption w:val="eTable 7. Baseline characteristics of the 14,677 eligible patients by guideline-directed medical therapy strategy (question 2). Values are mean (SD) for continuous variables and No. (%) for categorical variables. SMD is the absolute standardized mean difference between strategies; IPTW-adjusted SMD uses a stabilized inverse-probability weight from a 16-variable propensity model. Of 16 baseline variables, 4 exceeded the 0.10 threshold before weighting and 0 remained above it after IPTW adjustment. The GDMT contrast is binary (received vs not received) per the case-study analysis; patients with missing GDMT score were classified as not optimized."/>
      </w:tblPr>
      <w:tblGrid>
        <w:gridCol w:w="3601"/>
        <w:gridCol w:w="3039"/>
        <w:gridCol w:w="3601"/>
        <w:gridCol w:w="1689"/>
        <w:gridCol w:w="2024"/>
      </w:tblGrid>
      <w:tr>
        <w:trPr>
          <w:tblHeader w:val="on"/>
        </w:trPr>
        <w:tc>
          <w:tcPr>
            <w:tcW w:type="dxa" w:w="3601"/>
          </w:tcPr>
          <w:p>
            <w:pPr>
              <w:pStyle w:val="Compact"/>
              <w:spacing w:line="240" w:lineRule="auto" w:before="20" w:after="20"/>
              <w:jc w:val="left"/>
            </w:pPr>
            <w:r>
              <w:rPr>
                <w:rFonts w:ascii="Arial" w:hAnsi="Arial"/>
                <w:sz w:val="20"/>
              </w:rPr>
              <w:t xml:space="preserve">Characteristic</w:t>
            </w:r>
          </w:p>
        </w:tc>
        <w:tc>
          <w:tcPr>
            <w:tcW w:type="dxa" w:w="3039"/>
          </w:tcPr>
          <w:p>
            <w:pPr>
              <w:pStyle w:val="Compact"/>
              <w:spacing w:line="240" w:lineRule="auto" w:before="20" w:after="20"/>
              <w:jc w:val="left"/>
            </w:pPr>
            <w:r>
              <w:rPr>
                <w:rFonts w:ascii="Arial" w:hAnsi="Arial"/>
                <w:sz w:val="20"/>
              </w:rPr>
              <w:t xml:space="preserve">Optimized.GDMT..n…1.744.</w:t>
            </w:r>
          </w:p>
        </w:tc>
        <w:tc>
          <w:tcPr>
            <w:tcW w:type="dxa" w:w="3601"/>
          </w:tcPr>
          <w:p>
            <w:pPr>
              <w:pStyle w:val="Compact"/>
              <w:spacing w:line="240" w:lineRule="auto" w:before="20" w:after="20"/>
              <w:jc w:val="left"/>
            </w:pPr>
            <w:r>
              <w:rPr>
                <w:rFonts w:ascii="Arial" w:hAnsi="Arial"/>
                <w:sz w:val="20"/>
              </w:rPr>
              <w:t xml:space="preserve">Not.optimized.GDMT..n…12.933.</w:t>
            </w:r>
          </w:p>
        </w:tc>
        <w:tc>
          <w:tcPr>
            <w:tcW w:type="dxa" w:w="1689"/>
          </w:tcPr>
          <w:p>
            <w:pPr>
              <w:pStyle w:val="Compact"/>
              <w:spacing w:line="240" w:lineRule="auto" w:before="20" w:after="20"/>
              <w:jc w:val="left"/>
            </w:pPr>
            <w:r>
              <w:rPr>
                <w:rFonts w:ascii="Arial" w:hAnsi="Arial"/>
                <w:sz w:val="20"/>
              </w:rPr>
              <w:t xml:space="preserve">Unadjusted.SMD</w:t>
            </w:r>
          </w:p>
        </w:tc>
        <w:tc>
          <w:tcPr>
            <w:tcW w:type="dxa" w:w="2024"/>
          </w:tcPr>
          <w:p>
            <w:pPr>
              <w:pStyle w:val="Compact"/>
              <w:spacing w:line="240" w:lineRule="auto" w:before="20" w:after="20"/>
              <w:jc w:val="left"/>
            </w:pPr>
            <w:r>
              <w:rPr>
                <w:rFonts w:ascii="Arial" w:hAnsi="Arial"/>
                <w:sz w:val="20"/>
              </w:rPr>
              <w:t xml:space="preserve">IPTW.adjusted.SMD</w:t>
            </w:r>
          </w:p>
        </w:tc>
      </w:tr>
      <w:tr>
        <w:tc>
          <w:tcPr>
            <w:tcW w:type="dxa" w:w="3601"/>
          </w:tcPr>
          <w:p>
            <w:pPr>
              <w:pStyle w:val="Compact"/>
              <w:spacing w:line="240" w:lineRule="auto" w:before="20" w:after="20"/>
              <w:jc w:val="left"/>
            </w:pPr>
            <w:r>
              <w:rPr>
                <w:rFonts w:ascii="Arial" w:hAnsi="Arial"/>
                <w:sz w:val="20"/>
              </w:rPr>
              <w:t xml:space="preserve">Age, mean (SD), y</w:t>
            </w:r>
          </w:p>
        </w:tc>
        <w:tc>
          <w:tcPr>
            <w:tcW w:type="dxa" w:w="3039"/>
          </w:tcPr>
          <w:p>
            <w:pPr>
              <w:pStyle w:val="Compact"/>
              <w:spacing w:line="240" w:lineRule="auto" w:before="20" w:after="20"/>
              <w:jc w:val="left"/>
            </w:pPr>
            <w:r>
              <w:rPr>
                <w:rFonts w:ascii="Arial" w:hAnsi="Arial"/>
                <w:sz w:val="20"/>
              </w:rPr>
              <w:t xml:space="preserve">70.5 (12.8)</w:t>
            </w:r>
          </w:p>
        </w:tc>
        <w:tc>
          <w:tcPr>
            <w:tcW w:type="dxa" w:w="3601"/>
          </w:tcPr>
          <w:p>
            <w:pPr>
              <w:pStyle w:val="Compact"/>
              <w:spacing w:line="240" w:lineRule="auto" w:before="20" w:after="20"/>
              <w:jc w:val="left"/>
            </w:pPr>
            <w:r>
              <w:rPr>
                <w:rFonts w:ascii="Arial" w:hAnsi="Arial"/>
                <w:sz w:val="20"/>
              </w:rPr>
              <w:t xml:space="preserve">71.4 (13.7)</w:t>
            </w:r>
          </w:p>
        </w:tc>
        <w:tc>
          <w:tcPr>
            <w:tcW w:type="dxa" w:w="1689"/>
          </w:tcPr>
          <w:p>
            <w:pPr>
              <w:pStyle w:val="Compact"/>
              <w:spacing w:line="240" w:lineRule="auto" w:before="20" w:after="20"/>
              <w:jc w:val="left"/>
            </w:pPr>
            <w:r>
              <w:rPr>
                <w:rFonts w:ascii="Arial" w:hAnsi="Arial"/>
                <w:sz w:val="20"/>
              </w:rPr>
              <w:t xml:space="preserve">-0.065</w:t>
            </w:r>
          </w:p>
        </w:tc>
        <w:tc>
          <w:tcPr>
            <w:tcW w:type="dxa" w:w="2024"/>
          </w:tcPr>
          <w:p>
            <w:pPr>
              <w:pStyle w:val="Compact"/>
              <w:spacing w:line="240" w:lineRule="auto" w:before="20" w:after="20"/>
              <w:jc w:val="left"/>
            </w:pPr>
            <w:r>
              <w:rPr>
                <w:rFonts w:ascii="Arial" w:hAnsi="Arial"/>
                <w:sz w:val="20"/>
              </w:rPr>
              <w:t xml:space="preserve">-0.001</w:t>
            </w:r>
          </w:p>
        </w:tc>
      </w:tr>
      <w:tr>
        <w:tc>
          <w:tcPr>
            <w:tcW w:type="dxa" w:w="3601"/>
          </w:tcPr>
          <w:p>
            <w:pPr>
              <w:pStyle w:val="Compact"/>
              <w:spacing w:line="240" w:lineRule="auto" w:before="20" w:after="20"/>
              <w:jc w:val="left"/>
            </w:pPr>
            <w:r>
              <w:rPr>
                <w:rFonts w:ascii="Arial" w:hAnsi="Arial"/>
                <w:sz w:val="20"/>
              </w:rPr>
              <w:t xml:space="preserve">Heart rate, mean (SD), bpm</w:t>
            </w:r>
          </w:p>
        </w:tc>
        <w:tc>
          <w:tcPr>
            <w:tcW w:type="dxa" w:w="3039"/>
          </w:tcPr>
          <w:p>
            <w:pPr>
              <w:pStyle w:val="Compact"/>
              <w:spacing w:line="240" w:lineRule="auto" w:before="20" w:after="20"/>
              <w:jc w:val="left"/>
            </w:pPr>
            <w:r>
              <w:rPr>
                <w:rFonts w:ascii="Arial" w:hAnsi="Arial"/>
                <w:sz w:val="20"/>
              </w:rPr>
              <w:t xml:space="preserve">79.0 (18.0)</w:t>
            </w:r>
          </w:p>
        </w:tc>
        <w:tc>
          <w:tcPr>
            <w:tcW w:type="dxa" w:w="3601"/>
          </w:tcPr>
          <w:p>
            <w:pPr>
              <w:pStyle w:val="Compact"/>
              <w:spacing w:line="240" w:lineRule="auto" w:before="20" w:after="20"/>
              <w:jc w:val="left"/>
            </w:pPr>
            <w:r>
              <w:rPr>
                <w:rFonts w:ascii="Arial" w:hAnsi="Arial"/>
                <w:sz w:val="20"/>
              </w:rPr>
              <w:t xml:space="preserve">80.0 (18.2)</w:t>
            </w:r>
          </w:p>
        </w:tc>
        <w:tc>
          <w:tcPr>
            <w:tcW w:type="dxa" w:w="1689"/>
          </w:tcPr>
          <w:p>
            <w:pPr>
              <w:pStyle w:val="Compact"/>
              <w:spacing w:line="240" w:lineRule="auto" w:before="20" w:after="20"/>
              <w:jc w:val="left"/>
            </w:pPr>
            <w:r>
              <w:rPr>
                <w:rFonts w:ascii="Arial" w:hAnsi="Arial"/>
                <w:sz w:val="20"/>
              </w:rPr>
              <w:t xml:space="preserve">-0.055</w:t>
            </w:r>
          </w:p>
        </w:tc>
        <w:tc>
          <w:tcPr>
            <w:tcW w:type="dxa" w:w="2024"/>
          </w:tcPr>
          <w:p>
            <w:pPr>
              <w:pStyle w:val="Compact"/>
              <w:spacing w:line="240" w:lineRule="auto" w:before="20" w:after="20"/>
              <w:jc w:val="left"/>
            </w:pPr>
            <w:r>
              <w:rPr>
                <w:rFonts w:ascii="Arial" w:hAnsi="Arial"/>
                <w:sz w:val="20"/>
              </w:rPr>
              <w:t xml:space="preserve">-0.014</w:t>
            </w:r>
          </w:p>
        </w:tc>
      </w:tr>
      <w:tr>
        <w:tc>
          <w:tcPr>
            <w:tcW w:type="dxa" w:w="3601"/>
          </w:tcPr>
          <w:p>
            <w:pPr>
              <w:pStyle w:val="Compact"/>
              <w:spacing w:line="240" w:lineRule="auto" w:before="20" w:after="20"/>
              <w:jc w:val="left"/>
            </w:pPr>
            <w:r>
              <w:rPr>
                <w:rFonts w:ascii="Arial" w:hAnsi="Arial"/>
                <w:sz w:val="20"/>
              </w:rPr>
              <w:t xml:space="preserve">QRS duration, mean (SD), ms</w:t>
            </w:r>
          </w:p>
        </w:tc>
        <w:tc>
          <w:tcPr>
            <w:tcW w:type="dxa" w:w="3039"/>
          </w:tcPr>
          <w:p>
            <w:pPr>
              <w:pStyle w:val="Compact"/>
              <w:spacing w:line="240" w:lineRule="auto" w:before="20" w:after="20"/>
              <w:jc w:val="left"/>
            </w:pPr>
            <w:r>
              <w:rPr>
                <w:rFonts w:ascii="Arial" w:hAnsi="Arial"/>
                <w:sz w:val="20"/>
              </w:rPr>
              <w:t xml:space="preserve">108.8 (25.9)</w:t>
            </w:r>
          </w:p>
        </w:tc>
        <w:tc>
          <w:tcPr>
            <w:tcW w:type="dxa" w:w="3601"/>
          </w:tcPr>
          <w:p>
            <w:pPr>
              <w:pStyle w:val="Compact"/>
              <w:spacing w:line="240" w:lineRule="auto" w:before="20" w:after="20"/>
              <w:jc w:val="left"/>
            </w:pPr>
            <w:r>
              <w:rPr>
                <w:rFonts w:ascii="Arial" w:hAnsi="Arial"/>
                <w:sz w:val="20"/>
              </w:rPr>
              <w:t xml:space="preserve">106.5 (25.5)</w:t>
            </w:r>
          </w:p>
        </w:tc>
        <w:tc>
          <w:tcPr>
            <w:tcW w:type="dxa" w:w="1689"/>
          </w:tcPr>
          <w:p>
            <w:pPr>
              <w:pStyle w:val="Compact"/>
              <w:spacing w:line="240" w:lineRule="auto" w:before="20" w:after="20"/>
              <w:jc w:val="left"/>
            </w:pPr>
            <w:r>
              <w:rPr>
                <w:rFonts w:ascii="Arial" w:hAnsi="Arial"/>
                <w:sz w:val="20"/>
              </w:rPr>
              <w:t xml:space="preserve">0.090</w:t>
            </w:r>
          </w:p>
        </w:tc>
        <w:tc>
          <w:tcPr>
            <w:tcW w:type="dxa" w:w="2024"/>
          </w:tcPr>
          <w:p>
            <w:pPr>
              <w:pStyle w:val="Compact"/>
              <w:spacing w:line="240" w:lineRule="auto" w:before="20" w:after="20"/>
              <w:jc w:val="left"/>
            </w:pPr>
            <w:r>
              <w:rPr>
                <w:rFonts w:ascii="Arial" w:hAnsi="Arial"/>
                <w:sz w:val="20"/>
              </w:rPr>
              <w:t xml:space="preserve">-0.009</w:t>
            </w:r>
          </w:p>
        </w:tc>
      </w:tr>
      <w:tr>
        <w:tc>
          <w:tcPr>
            <w:tcW w:type="dxa" w:w="3601"/>
          </w:tcPr>
          <w:p>
            <w:pPr>
              <w:pStyle w:val="Compact"/>
              <w:spacing w:line="240" w:lineRule="auto" w:before="20" w:after="20"/>
              <w:jc w:val="left"/>
            </w:pPr>
            <w:r>
              <w:rPr>
                <w:rFonts w:ascii="Arial" w:hAnsi="Arial"/>
                <w:sz w:val="20"/>
              </w:rPr>
              <w:t xml:space="preserve">QTc interval, mean (SD), ms</w:t>
            </w:r>
          </w:p>
        </w:tc>
        <w:tc>
          <w:tcPr>
            <w:tcW w:type="dxa" w:w="3039"/>
          </w:tcPr>
          <w:p>
            <w:pPr>
              <w:pStyle w:val="Compact"/>
              <w:spacing w:line="240" w:lineRule="auto" w:before="20" w:after="20"/>
              <w:jc w:val="left"/>
            </w:pPr>
            <w:r>
              <w:rPr>
                <w:rFonts w:ascii="Arial" w:hAnsi="Arial"/>
                <w:sz w:val="20"/>
              </w:rPr>
              <w:t xml:space="preserve">461.5 (29.2)</w:t>
            </w:r>
          </w:p>
        </w:tc>
        <w:tc>
          <w:tcPr>
            <w:tcW w:type="dxa" w:w="3601"/>
          </w:tcPr>
          <w:p>
            <w:pPr>
              <w:pStyle w:val="Compact"/>
              <w:spacing w:line="240" w:lineRule="auto" w:before="20" w:after="20"/>
              <w:jc w:val="left"/>
            </w:pPr>
            <w:r>
              <w:rPr>
                <w:rFonts w:ascii="Arial" w:hAnsi="Arial"/>
                <w:sz w:val="20"/>
              </w:rPr>
              <w:t xml:space="preserve">458.4 (29.7)</w:t>
            </w:r>
          </w:p>
        </w:tc>
        <w:tc>
          <w:tcPr>
            <w:tcW w:type="dxa" w:w="1689"/>
          </w:tcPr>
          <w:p>
            <w:pPr>
              <w:pStyle w:val="Compact"/>
              <w:spacing w:line="240" w:lineRule="auto" w:before="20" w:after="20"/>
              <w:jc w:val="left"/>
            </w:pPr>
            <w:r>
              <w:rPr>
                <w:rFonts w:ascii="Arial" w:hAnsi="Arial"/>
                <w:sz w:val="20"/>
              </w:rPr>
              <w:t xml:space="preserve">0.107</w:t>
            </w:r>
          </w:p>
        </w:tc>
        <w:tc>
          <w:tcPr>
            <w:tcW w:type="dxa" w:w="2024"/>
          </w:tcPr>
          <w:p>
            <w:pPr>
              <w:pStyle w:val="Compact"/>
              <w:spacing w:line="240" w:lineRule="auto" w:before="20" w:after="20"/>
              <w:jc w:val="left"/>
            </w:pPr>
            <w:r>
              <w:rPr>
                <w:rFonts w:ascii="Arial" w:hAnsi="Arial"/>
                <w:sz w:val="20"/>
              </w:rPr>
              <w:t xml:space="preserve">-0.010</w:t>
            </w:r>
          </w:p>
        </w:tc>
      </w:tr>
      <w:tr>
        <w:tc>
          <w:tcPr>
            <w:tcW w:type="dxa" w:w="3601"/>
          </w:tcPr>
          <w:p>
            <w:pPr>
              <w:pStyle w:val="Compact"/>
              <w:spacing w:line="240" w:lineRule="auto" w:before="20" w:after="20"/>
              <w:jc w:val="left"/>
            </w:pPr>
            <w:r>
              <w:rPr>
                <w:rFonts w:ascii="Arial" w:hAnsi="Arial"/>
                <w:sz w:val="20"/>
              </w:rPr>
              <w:t xml:space="preserve">Creatinine, mean (SD), mg/dL</w:t>
            </w:r>
          </w:p>
        </w:tc>
        <w:tc>
          <w:tcPr>
            <w:tcW w:type="dxa" w:w="3039"/>
          </w:tcPr>
          <w:p>
            <w:pPr>
              <w:pStyle w:val="Compact"/>
              <w:spacing w:line="240" w:lineRule="auto" w:before="20" w:after="20"/>
              <w:jc w:val="left"/>
            </w:pPr>
            <w:r>
              <w:rPr>
                <w:rFonts w:ascii="Arial" w:hAnsi="Arial"/>
                <w:sz w:val="20"/>
              </w:rPr>
              <w:t xml:space="preserve">1.3 (1.1)</w:t>
            </w:r>
          </w:p>
        </w:tc>
        <w:tc>
          <w:tcPr>
            <w:tcW w:type="dxa" w:w="3601"/>
          </w:tcPr>
          <w:p>
            <w:pPr>
              <w:pStyle w:val="Compact"/>
              <w:spacing w:line="240" w:lineRule="auto" w:before="20" w:after="20"/>
              <w:jc w:val="left"/>
            </w:pPr>
            <w:r>
              <w:rPr>
                <w:rFonts w:ascii="Arial" w:hAnsi="Arial"/>
                <w:sz w:val="20"/>
              </w:rPr>
              <w:t xml:space="preserve">1.5 (1.5)</w:t>
            </w:r>
          </w:p>
        </w:tc>
        <w:tc>
          <w:tcPr>
            <w:tcW w:type="dxa" w:w="1689"/>
          </w:tcPr>
          <w:p>
            <w:pPr>
              <w:pStyle w:val="Compact"/>
              <w:spacing w:line="240" w:lineRule="auto" w:before="20" w:after="20"/>
              <w:jc w:val="left"/>
            </w:pPr>
            <w:r>
              <w:rPr>
                <w:rFonts w:ascii="Arial" w:hAnsi="Arial"/>
                <w:sz w:val="20"/>
              </w:rPr>
              <w:t xml:space="preserve">-0.151</w:t>
            </w:r>
          </w:p>
        </w:tc>
        <w:tc>
          <w:tcPr>
            <w:tcW w:type="dxa" w:w="2024"/>
          </w:tcPr>
          <w:p>
            <w:pPr>
              <w:pStyle w:val="Compact"/>
              <w:spacing w:line="240" w:lineRule="auto" w:before="20" w:after="20"/>
              <w:jc w:val="left"/>
            </w:pPr>
            <w:r>
              <w:rPr>
                <w:rFonts w:ascii="Arial" w:hAnsi="Arial"/>
                <w:sz w:val="20"/>
              </w:rPr>
              <w:t xml:space="preserve">0.088</w:t>
            </w:r>
          </w:p>
        </w:tc>
      </w:tr>
      <w:tr>
        <w:tc>
          <w:tcPr>
            <w:tcW w:type="dxa" w:w="3601"/>
          </w:tcPr>
          <w:p>
            <w:pPr>
              <w:pStyle w:val="Compact"/>
              <w:spacing w:line="240" w:lineRule="auto" w:before="20" w:after="20"/>
              <w:jc w:val="left"/>
            </w:pPr>
            <w:r>
              <w:rPr>
                <w:rFonts w:ascii="Arial" w:hAnsi="Arial"/>
                <w:sz w:val="20"/>
              </w:rPr>
              <w:t xml:space="preserve">eGFR, mean (SD), mL/min/1.73m^2</w:t>
            </w:r>
          </w:p>
        </w:tc>
        <w:tc>
          <w:tcPr>
            <w:tcW w:type="dxa" w:w="3039"/>
          </w:tcPr>
          <w:p>
            <w:pPr>
              <w:pStyle w:val="Compact"/>
              <w:spacing w:line="240" w:lineRule="auto" w:before="20" w:after="20"/>
              <w:jc w:val="left"/>
            </w:pPr>
            <w:r>
              <w:rPr>
                <w:rFonts w:ascii="Arial" w:hAnsi="Arial"/>
                <w:sz w:val="20"/>
              </w:rPr>
              <w:t xml:space="preserve">61.7 (24.6)</w:t>
            </w:r>
          </w:p>
        </w:tc>
        <w:tc>
          <w:tcPr>
            <w:tcW w:type="dxa" w:w="3601"/>
          </w:tcPr>
          <w:p>
            <w:pPr>
              <w:pStyle w:val="Compact"/>
              <w:spacing w:line="240" w:lineRule="auto" w:before="20" w:after="20"/>
              <w:jc w:val="left"/>
            </w:pPr>
            <w:r>
              <w:rPr>
                <w:rFonts w:ascii="Arial" w:hAnsi="Arial"/>
                <w:sz w:val="20"/>
              </w:rPr>
              <w:t xml:space="preserve">59.7 (28.8)</w:t>
            </w:r>
          </w:p>
        </w:tc>
        <w:tc>
          <w:tcPr>
            <w:tcW w:type="dxa" w:w="1689"/>
          </w:tcPr>
          <w:p>
            <w:pPr>
              <w:pStyle w:val="Compact"/>
              <w:spacing w:line="240" w:lineRule="auto" w:before="20" w:after="20"/>
              <w:jc w:val="left"/>
            </w:pPr>
            <w:r>
              <w:rPr>
                <w:rFonts w:ascii="Arial" w:hAnsi="Arial"/>
                <w:sz w:val="20"/>
              </w:rPr>
              <w:t xml:space="preserve">0.077</w:t>
            </w:r>
          </w:p>
        </w:tc>
        <w:tc>
          <w:tcPr>
            <w:tcW w:type="dxa" w:w="2024"/>
          </w:tcPr>
          <w:p>
            <w:pPr>
              <w:pStyle w:val="Compact"/>
              <w:spacing w:line="240" w:lineRule="auto" w:before="20" w:after="20"/>
              <w:jc w:val="left"/>
            </w:pPr>
            <w:r>
              <w:rPr>
                <w:rFonts w:ascii="Arial" w:hAnsi="Arial"/>
                <w:sz w:val="20"/>
              </w:rPr>
              <w:t xml:space="preserve">-0.035</w:t>
            </w:r>
          </w:p>
        </w:tc>
      </w:tr>
      <w:tr>
        <w:tc>
          <w:tcPr>
            <w:tcW w:type="dxa" w:w="3601"/>
          </w:tcPr>
          <w:p>
            <w:pPr>
              <w:pStyle w:val="Compact"/>
              <w:spacing w:line="240" w:lineRule="auto" w:before="20" w:after="20"/>
              <w:jc w:val="left"/>
            </w:pPr>
            <w:r>
              <w:rPr>
                <w:rFonts w:ascii="Arial" w:hAnsi="Arial"/>
                <w:sz w:val="20"/>
              </w:rPr>
              <w:t xml:space="preserve">Hemoglobin, mean (SD), g/dL</w:t>
            </w:r>
          </w:p>
        </w:tc>
        <w:tc>
          <w:tcPr>
            <w:tcW w:type="dxa" w:w="3039"/>
          </w:tcPr>
          <w:p>
            <w:pPr>
              <w:pStyle w:val="Compact"/>
              <w:spacing w:line="240" w:lineRule="auto" w:before="20" w:after="20"/>
              <w:jc w:val="left"/>
            </w:pPr>
            <w:r>
              <w:rPr>
                <w:rFonts w:ascii="Arial" w:hAnsi="Arial"/>
                <w:sz w:val="20"/>
              </w:rPr>
              <w:t xml:space="preserve">11.3 (1.8)</w:t>
            </w:r>
          </w:p>
        </w:tc>
        <w:tc>
          <w:tcPr>
            <w:tcW w:type="dxa" w:w="3601"/>
          </w:tcPr>
          <w:p>
            <w:pPr>
              <w:pStyle w:val="Compact"/>
              <w:spacing w:line="240" w:lineRule="auto" w:before="20" w:after="20"/>
              <w:jc w:val="left"/>
            </w:pPr>
            <w:r>
              <w:rPr>
                <w:rFonts w:ascii="Arial" w:hAnsi="Arial"/>
                <w:sz w:val="20"/>
              </w:rPr>
              <w:t xml:space="preserve">10.7 (1.9)</w:t>
            </w:r>
          </w:p>
        </w:tc>
        <w:tc>
          <w:tcPr>
            <w:tcW w:type="dxa" w:w="1689"/>
          </w:tcPr>
          <w:p>
            <w:pPr>
              <w:pStyle w:val="Compact"/>
              <w:spacing w:line="240" w:lineRule="auto" w:before="20" w:after="20"/>
              <w:jc w:val="left"/>
            </w:pPr>
            <w:r>
              <w:rPr>
                <w:rFonts w:ascii="Arial" w:hAnsi="Arial"/>
                <w:sz w:val="20"/>
              </w:rPr>
              <w:t xml:space="preserve">0.293</w:t>
            </w:r>
          </w:p>
        </w:tc>
        <w:tc>
          <w:tcPr>
            <w:tcW w:type="dxa" w:w="2024"/>
          </w:tcPr>
          <w:p>
            <w:pPr>
              <w:pStyle w:val="Compact"/>
              <w:spacing w:line="240" w:lineRule="auto" w:before="20" w:after="20"/>
              <w:jc w:val="left"/>
            </w:pPr>
            <w:r>
              <w:rPr>
                <w:rFonts w:ascii="Arial" w:hAnsi="Arial"/>
                <w:sz w:val="20"/>
              </w:rPr>
              <w:t xml:space="preserve">0.018</w:t>
            </w:r>
          </w:p>
        </w:tc>
      </w:tr>
      <w:tr>
        <w:tc>
          <w:tcPr>
            <w:tcW w:type="dxa" w:w="3601"/>
          </w:tcPr>
          <w:p>
            <w:pPr>
              <w:pStyle w:val="Compact"/>
              <w:spacing w:line="240" w:lineRule="auto" w:before="20" w:after="20"/>
              <w:jc w:val="left"/>
            </w:pPr>
            <w:r>
              <w:rPr>
                <w:rFonts w:ascii="Arial" w:hAnsi="Arial"/>
                <w:sz w:val="20"/>
              </w:rPr>
              <w:t xml:space="preserve">Chloride, mean (SD), mEq/L</w:t>
            </w:r>
          </w:p>
        </w:tc>
        <w:tc>
          <w:tcPr>
            <w:tcW w:type="dxa" w:w="3039"/>
          </w:tcPr>
          <w:p>
            <w:pPr>
              <w:pStyle w:val="Compact"/>
              <w:spacing w:line="240" w:lineRule="auto" w:before="20" w:after="20"/>
              <w:jc w:val="left"/>
            </w:pPr>
            <w:r>
              <w:rPr>
                <w:rFonts w:ascii="Arial" w:hAnsi="Arial"/>
                <w:sz w:val="20"/>
              </w:rPr>
              <w:t xml:space="preserve">101.7 (4.3)</w:t>
            </w:r>
          </w:p>
        </w:tc>
        <w:tc>
          <w:tcPr>
            <w:tcW w:type="dxa" w:w="3601"/>
          </w:tcPr>
          <w:p>
            <w:pPr>
              <w:pStyle w:val="Compact"/>
              <w:spacing w:line="240" w:lineRule="auto" w:before="20" w:after="20"/>
              <w:jc w:val="left"/>
            </w:pPr>
            <w:r>
              <w:rPr>
                <w:rFonts w:ascii="Arial" w:hAnsi="Arial"/>
                <w:sz w:val="20"/>
              </w:rPr>
              <w:t xml:space="preserve">102.1 (4.7)</w:t>
            </w:r>
          </w:p>
        </w:tc>
        <w:tc>
          <w:tcPr>
            <w:tcW w:type="dxa" w:w="1689"/>
          </w:tcPr>
          <w:p>
            <w:pPr>
              <w:pStyle w:val="Compact"/>
              <w:spacing w:line="240" w:lineRule="auto" w:before="20" w:after="20"/>
              <w:jc w:val="left"/>
            </w:pPr>
            <w:r>
              <w:rPr>
                <w:rFonts w:ascii="Arial" w:hAnsi="Arial"/>
                <w:sz w:val="20"/>
              </w:rPr>
              <w:t xml:space="preserve">-0.101</w:t>
            </w:r>
          </w:p>
        </w:tc>
        <w:tc>
          <w:tcPr>
            <w:tcW w:type="dxa" w:w="2024"/>
          </w:tcPr>
          <w:p>
            <w:pPr>
              <w:pStyle w:val="Compact"/>
              <w:spacing w:line="240" w:lineRule="auto" w:before="20" w:after="20"/>
              <w:jc w:val="left"/>
            </w:pPr>
            <w:r>
              <w:rPr>
                <w:rFonts w:ascii="Arial" w:hAnsi="Arial"/>
                <w:sz w:val="20"/>
              </w:rPr>
              <w:t xml:space="preserve">-0.040</w:t>
            </w:r>
          </w:p>
        </w:tc>
      </w:tr>
      <w:tr>
        <w:tc>
          <w:tcPr>
            <w:tcW w:type="dxa" w:w="3601"/>
          </w:tcPr>
          <w:p>
            <w:pPr>
              <w:pStyle w:val="Compact"/>
              <w:spacing w:line="240" w:lineRule="auto" w:before="20" w:after="20"/>
              <w:jc w:val="left"/>
            </w:pPr>
            <w:r>
              <w:rPr>
                <w:rFonts w:ascii="Arial" w:hAnsi="Arial"/>
                <w:sz w:val="20"/>
              </w:rPr>
              <w:t xml:space="preserve">Potassium, mean (SD), mEq/L</w:t>
            </w:r>
          </w:p>
        </w:tc>
        <w:tc>
          <w:tcPr>
            <w:tcW w:type="dxa" w:w="3039"/>
          </w:tcPr>
          <w:p>
            <w:pPr>
              <w:pStyle w:val="Compact"/>
              <w:spacing w:line="240" w:lineRule="auto" w:before="20" w:after="20"/>
              <w:jc w:val="left"/>
            </w:pPr>
            <w:r>
              <w:rPr>
                <w:rFonts w:ascii="Arial" w:hAnsi="Arial"/>
                <w:sz w:val="20"/>
              </w:rPr>
              <w:t xml:space="preserve">4.2 (0.6)</w:t>
            </w:r>
          </w:p>
        </w:tc>
        <w:tc>
          <w:tcPr>
            <w:tcW w:type="dxa" w:w="3601"/>
          </w:tcPr>
          <w:p>
            <w:pPr>
              <w:pStyle w:val="Compact"/>
              <w:spacing w:line="240" w:lineRule="auto" w:before="20" w:after="20"/>
              <w:jc w:val="left"/>
            </w:pPr>
            <w:r>
              <w:rPr>
                <w:rFonts w:ascii="Arial" w:hAnsi="Arial"/>
                <w:sz w:val="20"/>
              </w:rPr>
              <w:t xml:space="preserve">4.2 (0.6)</w:t>
            </w:r>
          </w:p>
        </w:tc>
        <w:tc>
          <w:tcPr>
            <w:tcW w:type="dxa" w:w="1689"/>
          </w:tcPr>
          <w:p>
            <w:pPr>
              <w:pStyle w:val="Compact"/>
              <w:spacing w:line="240" w:lineRule="auto" w:before="20" w:after="20"/>
              <w:jc w:val="left"/>
            </w:pPr>
            <w:r>
              <w:rPr>
                <w:rFonts w:ascii="Arial" w:hAnsi="Arial"/>
                <w:sz w:val="20"/>
              </w:rPr>
              <w:t xml:space="preserve">-0.043</w:t>
            </w:r>
          </w:p>
        </w:tc>
        <w:tc>
          <w:tcPr>
            <w:tcW w:type="dxa" w:w="2024"/>
          </w:tcPr>
          <w:p>
            <w:pPr>
              <w:pStyle w:val="Compact"/>
              <w:spacing w:line="240" w:lineRule="auto" w:before="20" w:after="20"/>
              <w:jc w:val="left"/>
            </w:pPr>
            <w:r>
              <w:rPr>
                <w:rFonts w:ascii="Arial" w:hAnsi="Arial"/>
                <w:sz w:val="20"/>
              </w:rPr>
              <w:t xml:space="preserve">-0.025</w:t>
            </w:r>
          </w:p>
        </w:tc>
      </w:tr>
      <w:tr>
        <w:tc>
          <w:tcPr>
            <w:tcW w:type="dxa" w:w="3601"/>
          </w:tcPr>
          <w:p>
            <w:pPr>
              <w:pStyle w:val="Compact"/>
              <w:spacing w:line="240" w:lineRule="auto" w:before="20" w:after="20"/>
              <w:jc w:val="left"/>
            </w:pPr>
            <w:r>
              <w:rPr>
                <w:rFonts w:ascii="Arial" w:hAnsi="Arial"/>
                <w:sz w:val="20"/>
              </w:rPr>
              <w:t xml:space="preserve">Female, n (%)</w:t>
            </w:r>
          </w:p>
        </w:tc>
        <w:tc>
          <w:tcPr>
            <w:tcW w:type="dxa" w:w="3039"/>
          </w:tcPr>
          <w:p>
            <w:pPr>
              <w:pStyle w:val="Compact"/>
              <w:spacing w:line="240" w:lineRule="auto" w:before="20" w:after="20"/>
              <w:jc w:val="left"/>
            </w:pPr>
            <w:r>
              <w:rPr>
                <w:rFonts w:ascii="Arial" w:hAnsi="Arial"/>
                <w:sz w:val="20"/>
              </w:rPr>
              <w:t xml:space="preserve">752 (43.1%)</w:t>
            </w:r>
          </w:p>
        </w:tc>
        <w:tc>
          <w:tcPr>
            <w:tcW w:type="dxa" w:w="3601"/>
          </w:tcPr>
          <w:p>
            <w:pPr>
              <w:pStyle w:val="Compact"/>
              <w:spacing w:line="240" w:lineRule="auto" w:before="20" w:after="20"/>
              <w:jc w:val="left"/>
            </w:pPr>
            <w:r>
              <w:rPr>
                <w:rFonts w:ascii="Arial" w:hAnsi="Arial"/>
                <w:sz w:val="20"/>
              </w:rPr>
              <w:t xml:space="preserve">5950 (46.0%)</w:t>
            </w:r>
          </w:p>
        </w:tc>
        <w:tc>
          <w:tcPr>
            <w:tcW w:type="dxa" w:w="1689"/>
          </w:tcPr>
          <w:p>
            <w:pPr>
              <w:pStyle w:val="Compact"/>
              <w:spacing w:line="240" w:lineRule="auto" w:before="20" w:after="20"/>
              <w:jc w:val="left"/>
            </w:pPr>
            <w:r>
              <w:rPr>
                <w:rFonts w:ascii="Arial" w:hAnsi="Arial"/>
                <w:sz w:val="20"/>
              </w:rPr>
              <w:t xml:space="preserve">-0.058</w:t>
            </w:r>
          </w:p>
        </w:tc>
        <w:tc>
          <w:tcPr>
            <w:tcW w:type="dxa" w:w="2024"/>
          </w:tcPr>
          <w:p>
            <w:pPr>
              <w:pStyle w:val="Compact"/>
              <w:spacing w:line="240" w:lineRule="auto" w:before="20" w:after="20"/>
              <w:jc w:val="left"/>
            </w:pPr>
            <w:r>
              <w:rPr>
                <w:rFonts w:ascii="Arial" w:hAnsi="Arial"/>
                <w:sz w:val="20"/>
              </w:rPr>
              <w:t xml:space="preserve">0.001</w:t>
            </w:r>
          </w:p>
        </w:tc>
      </w:tr>
      <w:tr>
        <w:tc>
          <w:tcPr>
            <w:tcW w:type="dxa" w:w="3601"/>
          </w:tcPr>
          <w:p>
            <w:pPr>
              <w:pStyle w:val="Compact"/>
              <w:spacing w:line="240" w:lineRule="auto" w:before="20" w:after="20"/>
              <w:jc w:val="left"/>
            </w:pPr>
            <w:r>
              <w:rPr>
                <w:rFonts w:ascii="Arial" w:hAnsi="Arial"/>
                <w:sz w:val="20"/>
              </w:rPr>
              <w:t xml:space="preserve">Atrial fibrillation, n (%)</w:t>
            </w:r>
          </w:p>
        </w:tc>
        <w:tc>
          <w:tcPr>
            <w:tcW w:type="dxa" w:w="3039"/>
          </w:tcPr>
          <w:p>
            <w:pPr>
              <w:pStyle w:val="Compact"/>
              <w:spacing w:line="240" w:lineRule="auto" w:before="20" w:after="20"/>
              <w:jc w:val="left"/>
            </w:pPr>
            <w:r>
              <w:rPr>
                <w:rFonts w:ascii="Arial" w:hAnsi="Arial"/>
                <w:sz w:val="20"/>
              </w:rPr>
              <w:t xml:space="preserve">598 (34.3%)</w:t>
            </w:r>
          </w:p>
        </w:tc>
        <w:tc>
          <w:tcPr>
            <w:tcW w:type="dxa" w:w="3601"/>
          </w:tcPr>
          <w:p>
            <w:pPr>
              <w:pStyle w:val="Compact"/>
              <w:spacing w:line="240" w:lineRule="auto" w:before="20" w:after="20"/>
              <w:jc w:val="left"/>
            </w:pPr>
            <w:r>
              <w:rPr>
                <w:rFonts w:ascii="Arial" w:hAnsi="Arial"/>
                <w:sz w:val="20"/>
              </w:rPr>
              <w:t xml:space="preserve">4238 (32.8%)</w:t>
            </w:r>
          </w:p>
        </w:tc>
        <w:tc>
          <w:tcPr>
            <w:tcW w:type="dxa" w:w="1689"/>
          </w:tcPr>
          <w:p>
            <w:pPr>
              <w:pStyle w:val="Compact"/>
              <w:spacing w:line="240" w:lineRule="auto" w:before="20" w:after="20"/>
              <w:jc w:val="left"/>
            </w:pPr>
            <w:r>
              <w:rPr>
                <w:rFonts w:ascii="Arial" w:hAnsi="Arial"/>
                <w:sz w:val="20"/>
              </w:rPr>
              <w:t xml:space="preserve">0.032</w:t>
            </w:r>
          </w:p>
        </w:tc>
        <w:tc>
          <w:tcPr>
            <w:tcW w:type="dxa" w:w="2024"/>
          </w:tcPr>
          <w:p>
            <w:pPr>
              <w:pStyle w:val="Compact"/>
              <w:spacing w:line="240" w:lineRule="auto" w:before="20" w:after="20"/>
              <w:jc w:val="left"/>
            </w:pPr>
            <w:r>
              <w:rPr>
                <w:rFonts w:ascii="Arial" w:hAnsi="Arial"/>
                <w:sz w:val="20"/>
              </w:rPr>
              <w:t xml:space="preserve">-0.015</w:t>
            </w:r>
          </w:p>
        </w:tc>
      </w:tr>
      <w:tr>
        <w:tc>
          <w:tcPr>
            <w:tcW w:type="dxa" w:w="3601"/>
          </w:tcPr>
          <w:p>
            <w:pPr>
              <w:pStyle w:val="Compact"/>
              <w:spacing w:line="240" w:lineRule="auto" w:before="20" w:after="20"/>
              <w:jc w:val="left"/>
            </w:pPr>
            <w:r>
              <w:rPr>
                <w:rFonts w:ascii="Arial" w:hAnsi="Arial"/>
                <w:sz w:val="20"/>
              </w:rPr>
              <w:t xml:space="preserve">Left bundle branch block, n (%)</w:t>
            </w:r>
          </w:p>
        </w:tc>
        <w:tc>
          <w:tcPr>
            <w:tcW w:type="dxa" w:w="3039"/>
          </w:tcPr>
          <w:p>
            <w:pPr>
              <w:pStyle w:val="Compact"/>
              <w:spacing w:line="240" w:lineRule="auto" w:before="20" w:after="20"/>
              <w:jc w:val="left"/>
            </w:pPr>
            <w:r>
              <w:rPr>
                <w:rFonts w:ascii="Arial" w:hAnsi="Arial"/>
                <w:sz w:val="20"/>
              </w:rPr>
              <w:t xml:space="preserve">149 (8.5%)</w:t>
            </w:r>
          </w:p>
        </w:tc>
        <w:tc>
          <w:tcPr>
            <w:tcW w:type="dxa" w:w="3601"/>
          </w:tcPr>
          <w:p>
            <w:pPr>
              <w:pStyle w:val="Compact"/>
              <w:spacing w:line="240" w:lineRule="auto" w:before="20" w:after="20"/>
              <w:jc w:val="left"/>
            </w:pPr>
            <w:r>
              <w:rPr>
                <w:rFonts w:ascii="Arial" w:hAnsi="Arial"/>
                <w:sz w:val="20"/>
              </w:rPr>
              <w:t xml:space="preserve">911 (7.0%)</w:t>
            </w:r>
          </w:p>
        </w:tc>
        <w:tc>
          <w:tcPr>
            <w:tcW w:type="dxa" w:w="1689"/>
          </w:tcPr>
          <w:p>
            <w:pPr>
              <w:pStyle w:val="Compact"/>
              <w:spacing w:line="240" w:lineRule="auto" w:before="20" w:after="20"/>
              <w:jc w:val="left"/>
            </w:pPr>
            <w:r>
              <w:rPr>
                <w:rFonts w:ascii="Arial" w:hAnsi="Arial"/>
                <w:sz w:val="20"/>
              </w:rPr>
              <w:t xml:space="preserve">0.056</w:t>
            </w:r>
          </w:p>
        </w:tc>
        <w:tc>
          <w:tcPr>
            <w:tcW w:type="dxa" w:w="2024"/>
          </w:tcPr>
          <w:p>
            <w:pPr>
              <w:pStyle w:val="Compact"/>
              <w:spacing w:line="240" w:lineRule="auto" w:before="20" w:after="20"/>
              <w:jc w:val="left"/>
            </w:pPr>
            <w:r>
              <w:rPr>
                <w:rFonts w:ascii="Arial" w:hAnsi="Arial"/>
                <w:sz w:val="20"/>
              </w:rPr>
              <w:t xml:space="preserve">0.003</w:t>
            </w:r>
          </w:p>
        </w:tc>
      </w:tr>
      <w:tr>
        <w:tc>
          <w:tcPr>
            <w:tcW w:type="dxa" w:w="3601"/>
          </w:tcPr>
          <w:p>
            <w:pPr>
              <w:pStyle w:val="Compact"/>
              <w:spacing w:line="240" w:lineRule="auto" w:before="20" w:after="20"/>
              <w:jc w:val="left"/>
            </w:pPr>
            <w:r>
              <w:rPr>
                <w:rFonts w:ascii="Arial" w:hAnsi="Arial"/>
                <w:sz w:val="20"/>
              </w:rPr>
              <w:t xml:space="preserve">Prolonged QTc, n (%)</w:t>
            </w:r>
          </w:p>
        </w:tc>
        <w:tc>
          <w:tcPr>
            <w:tcW w:type="dxa" w:w="3039"/>
          </w:tcPr>
          <w:p>
            <w:pPr>
              <w:pStyle w:val="Compact"/>
              <w:spacing w:line="240" w:lineRule="auto" w:before="20" w:after="20"/>
              <w:jc w:val="left"/>
            </w:pPr>
            <w:r>
              <w:rPr>
                <w:rFonts w:ascii="Arial" w:hAnsi="Arial"/>
                <w:sz w:val="20"/>
              </w:rPr>
              <w:t xml:space="preserve">745 (42.7%)</w:t>
            </w:r>
          </w:p>
        </w:tc>
        <w:tc>
          <w:tcPr>
            <w:tcW w:type="dxa" w:w="3601"/>
          </w:tcPr>
          <w:p>
            <w:pPr>
              <w:pStyle w:val="Compact"/>
              <w:spacing w:line="240" w:lineRule="auto" w:before="20" w:after="20"/>
              <w:jc w:val="left"/>
            </w:pPr>
            <w:r>
              <w:rPr>
                <w:rFonts w:ascii="Arial" w:hAnsi="Arial"/>
                <w:sz w:val="20"/>
              </w:rPr>
              <w:t xml:space="preserve">4915 (38.0%)</w:t>
            </w:r>
          </w:p>
        </w:tc>
        <w:tc>
          <w:tcPr>
            <w:tcW w:type="dxa" w:w="1689"/>
          </w:tcPr>
          <w:p>
            <w:pPr>
              <w:pStyle w:val="Compact"/>
              <w:spacing w:line="240" w:lineRule="auto" w:before="20" w:after="20"/>
              <w:jc w:val="left"/>
            </w:pPr>
            <w:r>
              <w:rPr>
                <w:rFonts w:ascii="Arial" w:hAnsi="Arial"/>
                <w:sz w:val="20"/>
              </w:rPr>
              <w:t xml:space="preserve">0.096</w:t>
            </w:r>
          </w:p>
        </w:tc>
        <w:tc>
          <w:tcPr>
            <w:tcW w:type="dxa" w:w="2024"/>
          </w:tcPr>
          <w:p>
            <w:pPr>
              <w:pStyle w:val="Compact"/>
              <w:spacing w:line="240" w:lineRule="auto" w:before="20" w:after="20"/>
              <w:jc w:val="left"/>
            </w:pPr>
            <w:r>
              <w:rPr>
                <w:rFonts w:ascii="Arial" w:hAnsi="Arial"/>
                <w:sz w:val="20"/>
              </w:rPr>
              <w:t xml:space="preserve">-0.019</w:t>
            </w:r>
          </w:p>
        </w:tc>
      </w:tr>
      <w:tr>
        <w:tc>
          <w:tcPr>
            <w:tcW w:type="dxa" w:w="3601"/>
          </w:tcPr>
          <w:p>
            <w:pPr>
              <w:pStyle w:val="Compact"/>
              <w:spacing w:line="240" w:lineRule="auto" w:before="20" w:after="20"/>
              <w:jc w:val="left"/>
            </w:pPr>
            <w:r>
              <w:rPr>
                <w:rFonts w:ascii="Arial" w:hAnsi="Arial"/>
                <w:sz w:val="20"/>
              </w:rPr>
              <w:t xml:space="preserve">Wide QRS (&gt;=120 ms), n (%)</w:t>
            </w:r>
          </w:p>
        </w:tc>
        <w:tc>
          <w:tcPr>
            <w:tcW w:type="dxa" w:w="3039"/>
          </w:tcPr>
          <w:p>
            <w:pPr>
              <w:pStyle w:val="Compact"/>
              <w:spacing w:line="240" w:lineRule="auto" w:before="20" w:after="20"/>
              <w:jc w:val="left"/>
            </w:pPr>
            <w:r>
              <w:rPr>
                <w:rFonts w:ascii="Arial" w:hAnsi="Arial"/>
                <w:sz w:val="20"/>
              </w:rPr>
              <w:t xml:space="preserve">476 (27.3%)</w:t>
            </w:r>
          </w:p>
        </w:tc>
        <w:tc>
          <w:tcPr>
            <w:tcW w:type="dxa" w:w="3601"/>
          </w:tcPr>
          <w:p>
            <w:pPr>
              <w:pStyle w:val="Compact"/>
              <w:spacing w:line="240" w:lineRule="auto" w:before="20" w:after="20"/>
              <w:jc w:val="left"/>
            </w:pPr>
            <w:r>
              <w:rPr>
                <w:rFonts w:ascii="Arial" w:hAnsi="Arial"/>
                <w:sz w:val="20"/>
              </w:rPr>
              <w:t xml:space="preserve">3330 (25.8%)</w:t>
            </w:r>
          </w:p>
        </w:tc>
        <w:tc>
          <w:tcPr>
            <w:tcW w:type="dxa" w:w="1689"/>
          </w:tcPr>
          <w:p>
            <w:pPr>
              <w:pStyle w:val="Compact"/>
              <w:spacing w:line="240" w:lineRule="auto" w:before="20" w:after="20"/>
              <w:jc w:val="left"/>
            </w:pPr>
            <w:r>
              <w:rPr>
                <w:rFonts w:ascii="Arial" w:hAnsi="Arial"/>
                <w:sz w:val="20"/>
              </w:rPr>
              <w:t xml:space="preserve">0.035</w:t>
            </w:r>
          </w:p>
        </w:tc>
        <w:tc>
          <w:tcPr>
            <w:tcW w:type="dxa" w:w="2024"/>
          </w:tcPr>
          <w:p>
            <w:pPr>
              <w:pStyle w:val="Compact"/>
              <w:spacing w:line="240" w:lineRule="auto" w:before="20" w:after="20"/>
              <w:jc w:val="left"/>
            </w:pPr>
            <w:r>
              <w:rPr>
                <w:rFonts w:ascii="Arial" w:hAnsi="Arial"/>
                <w:sz w:val="20"/>
              </w:rPr>
              <w:t xml:space="preserve">-0.005</w:t>
            </w:r>
          </w:p>
        </w:tc>
      </w:tr>
      <w:tr>
        <w:tc>
          <w:tcPr>
            <w:tcW w:type="dxa" w:w="3601"/>
          </w:tcPr>
          <w:p>
            <w:pPr>
              <w:pStyle w:val="Compact"/>
              <w:spacing w:line="240" w:lineRule="auto" w:before="20" w:after="20"/>
              <w:jc w:val="left"/>
            </w:pPr>
            <w:r>
              <w:rPr>
                <w:rFonts w:ascii="Arial" w:hAnsi="Arial"/>
                <w:sz w:val="20"/>
              </w:rPr>
              <w:t xml:space="preserve">eGFR &lt;60 mL/min/1.73m^2, n (%)</w:t>
            </w:r>
          </w:p>
        </w:tc>
        <w:tc>
          <w:tcPr>
            <w:tcW w:type="dxa" w:w="3039"/>
          </w:tcPr>
          <w:p>
            <w:pPr>
              <w:pStyle w:val="Compact"/>
              <w:spacing w:line="240" w:lineRule="auto" w:before="20" w:after="20"/>
              <w:jc w:val="left"/>
            </w:pPr>
            <w:r>
              <w:rPr>
                <w:rFonts w:ascii="Arial" w:hAnsi="Arial"/>
                <w:sz w:val="20"/>
              </w:rPr>
              <w:t xml:space="preserve">827 (47.9%)</w:t>
            </w:r>
          </w:p>
        </w:tc>
        <w:tc>
          <w:tcPr>
            <w:tcW w:type="dxa" w:w="3601"/>
          </w:tcPr>
          <w:p>
            <w:pPr>
              <w:pStyle w:val="Compact"/>
              <w:spacing w:line="240" w:lineRule="auto" w:before="20" w:after="20"/>
              <w:jc w:val="left"/>
            </w:pPr>
            <w:r>
              <w:rPr>
                <w:rFonts w:ascii="Arial" w:hAnsi="Arial"/>
                <w:sz w:val="20"/>
              </w:rPr>
              <w:t xml:space="preserve">6329 (50.8%)</w:t>
            </w:r>
          </w:p>
        </w:tc>
        <w:tc>
          <w:tcPr>
            <w:tcW w:type="dxa" w:w="1689"/>
          </w:tcPr>
          <w:p>
            <w:pPr>
              <w:pStyle w:val="Compact"/>
              <w:spacing w:line="240" w:lineRule="auto" w:before="20" w:after="20"/>
              <w:jc w:val="left"/>
            </w:pPr>
            <w:r>
              <w:rPr>
                <w:rFonts w:ascii="Arial" w:hAnsi="Arial"/>
                <w:sz w:val="20"/>
              </w:rPr>
              <w:t xml:space="preserve">-0.058</w:t>
            </w:r>
          </w:p>
        </w:tc>
        <w:tc>
          <w:tcPr>
            <w:tcW w:type="dxa" w:w="2024"/>
          </w:tcPr>
          <w:p>
            <w:pPr>
              <w:pStyle w:val="Compact"/>
              <w:spacing w:line="240" w:lineRule="auto" w:before="20" w:after="20"/>
              <w:jc w:val="left"/>
            </w:pPr>
            <w:r>
              <w:rPr>
                <w:rFonts w:ascii="Arial" w:hAnsi="Arial"/>
                <w:sz w:val="20"/>
              </w:rPr>
              <w:t xml:space="preserve">0.046</w:t>
            </w:r>
          </w:p>
        </w:tc>
      </w:tr>
      <w:tr>
        <w:tc>
          <w:tcPr>
            <w:tcW w:type="dxa" w:w="3601"/>
          </w:tcPr>
          <w:p>
            <w:pPr>
              <w:pStyle w:val="Compact"/>
              <w:spacing w:line="240" w:lineRule="auto" w:before="20" w:after="20"/>
              <w:jc w:val="left"/>
            </w:pPr>
            <w:r>
              <w:rPr>
                <w:rFonts w:ascii="Arial" w:hAnsi="Arial"/>
                <w:sz w:val="20"/>
              </w:rPr>
              <w:t xml:space="preserve">Age &gt;=75 y, n (%)</w:t>
            </w:r>
          </w:p>
        </w:tc>
        <w:tc>
          <w:tcPr>
            <w:tcW w:type="dxa" w:w="3039"/>
          </w:tcPr>
          <w:p>
            <w:pPr>
              <w:pStyle w:val="Compact"/>
              <w:spacing w:line="240" w:lineRule="auto" w:before="20" w:after="20"/>
              <w:jc w:val="left"/>
            </w:pPr>
            <w:r>
              <w:rPr>
                <w:rFonts w:ascii="Arial" w:hAnsi="Arial"/>
                <w:sz w:val="20"/>
              </w:rPr>
              <w:t xml:space="preserve">725 (41.6%)</w:t>
            </w:r>
          </w:p>
        </w:tc>
        <w:tc>
          <w:tcPr>
            <w:tcW w:type="dxa" w:w="3601"/>
          </w:tcPr>
          <w:p>
            <w:pPr>
              <w:pStyle w:val="Compact"/>
              <w:spacing w:line="240" w:lineRule="auto" w:before="20" w:after="20"/>
              <w:jc w:val="left"/>
            </w:pPr>
            <w:r>
              <w:rPr>
                <w:rFonts w:ascii="Arial" w:hAnsi="Arial"/>
                <w:sz w:val="20"/>
              </w:rPr>
              <w:t xml:space="preserve">5954 (46.0%)</w:t>
            </w:r>
          </w:p>
        </w:tc>
        <w:tc>
          <w:tcPr>
            <w:tcW w:type="dxa" w:w="1689"/>
          </w:tcPr>
          <w:p>
            <w:pPr>
              <w:pStyle w:val="Compact"/>
              <w:spacing w:line="240" w:lineRule="auto" w:before="20" w:after="20"/>
              <w:jc w:val="left"/>
            </w:pPr>
            <w:r>
              <w:rPr>
                <w:rFonts w:ascii="Arial" w:hAnsi="Arial"/>
                <w:sz w:val="20"/>
              </w:rPr>
              <w:t xml:space="preserve">-0.090</w:t>
            </w:r>
          </w:p>
        </w:tc>
        <w:tc>
          <w:tcPr>
            <w:tcW w:type="dxa" w:w="2024"/>
          </w:tcPr>
          <w:p>
            <w:pPr>
              <w:pStyle w:val="Compact"/>
              <w:spacing w:line="240" w:lineRule="auto" w:before="20" w:after="20"/>
              <w:jc w:val="left"/>
            </w:pPr>
            <w:r>
              <w:rPr>
                <w:rFonts w:ascii="Arial" w:hAnsi="Arial"/>
                <w:sz w:val="20"/>
              </w:rPr>
              <w:t xml:space="preserve">-0.001</w:t>
            </w:r>
          </w:p>
        </w:tc>
      </w:tr>
    </w:tbl>
    <w:bookmarkEnd w:id="26"/>
    <w:bookmarkStart w:id="27" w:name="X417f3abd4d8707945ab580bc1a993bc0136387b"/>
    <w:p>
      <w:pPr>
        <w:pStyle w:val="Heading2"/>
      </w:pPr>
      <w:r>
        <w:rPr>
          <w:rFonts w:ascii="Arial" w:hAnsi="Arial" w:eastAsia="Arial" w:cs="Arial"/>
          <w:b/>
          <w:sz w:val="24"/>
        </w:rPr>
        <w:t xml:space="preserve">eTable 8. Held-out validation of the lookup table</w:t>
      </w:r>
    </w:p>
    <w:p>
      <w:pPr>
        <w:pStyle w:val="TableCaption"/>
      </w:pPr>
      <w:r>
        <w:t xml:space="preserve">eTable 8. Five-fold held-out validation of the BAF reliability lookup, for the seven reporting rules of Table 2. The lookup, including its bin edges, its median half-width, and its per-bin probabilities, was rebuilt on training data only and applied unchanged to the held-out data; the training columns report its performance on the data used to build it, so the gap between the training and test columns is the in-sample optimism. Misuse is the share of repetitions declared usable that were in truth bias-dominated.</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Caption w:val="eTable 8. Five-fold held-out validation of the BAF reliability lookup, for the seven reporting rules of Table 2. The lookup, including its bin edges, its median half-width, and its per-bin probabilities, was rebuilt on training data only and applied unchanged to the held-out data; the training columns report its performance on the data used to build it, so the gap between the training and test columns is the in-sample optimism. Misuse is the share of repetitions declared usable that were in truth bias-dominated."/>
      </w:tblPr>
      <w:tblGrid>
        <w:gridCol w:w="2588"/>
        <w:gridCol w:w="462"/>
        <w:gridCol w:w="2773"/>
        <w:gridCol w:w="2403"/>
        <w:gridCol w:w="1941"/>
        <w:gridCol w:w="1571"/>
        <w:gridCol w:w="2216"/>
      </w:tblGrid>
      <w:tr>
        <w:trPr>
          <w:tblHeader w:val="on"/>
        </w:trPr>
        <w:tc>
          <w:tcPr>
            <w:tcW w:type="dxa" w:w="2588"/>
          </w:tcPr>
          <w:p>
            <w:pPr>
              <w:pStyle w:val="Compact"/>
              <w:spacing w:line="240" w:lineRule="auto" w:before="20" w:after="20"/>
              <w:jc w:val="left"/>
            </w:pPr>
            <w:r>
              <w:rPr>
                <w:rFonts w:ascii="Arial" w:hAnsi="Arial"/>
                <w:sz w:val="20"/>
              </w:rPr>
              <w:t xml:space="preserve">Held out</w:t>
            </w:r>
          </w:p>
        </w:tc>
        <w:tc>
          <w:tcPr>
            <w:tcW w:type="dxa" w:w="462"/>
          </w:tcPr>
          <w:p>
            <w:pPr>
              <w:pStyle w:val="Compact"/>
              <w:spacing w:line="240" w:lineRule="auto" w:before="20" w:after="20"/>
              <w:jc w:val="left"/>
            </w:pPr>
            <w:r>
              <w:rPr>
                <w:rFonts w:ascii="Arial" w:hAnsi="Arial"/>
                <w:sz w:val="20"/>
              </w:rPr>
              <w:t xml:space="preserve">Rule</w:t>
            </w:r>
          </w:p>
        </w:tc>
        <w:tc>
          <w:tcPr>
            <w:tcW w:type="dxa" w:w="2773"/>
          </w:tcPr>
          <w:p>
            <w:pPr>
              <w:pStyle w:val="Compact"/>
              <w:spacing w:line="240" w:lineRule="auto" w:before="20" w:after="20"/>
              <w:jc w:val="left"/>
            </w:pPr>
            <w:r>
              <w:rPr>
                <w:rFonts w:ascii="Arial" w:hAnsi="Arial"/>
                <w:sz w:val="20"/>
              </w:rPr>
              <w:t xml:space="preserve">Declared usable, training (%)</w:t>
            </w:r>
          </w:p>
        </w:tc>
        <w:tc>
          <w:tcPr>
            <w:tcW w:type="dxa" w:w="2403"/>
          </w:tcPr>
          <w:p>
            <w:pPr>
              <w:pStyle w:val="Compact"/>
              <w:spacing w:line="240" w:lineRule="auto" w:before="20" w:after="20"/>
              <w:jc w:val="left"/>
            </w:pPr>
            <w:r>
              <w:rPr>
                <w:rFonts w:ascii="Arial" w:hAnsi="Arial"/>
                <w:sz w:val="20"/>
              </w:rPr>
              <w:t xml:space="preserve">Declared usable, test (%)</w:t>
            </w:r>
          </w:p>
        </w:tc>
        <w:tc>
          <w:tcPr>
            <w:tcW w:type="dxa" w:w="1941"/>
          </w:tcPr>
          <w:p>
            <w:pPr>
              <w:pStyle w:val="Compact"/>
              <w:spacing w:line="240" w:lineRule="auto" w:before="20" w:after="20"/>
              <w:jc w:val="left"/>
            </w:pPr>
            <w:r>
              <w:rPr>
                <w:rFonts w:ascii="Arial" w:hAnsi="Arial"/>
                <w:sz w:val="20"/>
              </w:rPr>
              <w:t xml:space="preserve">Misuse, training (%)</w:t>
            </w:r>
          </w:p>
        </w:tc>
        <w:tc>
          <w:tcPr>
            <w:tcW w:type="dxa" w:w="1571"/>
          </w:tcPr>
          <w:p>
            <w:pPr>
              <w:pStyle w:val="Compact"/>
              <w:spacing w:line="240" w:lineRule="auto" w:before="20" w:after="20"/>
              <w:jc w:val="left"/>
            </w:pPr>
            <w:r>
              <w:rPr>
                <w:rFonts w:ascii="Arial" w:hAnsi="Arial"/>
                <w:sz w:val="20"/>
              </w:rPr>
              <w:t xml:space="preserve">Misuse, test (%)</w:t>
            </w:r>
          </w:p>
        </w:tc>
        <w:tc>
          <w:tcPr>
            <w:tcW w:type="dxa" w:w="2216"/>
          </w:tcPr>
          <w:p>
            <w:pPr>
              <w:pStyle w:val="Compact"/>
              <w:spacing w:line="240" w:lineRule="auto" w:before="20" w:after="20"/>
              <w:jc w:val="left"/>
            </w:pPr>
            <w:r>
              <w:rPr>
                <w:rFonts w:ascii="Arial" w:hAnsi="Arial"/>
                <w:sz w:val="20"/>
              </w:rPr>
              <w:t xml:space="preserve">Misuse across folds (%)</w:t>
            </w:r>
          </w:p>
        </w:tc>
      </w:tr>
      <w:tr>
        <w:tc>
          <w:tcPr>
            <w:tcW w:type="dxa" w:w="2588"/>
          </w:tcPr>
          <w:p>
            <w:pPr>
              <w:pStyle w:val="Compact"/>
              <w:spacing w:line="240" w:lineRule="auto" w:before="20" w:after="20"/>
              <w:jc w:val="left"/>
            </w:pPr>
            <w:r>
              <w:rPr>
                <w:rFonts w:ascii="Arial" w:hAnsi="Arial"/>
                <w:sz w:val="20"/>
              </w:rPr>
              <w:t xml:space="preserve">20% of repetitions held out</w:t>
            </w:r>
          </w:p>
        </w:tc>
        <w:tc>
          <w:tcPr>
            <w:tcW w:type="dxa" w:w="462"/>
          </w:tcPr>
          <w:p>
            <w:pPr>
              <w:pStyle w:val="Compact"/>
              <w:spacing w:line="240" w:lineRule="auto" w:before="20" w:after="20"/>
              <w:jc w:val="left"/>
            </w:pPr>
            <w:r>
              <w:rPr>
                <w:rFonts w:ascii="Arial" w:hAnsi="Arial"/>
                <w:sz w:val="20"/>
              </w:rPr>
              <w:t xml:space="preserve">R0</w:t>
            </w:r>
          </w:p>
        </w:tc>
        <w:tc>
          <w:tcPr>
            <w:tcW w:type="dxa" w:w="2773"/>
          </w:tcPr>
          <w:p>
            <w:pPr>
              <w:pStyle w:val="Compact"/>
              <w:spacing w:line="240" w:lineRule="auto" w:before="20" w:after="20"/>
              <w:jc w:val="left"/>
            </w:pPr>
            <w:r>
              <w:rPr>
                <w:rFonts w:ascii="Arial" w:hAnsi="Arial"/>
                <w:sz w:val="20"/>
              </w:rPr>
              <w:t xml:space="preserve">67.7%</w:t>
            </w:r>
          </w:p>
        </w:tc>
        <w:tc>
          <w:tcPr>
            <w:tcW w:type="dxa" w:w="2403"/>
          </w:tcPr>
          <w:p>
            <w:pPr>
              <w:pStyle w:val="Compact"/>
              <w:spacing w:line="240" w:lineRule="auto" w:before="20" w:after="20"/>
              <w:jc w:val="left"/>
            </w:pPr>
            <w:r>
              <w:rPr>
                <w:rFonts w:ascii="Arial" w:hAnsi="Arial"/>
                <w:sz w:val="20"/>
              </w:rPr>
              <w:t xml:space="preserve">67.7%</w:t>
            </w:r>
          </w:p>
        </w:tc>
        <w:tc>
          <w:tcPr>
            <w:tcW w:type="dxa" w:w="1941"/>
          </w:tcPr>
          <w:p>
            <w:pPr>
              <w:pStyle w:val="Compact"/>
              <w:spacing w:line="240" w:lineRule="auto" w:before="20" w:after="20"/>
              <w:jc w:val="left"/>
            </w:pPr>
            <w:r>
              <w:rPr>
                <w:rFonts w:ascii="Arial" w:hAnsi="Arial"/>
                <w:sz w:val="20"/>
              </w:rPr>
              <w:t xml:space="preserve">53.44%</w:t>
            </w:r>
          </w:p>
        </w:tc>
        <w:tc>
          <w:tcPr>
            <w:tcW w:type="dxa" w:w="1571"/>
          </w:tcPr>
          <w:p>
            <w:pPr>
              <w:pStyle w:val="Compact"/>
              <w:spacing w:line="240" w:lineRule="auto" w:before="20" w:after="20"/>
              <w:jc w:val="left"/>
            </w:pPr>
            <w:r>
              <w:rPr>
                <w:rFonts w:ascii="Arial" w:hAnsi="Arial"/>
                <w:sz w:val="20"/>
              </w:rPr>
              <w:t xml:space="preserve">53.44%</w:t>
            </w:r>
          </w:p>
        </w:tc>
        <w:tc>
          <w:tcPr>
            <w:tcW w:type="dxa" w:w="2216"/>
          </w:tcPr>
          <w:p>
            <w:pPr>
              <w:pStyle w:val="Compact"/>
              <w:spacing w:line="240" w:lineRule="auto" w:before="20" w:after="20"/>
              <w:jc w:val="left"/>
            </w:pPr>
            <w:r>
              <w:rPr>
                <w:rFonts w:ascii="Arial" w:hAnsi="Arial"/>
                <w:sz w:val="20"/>
              </w:rPr>
              <w:t xml:space="preserve">53.3–53.6</w:t>
            </w:r>
          </w:p>
        </w:tc>
      </w:tr>
      <w:tr>
        <w:tc>
          <w:tcPr>
            <w:tcW w:type="dxa" w:w="2588"/>
          </w:tcPr>
          <w:p>
            <w:pPr>
              <w:pStyle w:val="Compact"/>
              <w:spacing w:line="240" w:lineRule="auto" w:before="20" w:after="20"/>
              <w:jc w:val="left"/>
            </w:pPr>
            <w:r>
              <w:rPr>
                <w:rFonts w:ascii="Arial" w:hAnsi="Arial"/>
                <w:sz w:val="20"/>
              </w:rPr>
              <w:t xml:space="preserve">20% of repetitions held out</w:t>
            </w:r>
          </w:p>
        </w:tc>
        <w:tc>
          <w:tcPr>
            <w:tcW w:type="dxa" w:w="462"/>
          </w:tcPr>
          <w:p>
            <w:pPr>
              <w:pStyle w:val="Compact"/>
              <w:spacing w:line="240" w:lineRule="auto" w:before="20" w:after="20"/>
              <w:jc w:val="left"/>
            </w:pPr>
            <w:r>
              <w:rPr>
                <w:rFonts w:ascii="Arial" w:hAnsi="Arial"/>
                <w:sz w:val="20"/>
              </w:rPr>
              <w:t xml:space="preserve">R1</w:t>
            </w:r>
          </w:p>
        </w:tc>
        <w:tc>
          <w:tcPr>
            <w:tcW w:type="dxa" w:w="2773"/>
          </w:tcPr>
          <w:p>
            <w:pPr>
              <w:pStyle w:val="Compact"/>
              <w:spacing w:line="240" w:lineRule="auto" w:before="20" w:after="20"/>
              <w:jc w:val="left"/>
            </w:pPr>
            <w:r>
              <w:rPr>
                <w:rFonts w:ascii="Arial" w:hAnsi="Arial"/>
                <w:sz w:val="20"/>
              </w:rPr>
              <w:t xml:space="preserve">61.8%</w:t>
            </w:r>
          </w:p>
        </w:tc>
        <w:tc>
          <w:tcPr>
            <w:tcW w:type="dxa" w:w="2403"/>
          </w:tcPr>
          <w:p>
            <w:pPr>
              <w:pStyle w:val="Compact"/>
              <w:spacing w:line="240" w:lineRule="auto" w:before="20" w:after="20"/>
              <w:jc w:val="left"/>
            </w:pPr>
            <w:r>
              <w:rPr>
                <w:rFonts w:ascii="Arial" w:hAnsi="Arial"/>
                <w:sz w:val="20"/>
              </w:rPr>
              <w:t xml:space="preserve">61.8%</w:t>
            </w:r>
          </w:p>
        </w:tc>
        <w:tc>
          <w:tcPr>
            <w:tcW w:type="dxa" w:w="1941"/>
          </w:tcPr>
          <w:p>
            <w:pPr>
              <w:pStyle w:val="Compact"/>
              <w:spacing w:line="240" w:lineRule="auto" w:before="20" w:after="20"/>
              <w:jc w:val="left"/>
            </w:pPr>
            <w:r>
              <w:rPr>
                <w:rFonts w:ascii="Arial" w:hAnsi="Arial"/>
                <w:sz w:val="20"/>
              </w:rPr>
              <w:t xml:space="preserve">36.02%</w:t>
            </w:r>
          </w:p>
        </w:tc>
        <w:tc>
          <w:tcPr>
            <w:tcW w:type="dxa" w:w="1571"/>
          </w:tcPr>
          <w:p>
            <w:pPr>
              <w:pStyle w:val="Compact"/>
              <w:spacing w:line="240" w:lineRule="auto" w:before="20" w:after="20"/>
              <w:jc w:val="left"/>
            </w:pPr>
            <w:r>
              <w:rPr>
                <w:rFonts w:ascii="Arial" w:hAnsi="Arial"/>
                <w:sz w:val="20"/>
              </w:rPr>
              <w:t xml:space="preserve">36.02%</w:t>
            </w:r>
          </w:p>
        </w:tc>
        <w:tc>
          <w:tcPr>
            <w:tcW w:type="dxa" w:w="2216"/>
          </w:tcPr>
          <w:p>
            <w:pPr>
              <w:pStyle w:val="Compact"/>
              <w:spacing w:line="240" w:lineRule="auto" w:before="20" w:after="20"/>
              <w:jc w:val="left"/>
            </w:pPr>
            <w:r>
              <w:rPr>
                <w:rFonts w:ascii="Arial" w:hAnsi="Arial"/>
                <w:sz w:val="20"/>
              </w:rPr>
              <w:t xml:space="preserve">35.9–36.1</w:t>
            </w:r>
          </w:p>
        </w:tc>
      </w:tr>
      <w:tr>
        <w:tc>
          <w:tcPr>
            <w:tcW w:type="dxa" w:w="2588"/>
          </w:tcPr>
          <w:p>
            <w:pPr>
              <w:pStyle w:val="Compact"/>
              <w:spacing w:line="240" w:lineRule="auto" w:before="20" w:after="20"/>
              <w:jc w:val="left"/>
            </w:pPr>
            <w:r>
              <w:rPr>
                <w:rFonts w:ascii="Arial" w:hAnsi="Arial"/>
                <w:sz w:val="20"/>
              </w:rPr>
              <w:t xml:space="preserve">20% of repetitions held out</w:t>
            </w:r>
          </w:p>
        </w:tc>
        <w:tc>
          <w:tcPr>
            <w:tcW w:type="dxa" w:w="462"/>
          </w:tcPr>
          <w:p>
            <w:pPr>
              <w:pStyle w:val="Compact"/>
              <w:spacing w:line="240" w:lineRule="auto" w:before="20" w:after="20"/>
              <w:jc w:val="left"/>
            </w:pPr>
            <w:r>
              <w:rPr>
                <w:rFonts w:ascii="Arial" w:hAnsi="Arial"/>
                <w:sz w:val="20"/>
              </w:rPr>
              <w:t xml:space="preserve">R2</w:t>
            </w:r>
          </w:p>
        </w:tc>
        <w:tc>
          <w:tcPr>
            <w:tcW w:type="dxa" w:w="2773"/>
          </w:tcPr>
          <w:p>
            <w:pPr>
              <w:pStyle w:val="Compact"/>
              <w:spacing w:line="240" w:lineRule="auto" w:before="20" w:after="20"/>
              <w:jc w:val="left"/>
            </w:pPr>
            <w:r>
              <w:rPr>
                <w:rFonts w:ascii="Arial" w:hAnsi="Arial"/>
                <w:sz w:val="20"/>
              </w:rPr>
              <w:t xml:space="preserve">44.2%</w:t>
            </w:r>
          </w:p>
        </w:tc>
        <w:tc>
          <w:tcPr>
            <w:tcW w:type="dxa" w:w="2403"/>
          </w:tcPr>
          <w:p>
            <w:pPr>
              <w:pStyle w:val="Compact"/>
              <w:spacing w:line="240" w:lineRule="auto" w:before="20" w:after="20"/>
              <w:jc w:val="left"/>
            </w:pPr>
            <w:r>
              <w:rPr>
                <w:rFonts w:ascii="Arial" w:hAnsi="Arial"/>
                <w:sz w:val="20"/>
              </w:rPr>
              <w:t xml:space="preserve">44.2%</w:t>
            </w:r>
          </w:p>
        </w:tc>
        <w:tc>
          <w:tcPr>
            <w:tcW w:type="dxa" w:w="1941"/>
          </w:tcPr>
          <w:p>
            <w:pPr>
              <w:pStyle w:val="Compact"/>
              <w:spacing w:line="240" w:lineRule="auto" w:before="20" w:after="20"/>
              <w:jc w:val="left"/>
            </w:pPr>
            <w:r>
              <w:rPr>
                <w:rFonts w:ascii="Arial" w:hAnsi="Arial"/>
                <w:sz w:val="20"/>
              </w:rPr>
              <w:t xml:space="preserve">16.48%</w:t>
            </w:r>
          </w:p>
        </w:tc>
        <w:tc>
          <w:tcPr>
            <w:tcW w:type="dxa" w:w="1571"/>
          </w:tcPr>
          <w:p>
            <w:pPr>
              <w:pStyle w:val="Compact"/>
              <w:spacing w:line="240" w:lineRule="auto" w:before="20" w:after="20"/>
              <w:jc w:val="left"/>
            </w:pPr>
            <w:r>
              <w:rPr>
                <w:rFonts w:ascii="Arial" w:hAnsi="Arial"/>
                <w:sz w:val="20"/>
              </w:rPr>
              <w:t xml:space="preserve">16.48%</w:t>
            </w:r>
          </w:p>
        </w:tc>
        <w:tc>
          <w:tcPr>
            <w:tcW w:type="dxa" w:w="2216"/>
          </w:tcPr>
          <w:p>
            <w:pPr>
              <w:pStyle w:val="Compact"/>
              <w:spacing w:line="240" w:lineRule="auto" w:before="20" w:after="20"/>
              <w:jc w:val="left"/>
            </w:pPr>
            <w:r>
              <w:rPr>
                <w:rFonts w:ascii="Arial" w:hAnsi="Arial"/>
                <w:sz w:val="20"/>
              </w:rPr>
              <w:t xml:space="preserve">16.3–16.6</w:t>
            </w:r>
          </w:p>
        </w:tc>
      </w:tr>
      <w:tr>
        <w:tc>
          <w:tcPr>
            <w:tcW w:type="dxa" w:w="2588"/>
          </w:tcPr>
          <w:p>
            <w:pPr>
              <w:pStyle w:val="Compact"/>
              <w:spacing w:line="240" w:lineRule="auto" w:before="20" w:after="20"/>
              <w:jc w:val="left"/>
            </w:pPr>
            <w:r>
              <w:rPr>
                <w:rFonts w:ascii="Arial" w:hAnsi="Arial"/>
                <w:sz w:val="20"/>
              </w:rPr>
              <w:t xml:space="preserve">20% of repetitions held out</w:t>
            </w:r>
          </w:p>
        </w:tc>
        <w:tc>
          <w:tcPr>
            <w:tcW w:type="dxa" w:w="462"/>
          </w:tcPr>
          <w:p>
            <w:pPr>
              <w:pStyle w:val="Compact"/>
              <w:spacing w:line="240" w:lineRule="auto" w:before="20" w:after="20"/>
              <w:jc w:val="left"/>
            </w:pPr>
            <w:r>
              <w:rPr>
                <w:rFonts w:ascii="Arial" w:hAnsi="Arial"/>
                <w:sz w:val="20"/>
              </w:rPr>
              <w:t xml:space="preserve">R3</w:t>
            </w:r>
          </w:p>
        </w:tc>
        <w:tc>
          <w:tcPr>
            <w:tcW w:type="dxa" w:w="2773"/>
          </w:tcPr>
          <w:p>
            <w:pPr>
              <w:pStyle w:val="Compact"/>
              <w:spacing w:line="240" w:lineRule="auto" w:before="20" w:after="20"/>
              <w:jc w:val="left"/>
            </w:pPr>
            <w:r>
              <w:rPr>
                <w:rFonts w:ascii="Arial" w:hAnsi="Arial"/>
                <w:sz w:val="20"/>
              </w:rPr>
              <w:t xml:space="preserve">35.5%</w:t>
            </w:r>
          </w:p>
        </w:tc>
        <w:tc>
          <w:tcPr>
            <w:tcW w:type="dxa" w:w="2403"/>
          </w:tcPr>
          <w:p>
            <w:pPr>
              <w:pStyle w:val="Compact"/>
              <w:spacing w:line="240" w:lineRule="auto" w:before="20" w:after="20"/>
              <w:jc w:val="left"/>
            </w:pPr>
            <w:r>
              <w:rPr>
                <w:rFonts w:ascii="Arial" w:hAnsi="Arial"/>
                <w:sz w:val="20"/>
              </w:rPr>
              <w:t xml:space="preserve">35.5%</w:t>
            </w:r>
          </w:p>
        </w:tc>
        <w:tc>
          <w:tcPr>
            <w:tcW w:type="dxa" w:w="1941"/>
          </w:tcPr>
          <w:p>
            <w:pPr>
              <w:pStyle w:val="Compact"/>
              <w:spacing w:line="240" w:lineRule="auto" w:before="20" w:after="20"/>
              <w:jc w:val="left"/>
            </w:pPr>
            <w:r>
              <w:rPr>
                <w:rFonts w:ascii="Arial" w:hAnsi="Arial"/>
                <w:sz w:val="20"/>
              </w:rPr>
              <w:t xml:space="preserve">10.16%</w:t>
            </w:r>
          </w:p>
        </w:tc>
        <w:tc>
          <w:tcPr>
            <w:tcW w:type="dxa" w:w="1571"/>
          </w:tcPr>
          <w:p>
            <w:pPr>
              <w:pStyle w:val="Compact"/>
              <w:spacing w:line="240" w:lineRule="auto" w:before="20" w:after="20"/>
              <w:jc w:val="left"/>
            </w:pPr>
            <w:r>
              <w:rPr>
                <w:rFonts w:ascii="Arial" w:hAnsi="Arial"/>
                <w:sz w:val="20"/>
              </w:rPr>
              <w:t xml:space="preserve">10.16%</w:t>
            </w:r>
          </w:p>
        </w:tc>
        <w:tc>
          <w:tcPr>
            <w:tcW w:type="dxa" w:w="2216"/>
          </w:tcPr>
          <w:p>
            <w:pPr>
              <w:pStyle w:val="Compact"/>
              <w:spacing w:line="240" w:lineRule="auto" w:before="20" w:after="20"/>
              <w:jc w:val="left"/>
            </w:pPr>
            <w:r>
              <w:rPr>
                <w:rFonts w:ascii="Arial" w:hAnsi="Arial"/>
                <w:sz w:val="20"/>
              </w:rPr>
              <w:t xml:space="preserve">10.1–10.3</w:t>
            </w:r>
          </w:p>
        </w:tc>
      </w:tr>
      <w:tr>
        <w:tc>
          <w:tcPr>
            <w:tcW w:type="dxa" w:w="2588"/>
          </w:tcPr>
          <w:p>
            <w:pPr>
              <w:pStyle w:val="Compact"/>
              <w:spacing w:line="240" w:lineRule="auto" w:before="20" w:after="20"/>
              <w:jc w:val="left"/>
            </w:pPr>
            <w:r>
              <w:rPr>
                <w:rFonts w:ascii="Arial" w:hAnsi="Arial"/>
                <w:sz w:val="20"/>
              </w:rPr>
              <w:t xml:space="preserve">20% of repetitions held out</w:t>
            </w:r>
          </w:p>
        </w:tc>
        <w:tc>
          <w:tcPr>
            <w:tcW w:type="dxa" w:w="462"/>
          </w:tcPr>
          <w:p>
            <w:pPr>
              <w:pStyle w:val="Compact"/>
              <w:spacing w:line="240" w:lineRule="auto" w:before="20" w:after="20"/>
              <w:jc w:val="left"/>
            </w:pPr>
            <w:r>
              <w:rPr>
                <w:rFonts w:ascii="Arial" w:hAnsi="Arial"/>
                <w:sz w:val="20"/>
              </w:rPr>
              <w:t xml:space="preserve">R4</w:t>
            </w:r>
          </w:p>
        </w:tc>
        <w:tc>
          <w:tcPr>
            <w:tcW w:type="dxa" w:w="2773"/>
          </w:tcPr>
          <w:p>
            <w:pPr>
              <w:pStyle w:val="Compact"/>
              <w:spacing w:line="240" w:lineRule="auto" w:before="20" w:after="20"/>
              <w:jc w:val="left"/>
            </w:pPr>
            <w:r>
              <w:rPr>
                <w:rFonts w:ascii="Arial" w:hAnsi="Arial"/>
                <w:sz w:val="20"/>
              </w:rPr>
              <w:t xml:space="preserve">22.1%</w:t>
            </w:r>
          </w:p>
        </w:tc>
        <w:tc>
          <w:tcPr>
            <w:tcW w:type="dxa" w:w="2403"/>
          </w:tcPr>
          <w:p>
            <w:pPr>
              <w:pStyle w:val="Compact"/>
              <w:spacing w:line="240" w:lineRule="auto" w:before="20" w:after="20"/>
              <w:jc w:val="left"/>
            </w:pPr>
            <w:r>
              <w:rPr>
                <w:rFonts w:ascii="Arial" w:hAnsi="Arial"/>
                <w:sz w:val="20"/>
              </w:rPr>
              <w:t xml:space="preserve">22.1%</w:t>
            </w:r>
          </w:p>
        </w:tc>
        <w:tc>
          <w:tcPr>
            <w:tcW w:type="dxa" w:w="1941"/>
          </w:tcPr>
          <w:p>
            <w:pPr>
              <w:pStyle w:val="Compact"/>
              <w:spacing w:line="240" w:lineRule="auto" w:before="20" w:after="20"/>
              <w:jc w:val="left"/>
            </w:pPr>
            <w:r>
              <w:rPr>
                <w:rFonts w:ascii="Arial" w:hAnsi="Arial"/>
                <w:sz w:val="20"/>
              </w:rPr>
              <w:t xml:space="preserve">3.02%</w:t>
            </w:r>
          </w:p>
        </w:tc>
        <w:tc>
          <w:tcPr>
            <w:tcW w:type="dxa" w:w="1571"/>
          </w:tcPr>
          <w:p>
            <w:pPr>
              <w:pStyle w:val="Compact"/>
              <w:spacing w:line="240" w:lineRule="auto" w:before="20" w:after="20"/>
              <w:jc w:val="left"/>
            </w:pPr>
            <w:r>
              <w:rPr>
                <w:rFonts w:ascii="Arial" w:hAnsi="Arial"/>
                <w:sz w:val="20"/>
              </w:rPr>
              <w:t xml:space="preserve">3.02%</w:t>
            </w:r>
          </w:p>
        </w:tc>
        <w:tc>
          <w:tcPr>
            <w:tcW w:type="dxa" w:w="2216"/>
          </w:tcPr>
          <w:p>
            <w:pPr>
              <w:pStyle w:val="Compact"/>
              <w:spacing w:line="240" w:lineRule="auto" w:before="20" w:after="20"/>
              <w:jc w:val="left"/>
            </w:pPr>
            <w:r>
              <w:rPr>
                <w:rFonts w:ascii="Arial" w:hAnsi="Arial"/>
                <w:sz w:val="20"/>
              </w:rPr>
              <w:t xml:space="preserve">2.9–3.1</w:t>
            </w:r>
          </w:p>
        </w:tc>
      </w:tr>
      <w:tr>
        <w:tc>
          <w:tcPr>
            <w:tcW w:type="dxa" w:w="2588"/>
          </w:tcPr>
          <w:p>
            <w:pPr>
              <w:pStyle w:val="Compact"/>
              <w:spacing w:line="240" w:lineRule="auto" w:before="20" w:after="20"/>
              <w:jc w:val="left"/>
            </w:pPr>
            <w:r>
              <w:rPr>
                <w:rFonts w:ascii="Arial" w:hAnsi="Arial"/>
                <w:sz w:val="20"/>
              </w:rPr>
              <w:t xml:space="preserve">20% of repetitions held out</w:t>
            </w:r>
          </w:p>
        </w:tc>
        <w:tc>
          <w:tcPr>
            <w:tcW w:type="dxa" w:w="462"/>
          </w:tcPr>
          <w:p>
            <w:pPr>
              <w:pStyle w:val="Compact"/>
              <w:spacing w:line="240" w:lineRule="auto" w:before="20" w:after="20"/>
              <w:jc w:val="left"/>
            </w:pPr>
            <w:r>
              <w:rPr>
                <w:rFonts w:ascii="Arial" w:hAnsi="Arial"/>
                <w:sz w:val="20"/>
              </w:rPr>
              <w:t xml:space="preserve">C1</w:t>
            </w:r>
          </w:p>
        </w:tc>
        <w:tc>
          <w:tcPr>
            <w:tcW w:type="dxa" w:w="2773"/>
          </w:tcPr>
          <w:p>
            <w:pPr>
              <w:pStyle w:val="Compact"/>
              <w:spacing w:line="240" w:lineRule="auto" w:before="20" w:after="20"/>
              <w:jc w:val="left"/>
            </w:pPr>
            <w:r>
              <w:rPr>
                <w:rFonts w:ascii="Arial" w:hAnsi="Arial"/>
                <w:sz w:val="20"/>
              </w:rPr>
              <w:t xml:space="preserve">51.3%</w:t>
            </w:r>
          </w:p>
        </w:tc>
        <w:tc>
          <w:tcPr>
            <w:tcW w:type="dxa" w:w="2403"/>
          </w:tcPr>
          <w:p>
            <w:pPr>
              <w:pStyle w:val="Compact"/>
              <w:spacing w:line="240" w:lineRule="auto" w:before="20" w:after="20"/>
              <w:jc w:val="left"/>
            </w:pPr>
            <w:r>
              <w:rPr>
                <w:rFonts w:ascii="Arial" w:hAnsi="Arial"/>
                <w:sz w:val="20"/>
              </w:rPr>
              <w:t xml:space="preserve">51.3%</w:t>
            </w:r>
          </w:p>
        </w:tc>
        <w:tc>
          <w:tcPr>
            <w:tcW w:type="dxa" w:w="1941"/>
          </w:tcPr>
          <w:p>
            <w:pPr>
              <w:pStyle w:val="Compact"/>
              <w:spacing w:line="240" w:lineRule="auto" w:before="20" w:after="20"/>
              <w:jc w:val="left"/>
            </w:pPr>
            <w:r>
              <w:rPr>
                <w:rFonts w:ascii="Arial" w:hAnsi="Arial"/>
                <w:sz w:val="20"/>
              </w:rPr>
              <w:t xml:space="preserve">18.69%</w:t>
            </w:r>
          </w:p>
        </w:tc>
        <w:tc>
          <w:tcPr>
            <w:tcW w:type="dxa" w:w="1571"/>
          </w:tcPr>
          <w:p>
            <w:pPr>
              <w:pStyle w:val="Compact"/>
              <w:spacing w:line="240" w:lineRule="auto" w:before="20" w:after="20"/>
              <w:jc w:val="left"/>
            </w:pPr>
            <w:r>
              <w:rPr>
                <w:rFonts w:ascii="Arial" w:hAnsi="Arial"/>
                <w:sz w:val="20"/>
              </w:rPr>
              <w:t xml:space="preserve">18.69%</w:t>
            </w:r>
          </w:p>
        </w:tc>
        <w:tc>
          <w:tcPr>
            <w:tcW w:type="dxa" w:w="2216"/>
          </w:tcPr>
          <w:p>
            <w:pPr>
              <w:pStyle w:val="Compact"/>
              <w:spacing w:line="240" w:lineRule="auto" w:before="20" w:after="20"/>
              <w:jc w:val="left"/>
            </w:pPr>
            <w:r>
              <w:rPr>
                <w:rFonts w:ascii="Arial" w:hAnsi="Arial"/>
                <w:sz w:val="20"/>
              </w:rPr>
              <w:t xml:space="preserve">18.5–18.8</w:t>
            </w:r>
          </w:p>
        </w:tc>
      </w:tr>
      <w:tr>
        <w:tc>
          <w:tcPr>
            <w:tcW w:type="dxa" w:w="2588"/>
          </w:tcPr>
          <w:p>
            <w:pPr>
              <w:pStyle w:val="Compact"/>
              <w:spacing w:line="240" w:lineRule="auto" w:before="20" w:after="20"/>
              <w:jc w:val="left"/>
            </w:pPr>
            <w:r>
              <w:rPr>
                <w:rFonts w:ascii="Arial" w:hAnsi="Arial"/>
                <w:sz w:val="20"/>
              </w:rPr>
              <w:t xml:space="preserve">20% of repetitions held out</w:t>
            </w:r>
          </w:p>
        </w:tc>
        <w:tc>
          <w:tcPr>
            <w:tcW w:type="dxa" w:w="462"/>
          </w:tcPr>
          <w:p>
            <w:pPr>
              <w:pStyle w:val="Compact"/>
              <w:spacing w:line="240" w:lineRule="auto" w:before="20" w:after="20"/>
              <w:jc w:val="left"/>
            </w:pPr>
            <w:r>
              <w:rPr>
                <w:rFonts w:ascii="Arial" w:hAnsi="Arial"/>
                <w:sz w:val="20"/>
              </w:rPr>
              <w:t xml:space="preserve">C2</w:t>
            </w:r>
          </w:p>
        </w:tc>
        <w:tc>
          <w:tcPr>
            <w:tcW w:type="dxa" w:w="2773"/>
          </w:tcPr>
          <w:p>
            <w:pPr>
              <w:pStyle w:val="Compact"/>
              <w:spacing w:line="240" w:lineRule="auto" w:before="20" w:after="20"/>
              <w:jc w:val="left"/>
            </w:pPr>
            <w:r>
              <w:rPr>
                <w:rFonts w:ascii="Arial" w:hAnsi="Arial"/>
                <w:sz w:val="20"/>
              </w:rPr>
              <w:t xml:space="preserve">38.7%</w:t>
            </w:r>
          </w:p>
        </w:tc>
        <w:tc>
          <w:tcPr>
            <w:tcW w:type="dxa" w:w="2403"/>
          </w:tcPr>
          <w:p>
            <w:pPr>
              <w:pStyle w:val="Compact"/>
              <w:spacing w:line="240" w:lineRule="auto" w:before="20" w:after="20"/>
              <w:jc w:val="left"/>
            </w:pPr>
            <w:r>
              <w:rPr>
                <w:rFonts w:ascii="Arial" w:hAnsi="Arial"/>
                <w:sz w:val="20"/>
              </w:rPr>
              <w:t xml:space="preserve">38.7%</w:t>
            </w:r>
          </w:p>
        </w:tc>
        <w:tc>
          <w:tcPr>
            <w:tcW w:type="dxa" w:w="1941"/>
          </w:tcPr>
          <w:p>
            <w:pPr>
              <w:pStyle w:val="Compact"/>
              <w:spacing w:line="240" w:lineRule="auto" w:before="20" w:after="20"/>
              <w:jc w:val="left"/>
            </w:pPr>
            <w:r>
              <w:rPr>
                <w:rFonts w:ascii="Arial" w:hAnsi="Arial"/>
                <w:sz w:val="20"/>
              </w:rPr>
              <w:t xml:space="preserve">11.04%</w:t>
            </w:r>
          </w:p>
        </w:tc>
        <w:tc>
          <w:tcPr>
            <w:tcW w:type="dxa" w:w="1571"/>
          </w:tcPr>
          <w:p>
            <w:pPr>
              <w:pStyle w:val="Compact"/>
              <w:spacing w:line="240" w:lineRule="auto" w:before="20" w:after="20"/>
              <w:jc w:val="left"/>
            </w:pPr>
            <w:r>
              <w:rPr>
                <w:rFonts w:ascii="Arial" w:hAnsi="Arial"/>
                <w:sz w:val="20"/>
              </w:rPr>
              <w:t xml:space="preserve">11.04%</w:t>
            </w:r>
          </w:p>
        </w:tc>
        <w:tc>
          <w:tcPr>
            <w:tcW w:type="dxa" w:w="2216"/>
          </w:tcPr>
          <w:p>
            <w:pPr>
              <w:pStyle w:val="Compact"/>
              <w:spacing w:line="240" w:lineRule="auto" w:before="20" w:after="20"/>
              <w:jc w:val="left"/>
            </w:pPr>
            <w:r>
              <w:rPr>
                <w:rFonts w:ascii="Arial" w:hAnsi="Arial"/>
                <w:sz w:val="20"/>
              </w:rPr>
              <w:t xml:space="preserve">11.0–11.1</w:t>
            </w:r>
          </w:p>
        </w:tc>
      </w:tr>
      <w:tr>
        <w:tc>
          <w:tcPr>
            <w:tcW w:type="dxa" w:w="2588"/>
          </w:tcPr>
          <w:p>
            <w:pPr>
              <w:pStyle w:val="Compact"/>
              <w:spacing w:line="240" w:lineRule="auto" w:before="20" w:after="20"/>
              <w:jc w:val="left"/>
            </w:pPr>
            <w:r>
              <w:rPr>
                <w:rFonts w:ascii="Arial" w:hAnsi="Arial"/>
                <w:sz w:val="20"/>
              </w:rPr>
              <w:t xml:space="preserve">20% of conditions held out</w:t>
            </w:r>
          </w:p>
        </w:tc>
        <w:tc>
          <w:tcPr>
            <w:tcW w:type="dxa" w:w="462"/>
          </w:tcPr>
          <w:p>
            <w:pPr>
              <w:pStyle w:val="Compact"/>
              <w:spacing w:line="240" w:lineRule="auto" w:before="20" w:after="20"/>
              <w:jc w:val="left"/>
            </w:pPr>
            <w:r>
              <w:rPr>
                <w:rFonts w:ascii="Arial" w:hAnsi="Arial"/>
                <w:sz w:val="20"/>
              </w:rPr>
              <w:t xml:space="preserve">R0</w:t>
            </w:r>
          </w:p>
        </w:tc>
        <w:tc>
          <w:tcPr>
            <w:tcW w:type="dxa" w:w="2773"/>
          </w:tcPr>
          <w:p>
            <w:pPr>
              <w:pStyle w:val="Compact"/>
              <w:spacing w:line="240" w:lineRule="auto" w:before="20" w:after="20"/>
              <w:jc w:val="left"/>
            </w:pPr>
            <w:r>
              <w:rPr>
                <w:rFonts w:ascii="Arial" w:hAnsi="Arial"/>
                <w:sz w:val="20"/>
              </w:rPr>
              <w:t xml:space="preserve">67.7%</w:t>
            </w:r>
          </w:p>
        </w:tc>
        <w:tc>
          <w:tcPr>
            <w:tcW w:type="dxa" w:w="2403"/>
          </w:tcPr>
          <w:p>
            <w:pPr>
              <w:pStyle w:val="Compact"/>
              <w:spacing w:line="240" w:lineRule="auto" w:before="20" w:after="20"/>
              <w:jc w:val="left"/>
            </w:pPr>
            <w:r>
              <w:rPr>
                <w:rFonts w:ascii="Arial" w:hAnsi="Arial"/>
                <w:sz w:val="20"/>
              </w:rPr>
              <w:t xml:space="preserve">67.7%</w:t>
            </w:r>
          </w:p>
        </w:tc>
        <w:tc>
          <w:tcPr>
            <w:tcW w:type="dxa" w:w="1941"/>
          </w:tcPr>
          <w:p>
            <w:pPr>
              <w:pStyle w:val="Compact"/>
              <w:spacing w:line="240" w:lineRule="auto" w:before="20" w:after="20"/>
              <w:jc w:val="left"/>
            </w:pPr>
            <w:r>
              <w:rPr>
                <w:rFonts w:ascii="Arial" w:hAnsi="Arial"/>
                <w:sz w:val="20"/>
              </w:rPr>
              <w:t xml:space="preserve">53.44%</w:t>
            </w:r>
          </w:p>
        </w:tc>
        <w:tc>
          <w:tcPr>
            <w:tcW w:type="dxa" w:w="1571"/>
          </w:tcPr>
          <w:p>
            <w:pPr>
              <w:pStyle w:val="Compact"/>
              <w:spacing w:line="240" w:lineRule="auto" w:before="20" w:after="20"/>
              <w:jc w:val="left"/>
            </w:pPr>
            <w:r>
              <w:rPr>
                <w:rFonts w:ascii="Arial" w:hAnsi="Arial"/>
                <w:sz w:val="20"/>
              </w:rPr>
              <w:t xml:space="preserve">53.47%</w:t>
            </w:r>
          </w:p>
        </w:tc>
        <w:tc>
          <w:tcPr>
            <w:tcW w:type="dxa" w:w="2216"/>
          </w:tcPr>
          <w:p>
            <w:pPr>
              <w:pStyle w:val="Compact"/>
              <w:spacing w:line="240" w:lineRule="auto" w:before="20" w:after="20"/>
              <w:jc w:val="left"/>
            </w:pPr>
            <w:r>
              <w:rPr>
                <w:rFonts w:ascii="Arial" w:hAnsi="Arial"/>
                <w:sz w:val="20"/>
              </w:rPr>
              <w:t xml:space="preserve">50.5–55.2</w:t>
            </w:r>
          </w:p>
        </w:tc>
      </w:tr>
      <w:tr>
        <w:tc>
          <w:tcPr>
            <w:tcW w:type="dxa" w:w="2588"/>
          </w:tcPr>
          <w:p>
            <w:pPr>
              <w:pStyle w:val="Compact"/>
              <w:spacing w:line="240" w:lineRule="auto" w:before="20" w:after="20"/>
              <w:jc w:val="left"/>
            </w:pPr>
            <w:r>
              <w:rPr>
                <w:rFonts w:ascii="Arial" w:hAnsi="Arial"/>
                <w:sz w:val="20"/>
              </w:rPr>
              <w:t xml:space="preserve">20% of conditions held out</w:t>
            </w:r>
          </w:p>
        </w:tc>
        <w:tc>
          <w:tcPr>
            <w:tcW w:type="dxa" w:w="462"/>
          </w:tcPr>
          <w:p>
            <w:pPr>
              <w:pStyle w:val="Compact"/>
              <w:spacing w:line="240" w:lineRule="auto" w:before="20" w:after="20"/>
              <w:jc w:val="left"/>
            </w:pPr>
            <w:r>
              <w:rPr>
                <w:rFonts w:ascii="Arial" w:hAnsi="Arial"/>
                <w:sz w:val="20"/>
              </w:rPr>
              <w:t xml:space="preserve">R1</w:t>
            </w:r>
          </w:p>
        </w:tc>
        <w:tc>
          <w:tcPr>
            <w:tcW w:type="dxa" w:w="2773"/>
          </w:tcPr>
          <w:p>
            <w:pPr>
              <w:pStyle w:val="Compact"/>
              <w:spacing w:line="240" w:lineRule="auto" w:before="20" w:after="20"/>
              <w:jc w:val="left"/>
            </w:pPr>
            <w:r>
              <w:rPr>
                <w:rFonts w:ascii="Arial" w:hAnsi="Arial"/>
                <w:sz w:val="20"/>
              </w:rPr>
              <w:t xml:space="preserve">61.8%</w:t>
            </w:r>
          </w:p>
        </w:tc>
        <w:tc>
          <w:tcPr>
            <w:tcW w:type="dxa" w:w="2403"/>
          </w:tcPr>
          <w:p>
            <w:pPr>
              <w:pStyle w:val="Compact"/>
              <w:spacing w:line="240" w:lineRule="auto" w:before="20" w:after="20"/>
              <w:jc w:val="left"/>
            </w:pPr>
            <w:r>
              <w:rPr>
                <w:rFonts w:ascii="Arial" w:hAnsi="Arial"/>
                <w:sz w:val="20"/>
              </w:rPr>
              <w:t xml:space="preserve">61.8%</w:t>
            </w:r>
          </w:p>
        </w:tc>
        <w:tc>
          <w:tcPr>
            <w:tcW w:type="dxa" w:w="1941"/>
          </w:tcPr>
          <w:p>
            <w:pPr>
              <w:pStyle w:val="Compact"/>
              <w:spacing w:line="240" w:lineRule="auto" w:before="20" w:after="20"/>
              <w:jc w:val="left"/>
            </w:pPr>
            <w:r>
              <w:rPr>
                <w:rFonts w:ascii="Arial" w:hAnsi="Arial"/>
                <w:sz w:val="20"/>
              </w:rPr>
              <w:t xml:space="preserve">36.02%</w:t>
            </w:r>
          </w:p>
        </w:tc>
        <w:tc>
          <w:tcPr>
            <w:tcW w:type="dxa" w:w="1571"/>
          </w:tcPr>
          <w:p>
            <w:pPr>
              <w:pStyle w:val="Compact"/>
              <w:spacing w:line="240" w:lineRule="auto" w:before="20" w:after="20"/>
              <w:jc w:val="left"/>
            </w:pPr>
            <w:r>
              <w:rPr>
                <w:rFonts w:ascii="Arial" w:hAnsi="Arial"/>
                <w:sz w:val="20"/>
              </w:rPr>
              <w:t xml:space="preserve">36.03%</w:t>
            </w:r>
          </w:p>
        </w:tc>
        <w:tc>
          <w:tcPr>
            <w:tcW w:type="dxa" w:w="2216"/>
          </w:tcPr>
          <w:p>
            <w:pPr>
              <w:pStyle w:val="Compact"/>
              <w:spacing w:line="240" w:lineRule="auto" w:before="20" w:after="20"/>
              <w:jc w:val="left"/>
            </w:pPr>
            <w:r>
              <w:rPr>
                <w:rFonts w:ascii="Arial" w:hAnsi="Arial"/>
                <w:sz w:val="20"/>
              </w:rPr>
              <w:t xml:space="preserve">32.0–38.4</w:t>
            </w:r>
          </w:p>
        </w:tc>
      </w:tr>
      <w:tr>
        <w:tc>
          <w:tcPr>
            <w:tcW w:type="dxa" w:w="2588"/>
          </w:tcPr>
          <w:p>
            <w:pPr>
              <w:pStyle w:val="Compact"/>
              <w:spacing w:line="240" w:lineRule="auto" w:before="20" w:after="20"/>
              <w:jc w:val="left"/>
            </w:pPr>
            <w:r>
              <w:rPr>
                <w:rFonts w:ascii="Arial" w:hAnsi="Arial"/>
                <w:sz w:val="20"/>
              </w:rPr>
              <w:t xml:space="preserve">20% of conditions held out</w:t>
            </w:r>
          </w:p>
        </w:tc>
        <w:tc>
          <w:tcPr>
            <w:tcW w:type="dxa" w:w="462"/>
          </w:tcPr>
          <w:p>
            <w:pPr>
              <w:pStyle w:val="Compact"/>
              <w:spacing w:line="240" w:lineRule="auto" w:before="20" w:after="20"/>
              <w:jc w:val="left"/>
            </w:pPr>
            <w:r>
              <w:rPr>
                <w:rFonts w:ascii="Arial" w:hAnsi="Arial"/>
                <w:sz w:val="20"/>
              </w:rPr>
              <w:t xml:space="preserve">R2</w:t>
            </w:r>
          </w:p>
        </w:tc>
        <w:tc>
          <w:tcPr>
            <w:tcW w:type="dxa" w:w="2773"/>
          </w:tcPr>
          <w:p>
            <w:pPr>
              <w:pStyle w:val="Compact"/>
              <w:spacing w:line="240" w:lineRule="auto" w:before="20" w:after="20"/>
              <w:jc w:val="left"/>
            </w:pPr>
            <w:r>
              <w:rPr>
                <w:rFonts w:ascii="Arial" w:hAnsi="Arial"/>
                <w:sz w:val="20"/>
              </w:rPr>
              <w:t xml:space="preserve">44.2%</w:t>
            </w:r>
          </w:p>
        </w:tc>
        <w:tc>
          <w:tcPr>
            <w:tcW w:type="dxa" w:w="2403"/>
          </w:tcPr>
          <w:p>
            <w:pPr>
              <w:pStyle w:val="Compact"/>
              <w:spacing w:line="240" w:lineRule="auto" w:before="20" w:after="20"/>
              <w:jc w:val="left"/>
            </w:pPr>
            <w:r>
              <w:rPr>
                <w:rFonts w:ascii="Arial" w:hAnsi="Arial"/>
                <w:sz w:val="20"/>
              </w:rPr>
              <w:t xml:space="preserve">44.2%</w:t>
            </w:r>
          </w:p>
        </w:tc>
        <w:tc>
          <w:tcPr>
            <w:tcW w:type="dxa" w:w="1941"/>
          </w:tcPr>
          <w:p>
            <w:pPr>
              <w:pStyle w:val="Compact"/>
              <w:spacing w:line="240" w:lineRule="auto" w:before="20" w:after="20"/>
              <w:jc w:val="left"/>
            </w:pPr>
            <w:r>
              <w:rPr>
                <w:rFonts w:ascii="Arial" w:hAnsi="Arial"/>
                <w:sz w:val="20"/>
              </w:rPr>
              <w:t xml:space="preserve">16.48%</w:t>
            </w:r>
          </w:p>
        </w:tc>
        <w:tc>
          <w:tcPr>
            <w:tcW w:type="dxa" w:w="1571"/>
          </w:tcPr>
          <w:p>
            <w:pPr>
              <w:pStyle w:val="Compact"/>
              <w:spacing w:line="240" w:lineRule="auto" w:before="20" w:after="20"/>
              <w:jc w:val="left"/>
            </w:pPr>
            <w:r>
              <w:rPr>
                <w:rFonts w:ascii="Arial" w:hAnsi="Arial"/>
                <w:sz w:val="20"/>
              </w:rPr>
              <w:t xml:space="preserve">16.52%</w:t>
            </w:r>
          </w:p>
        </w:tc>
        <w:tc>
          <w:tcPr>
            <w:tcW w:type="dxa" w:w="2216"/>
          </w:tcPr>
          <w:p>
            <w:pPr>
              <w:pStyle w:val="Compact"/>
              <w:spacing w:line="240" w:lineRule="auto" w:before="20" w:after="20"/>
              <w:jc w:val="left"/>
            </w:pPr>
            <w:r>
              <w:rPr>
                <w:rFonts w:ascii="Arial" w:hAnsi="Arial"/>
                <w:sz w:val="20"/>
              </w:rPr>
              <w:t xml:space="preserve">14.5–18.6</w:t>
            </w:r>
          </w:p>
        </w:tc>
      </w:tr>
      <w:tr>
        <w:tc>
          <w:tcPr>
            <w:tcW w:type="dxa" w:w="2588"/>
          </w:tcPr>
          <w:p>
            <w:pPr>
              <w:pStyle w:val="Compact"/>
              <w:spacing w:line="240" w:lineRule="auto" w:before="20" w:after="20"/>
              <w:jc w:val="left"/>
            </w:pPr>
            <w:r>
              <w:rPr>
                <w:rFonts w:ascii="Arial" w:hAnsi="Arial"/>
                <w:sz w:val="20"/>
              </w:rPr>
              <w:t xml:space="preserve">20% of conditions held out</w:t>
            </w:r>
          </w:p>
        </w:tc>
        <w:tc>
          <w:tcPr>
            <w:tcW w:type="dxa" w:w="462"/>
          </w:tcPr>
          <w:p>
            <w:pPr>
              <w:pStyle w:val="Compact"/>
              <w:spacing w:line="240" w:lineRule="auto" w:before="20" w:after="20"/>
              <w:jc w:val="left"/>
            </w:pPr>
            <w:r>
              <w:rPr>
                <w:rFonts w:ascii="Arial" w:hAnsi="Arial"/>
                <w:sz w:val="20"/>
              </w:rPr>
              <w:t xml:space="preserve">R3</w:t>
            </w:r>
          </w:p>
        </w:tc>
        <w:tc>
          <w:tcPr>
            <w:tcW w:type="dxa" w:w="2773"/>
          </w:tcPr>
          <w:p>
            <w:pPr>
              <w:pStyle w:val="Compact"/>
              <w:spacing w:line="240" w:lineRule="auto" w:before="20" w:after="20"/>
              <w:jc w:val="left"/>
            </w:pPr>
            <w:r>
              <w:rPr>
                <w:rFonts w:ascii="Arial" w:hAnsi="Arial"/>
                <w:sz w:val="20"/>
              </w:rPr>
              <w:t xml:space="preserve">35.5%</w:t>
            </w:r>
          </w:p>
        </w:tc>
        <w:tc>
          <w:tcPr>
            <w:tcW w:type="dxa" w:w="2403"/>
          </w:tcPr>
          <w:p>
            <w:pPr>
              <w:pStyle w:val="Compact"/>
              <w:spacing w:line="240" w:lineRule="auto" w:before="20" w:after="20"/>
              <w:jc w:val="left"/>
            </w:pPr>
            <w:r>
              <w:rPr>
                <w:rFonts w:ascii="Arial" w:hAnsi="Arial"/>
                <w:sz w:val="20"/>
              </w:rPr>
              <w:t xml:space="preserve">35.5%</w:t>
            </w:r>
          </w:p>
        </w:tc>
        <w:tc>
          <w:tcPr>
            <w:tcW w:type="dxa" w:w="1941"/>
          </w:tcPr>
          <w:p>
            <w:pPr>
              <w:pStyle w:val="Compact"/>
              <w:spacing w:line="240" w:lineRule="auto" w:before="20" w:after="20"/>
              <w:jc w:val="left"/>
            </w:pPr>
            <w:r>
              <w:rPr>
                <w:rFonts w:ascii="Arial" w:hAnsi="Arial"/>
                <w:sz w:val="20"/>
              </w:rPr>
              <w:t xml:space="preserve">10.16%</w:t>
            </w:r>
          </w:p>
        </w:tc>
        <w:tc>
          <w:tcPr>
            <w:tcW w:type="dxa" w:w="1571"/>
          </w:tcPr>
          <w:p>
            <w:pPr>
              <w:pStyle w:val="Compact"/>
              <w:spacing w:line="240" w:lineRule="auto" w:before="20" w:after="20"/>
              <w:jc w:val="left"/>
            </w:pPr>
            <w:r>
              <w:rPr>
                <w:rFonts w:ascii="Arial" w:hAnsi="Arial"/>
                <w:sz w:val="20"/>
              </w:rPr>
              <w:t xml:space="preserve">10.24%</w:t>
            </w:r>
          </w:p>
        </w:tc>
        <w:tc>
          <w:tcPr>
            <w:tcW w:type="dxa" w:w="2216"/>
          </w:tcPr>
          <w:p>
            <w:pPr>
              <w:pStyle w:val="Compact"/>
              <w:spacing w:line="240" w:lineRule="auto" w:before="20" w:after="20"/>
              <w:jc w:val="left"/>
            </w:pPr>
            <w:r>
              <w:rPr>
                <w:rFonts w:ascii="Arial" w:hAnsi="Arial"/>
                <w:sz w:val="20"/>
              </w:rPr>
              <w:t xml:space="preserve">8.1–12.7</w:t>
            </w:r>
          </w:p>
        </w:tc>
      </w:tr>
      <w:tr>
        <w:tc>
          <w:tcPr>
            <w:tcW w:type="dxa" w:w="2588"/>
          </w:tcPr>
          <w:p>
            <w:pPr>
              <w:pStyle w:val="Compact"/>
              <w:spacing w:line="240" w:lineRule="auto" w:before="20" w:after="20"/>
              <w:jc w:val="left"/>
            </w:pPr>
            <w:r>
              <w:rPr>
                <w:rFonts w:ascii="Arial" w:hAnsi="Arial"/>
                <w:sz w:val="20"/>
              </w:rPr>
              <w:t xml:space="preserve">20% of conditions held out</w:t>
            </w:r>
          </w:p>
        </w:tc>
        <w:tc>
          <w:tcPr>
            <w:tcW w:type="dxa" w:w="462"/>
          </w:tcPr>
          <w:p>
            <w:pPr>
              <w:pStyle w:val="Compact"/>
              <w:spacing w:line="240" w:lineRule="auto" w:before="20" w:after="20"/>
              <w:jc w:val="left"/>
            </w:pPr>
            <w:r>
              <w:rPr>
                <w:rFonts w:ascii="Arial" w:hAnsi="Arial"/>
                <w:sz w:val="20"/>
              </w:rPr>
              <w:t xml:space="preserve">R4</w:t>
            </w:r>
          </w:p>
        </w:tc>
        <w:tc>
          <w:tcPr>
            <w:tcW w:type="dxa" w:w="2773"/>
          </w:tcPr>
          <w:p>
            <w:pPr>
              <w:pStyle w:val="Compact"/>
              <w:spacing w:line="240" w:lineRule="auto" w:before="20" w:after="20"/>
              <w:jc w:val="left"/>
            </w:pPr>
            <w:r>
              <w:rPr>
                <w:rFonts w:ascii="Arial" w:hAnsi="Arial"/>
                <w:sz w:val="20"/>
              </w:rPr>
              <w:t xml:space="preserve">20.7%</w:t>
            </w:r>
          </w:p>
        </w:tc>
        <w:tc>
          <w:tcPr>
            <w:tcW w:type="dxa" w:w="2403"/>
          </w:tcPr>
          <w:p>
            <w:pPr>
              <w:pStyle w:val="Compact"/>
              <w:spacing w:line="240" w:lineRule="auto" w:before="20" w:after="20"/>
              <w:jc w:val="left"/>
            </w:pPr>
            <w:r>
              <w:rPr>
                <w:rFonts w:ascii="Arial" w:hAnsi="Arial"/>
                <w:sz w:val="20"/>
              </w:rPr>
              <w:t xml:space="preserve">20.4%</w:t>
            </w:r>
          </w:p>
        </w:tc>
        <w:tc>
          <w:tcPr>
            <w:tcW w:type="dxa" w:w="1941"/>
          </w:tcPr>
          <w:p>
            <w:pPr>
              <w:pStyle w:val="Compact"/>
              <w:spacing w:line="240" w:lineRule="auto" w:before="20" w:after="20"/>
              <w:jc w:val="left"/>
            </w:pPr>
            <w:r>
              <w:rPr>
                <w:rFonts w:ascii="Arial" w:hAnsi="Arial"/>
                <w:sz w:val="20"/>
              </w:rPr>
              <w:t xml:space="preserve">2.68%</w:t>
            </w:r>
          </w:p>
        </w:tc>
        <w:tc>
          <w:tcPr>
            <w:tcW w:type="dxa" w:w="1571"/>
          </w:tcPr>
          <w:p>
            <w:pPr>
              <w:pStyle w:val="Compact"/>
              <w:spacing w:line="240" w:lineRule="auto" w:before="20" w:after="20"/>
              <w:jc w:val="left"/>
            </w:pPr>
            <w:r>
              <w:rPr>
                <w:rFonts w:ascii="Arial" w:hAnsi="Arial"/>
                <w:sz w:val="20"/>
              </w:rPr>
              <w:t xml:space="preserve">2.80%</w:t>
            </w:r>
          </w:p>
        </w:tc>
        <w:tc>
          <w:tcPr>
            <w:tcW w:type="dxa" w:w="2216"/>
          </w:tcPr>
          <w:p>
            <w:pPr>
              <w:pStyle w:val="Compact"/>
              <w:spacing w:line="240" w:lineRule="auto" w:before="20" w:after="20"/>
              <w:jc w:val="left"/>
            </w:pPr>
            <w:r>
              <w:rPr>
                <w:rFonts w:ascii="Arial" w:hAnsi="Arial"/>
                <w:sz w:val="20"/>
              </w:rPr>
              <w:t xml:space="preserve">0.8–4.0</w:t>
            </w:r>
          </w:p>
        </w:tc>
      </w:tr>
      <w:tr>
        <w:tc>
          <w:tcPr>
            <w:tcW w:type="dxa" w:w="2588"/>
          </w:tcPr>
          <w:p>
            <w:pPr>
              <w:pStyle w:val="Compact"/>
              <w:spacing w:line="240" w:lineRule="auto" w:before="20" w:after="20"/>
              <w:jc w:val="left"/>
            </w:pPr>
            <w:r>
              <w:rPr>
                <w:rFonts w:ascii="Arial" w:hAnsi="Arial"/>
                <w:sz w:val="20"/>
              </w:rPr>
              <w:t xml:space="preserve">20% of conditions held out</w:t>
            </w:r>
          </w:p>
        </w:tc>
        <w:tc>
          <w:tcPr>
            <w:tcW w:type="dxa" w:w="462"/>
          </w:tcPr>
          <w:p>
            <w:pPr>
              <w:pStyle w:val="Compact"/>
              <w:spacing w:line="240" w:lineRule="auto" w:before="20" w:after="20"/>
              <w:jc w:val="left"/>
            </w:pPr>
            <w:r>
              <w:rPr>
                <w:rFonts w:ascii="Arial" w:hAnsi="Arial"/>
                <w:sz w:val="20"/>
              </w:rPr>
              <w:t xml:space="preserve">C1</w:t>
            </w:r>
          </w:p>
        </w:tc>
        <w:tc>
          <w:tcPr>
            <w:tcW w:type="dxa" w:w="2773"/>
          </w:tcPr>
          <w:p>
            <w:pPr>
              <w:pStyle w:val="Compact"/>
              <w:spacing w:line="240" w:lineRule="auto" w:before="20" w:after="20"/>
              <w:jc w:val="left"/>
            </w:pPr>
            <w:r>
              <w:rPr>
                <w:rFonts w:ascii="Arial" w:hAnsi="Arial"/>
                <w:sz w:val="20"/>
              </w:rPr>
              <w:t xml:space="preserve">51.3%</w:t>
            </w:r>
          </w:p>
        </w:tc>
        <w:tc>
          <w:tcPr>
            <w:tcW w:type="dxa" w:w="2403"/>
          </w:tcPr>
          <w:p>
            <w:pPr>
              <w:pStyle w:val="Compact"/>
              <w:spacing w:line="240" w:lineRule="auto" w:before="20" w:after="20"/>
              <w:jc w:val="left"/>
            </w:pPr>
            <w:r>
              <w:rPr>
                <w:rFonts w:ascii="Arial" w:hAnsi="Arial"/>
                <w:sz w:val="20"/>
              </w:rPr>
              <w:t xml:space="preserve">51.3%</w:t>
            </w:r>
          </w:p>
        </w:tc>
        <w:tc>
          <w:tcPr>
            <w:tcW w:type="dxa" w:w="1941"/>
          </w:tcPr>
          <w:p>
            <w:pPr>
              <w:pStyle w:val="Compact"/>
              <w:spacing w:line="240" w:lineRule="auto" w:before="20" w:after="20"/>
              <w:jc w:val="left"/>
            </w:pPr>
            <w:r>
              <w:rPr>
                <w:rFonts w:ascii="Arial" w:hAnsi="Arial"/>
                <w:sz w:val="20"/>
              </w:rPr>
              <w:t xml:space="preserve">18.70%</w:t>
            </w:r>
          </w:p>
        </w:tc>
        <w:tc>
          <w:tcPr>
            <w:tcW w:type="dxa" w:w="1571"/>
          </w:tcPr>
          <w:p>
            <w:pPr>
              <w:pStyle w:val="Compact"/>
              <w:spacing w:line="240" w:lineRule="auto" w:before="20" w:after="20"/>
              <w:jc w:val="left"/>
            </w:pPr>
            <w:r>
              <w:rPr>
                <w:rFonts w:ascii="Arial" w:hAnsi="Arial"/>
                <w:sz w:val="20"/>
              </w:rPr>
              <w:t xml:space="preserve">18.73%</w:t>
            </w:r>
          </w:p>
        </w:tc>
        <w:tc>
          <w:tcPr>
            <w:tcW w:type="dxa" w:w="2216"/>
          </w:tcPr>
          <w:p>
            <w:pPr>
              <w:pStyle w:val="Compact"/>
              <w:spacing w:line="240" w:lineRule="auto" w:before="20" w:after="20"/>
              <w:jc w:val="left"/>
            </w:pPr>
            <w:r>
              <w:rPr>
                <w:rFonts w:ascii="Arial" w:hAnsi="Arial"/>
                <w:sz w:val="20"/>
              </w:rPr>
              <w:t xml:space="preserve">16.9–21.6</w:t>
            </w:r>
          </w:p>
        </w:tc>
      </w:tr>
      <w:tr>
        <w:tc>
          <w:tcPr>
            <w:tcW w:type="dxa" w:w="2588"/>
          </w:tcPr>
          <w:p>
            <w:pPr>
              <w:pStyle w:val="Compact"/>
              <w:spacing w:line="240" w:lineRule="auto" w:before="20" w:after="20"/>
              <w:jc w:val="left"/>
            </w:pPr>
            <w:r>
              <w:rPr>
                <w:rFonts w:ascii="Arial" w:hAnsi="Arial"/>
                <w:sz w:val="20"/>
              </w:rPr>
              <w:t xml:space="preserve">20% of conditions held out</w:t>
            </w:r>
          </w:p>
        </w:tc>
        <w:tc>
          <w:tcPr>
            <w:tcW w:type="dxa" w:w="462"/>
          </w:tcPr>
          <w:p>
            <w:pPr>
              <w:pStyle w:val="Compact"/>
              <w:spacing w:line="240" w:lineRule="auto" w:before="20" w:after="20"/>
              <w:jc w:val="left"/>
            </w:pPr>
            <w:r>
              <w:rPr>
                <w:rFonts w:ascii="Arial" w:hAnsi="Arial"/>
                <w:sz w:val="20"/>
              </w:rPr>
              <w:t xml:space="preserve">C2</w:t>
            </w:r>
          </w:p>
        </w:tc>
        <w:tc>
          <w:tcPr>
            <w:tcW w:type="dxa" w:w="2773"/>
          </w:tcPr>
          <w:p>
            <w:pPr>
              <w:pStyle w:val="Compact"/>
              <w:spacing w:line="240" w:lineRule="auto" w:before="20" w:after="20"/>
              <w:jc w:val="left"/>
            </w:pPr>
            <w:r>
              <w:rPr>
                <w:rFonts w:ascii="Arial" w:hAnsi="Arial"/>
                <w:sz w:val="20"/>
              </w:rPr>
              <w:t xml:space="preserve">38.7%</w:t>
            </w:r>
          </w:p>
        </w:tc>
        <w:tc>
          <w:tcPr>
            <w:tcW w:type="dxa" w:w="2403"/>
          </w:tcPr>
          <w:p>
            <w:pPr>
              <w:pStyle w:val="Compact"/>
              <w:spacing w:line="240" w:lineRule="auto" w:before="20" w:after="20"/>
              <w:jc w:val="left"/>
            </w:pPr>
            <w:r>
              <w:rPr>
                <w:rFonts w:ascii="Arial" w:hAnsi="Arial"/>
                <w:sz w:val="20"/>
              </w:rPr>
              <w:t xml:space="preserve">38.7%</w:t>
            </w:r>
          </w:p>
        </w:tc>
        <w:tc>
          <w:tcPr>
            <w:tcW w:type="dxa" w:w="1941"/>
          </w:tcPr>
          <w:p>
            <w:pPr>
              <w:pStyle w:val="Compact"/>
              <w:spacing w:line="240" w:lineRule="auto" w:before="20" w:after="20"/>
              <w:jc w:val="left"/>
            </w:pPr>
            <w:r>
              <w:rPr>
                <w:rFonts w:ascii="Arial" w:hAnsi="Arial"/>
                <w:sz w:val="20"/>
              </w:rPr>
              <w:t xml:space="preserve">11.05%</w:t>
            </w:r>
          </w:p>
        </w:tc>
        <w:tc>
          <w:tcPr>
            <w:tcW w:type="dxa" w:w="1571"/>
          </w:tcPr>
          <w:p>
            <w:pPr>
              <w:pStyle w:val="Compact"/>
              <w:spacing w:line="240" w:lineRule="auto" w:before="20" w:after="20"/>
              <w:jc w:val="left"/>
            </w:pPr>
            <w:r>
              <w:rPr>
                <w:rFonts w:ascii="Arial" w:hAnsi="Arial"/>
                <w:sz w:val="20"/>
              </w:rPr>
              <w:t xml:space="preserve">11.14%</w:t>
            </w:r>
          </w:p>
        </w:tc>
        <w:tc>
          <w:tcPr>
            <w:tcW w:type="dxa" w:w="2216"/>
          </w:tcPr>
          <w:p>
            <w:pPr>
              <w:pStyle w:val="Compact"/>
              <w:spacing w:line="240" w:lineRule="auto" w:before="20" w:after="20"/>
              <w:jc w:val="left"/>
            </w:pPr>
            <w:r>
              <w:rPr>
                <w:rFonts w:ascii="Arial" w:hAnsi="Arial"/>
                <w:sz w:val="20"/>
              </w:rPr>
              <w:t xml:space="preserve">9.1–14.0</w:t>
            </w:r>
          </w:p>
        </w:tc>
      </w:tr>
    </w:tbl>
    <w:bookmarkEnd w:id="27"/>
    <w:bookmarkStart w:id="28" w:name="X3785d1d86f2a4ae742b183a2533ae1902d94c02"/>
    <w:p>
      <w:pPr>
        <w:pStyle w:val="Heading2"/>
      </w:pPr>
      <w:r>
        <w:rPr>
          <w:rFonts w:ascii="Arial" w:hAnsi="Arial" w:eastAsia="Arial" w:cs="Arial"/>
          <w:b/>
          <w:sz w:val="24"/>
        </w:rPr>
        <w:t xml:space="preserve">eTable 9. Joint propagation of empirical-null and target-estimate uncertainty</w:t>
      </w:r>
    </w:p>
    <w:p>
      <w:pPr>
        <w:pStyle w:val="TableCaption"/>
      </w:pPr>
      <w:r>
        <w:t xml:space="preserve">eTable 9. Interval coverage, precision, and rule performance when the sampling variability of the calibrated target estimate is propagated jointly with that of the empirical null, compared with the reported interval, which holds the target estimate fixed. Both intervals were computed within the same 64,000 repetitions, so the comparison is paired. “Rule” is the strictest interval rule (R3). The joint interval is wider and attains nominal coverage, at the cost of a lower yield and, because the wider interval clears the 0.5 boundary in fewer repetitions, a lower misuse rate among the estimates it still declares usable.</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Caption w:val="eTable 9. Interval coverage, precision, and rule performance when the sampling variability of the calibrated target estimate is propagated jointly with that of the empirical null, compared with the reported interval, which holds the target estimate fixed. Both intervals were computed within the same 64,000 repetitions, so the comparison is paired. “Rule” is the strictest interval rule (R3). The joint interval is wider and attains nominal coverage, at the cost of a lower yield and, because the wider interval clears the 0.5 boundary in fewer repetitions, a lower misuse rate among the estimates it still declares usable."/>
      </w:tblPr>
      <w:tblGrid>
        <w:gridCol w:w="2757"/>
        <w:gridCol w:w="393"/>
        <w:gridCol w:w="1294"/>
        <w:gridCol w:w="1125"/>
        <w:gridCol w:w="1576"/>
        <w:gridCol w:w="1407"/>
        <w:gridCol w:w="1407"/>
        <w:gridCol w:w="1238"/>
        <w:gridCol w:w="1463"/>
        <w:gridCol w:w="1294"/>
      </w:tblGrid>
      <w:tr>
        <w:trPr>
          <w:tblHeader w:val="on"/>
        </w:trPr>
        <w:tc>
          <w:tcPr>
            <w:tcW w:type="dxa" w:w="2757"/>
          </w:tcPr>
          <w:p>
            <w:pPr>
              <w:pStyle w:val="Compact"/>
              <w:spacing w:line="240" w:lineRule="auto" w:before="20" w:after="20"/>
              <w:jc w:val="left"/>
            </w:pPr>
            <w:r>
              <w:rPr>
                <w:rFonts w:ascii="Arial" w:hAnsi="Arial"/>
                <w:sz w:val="20"/>
              </w:rPr>
              <w:t xml:space="preserve">Scope</w:t>
            </w:r>
          </w:p>
        </w:tc>
        <w:tc>
          <w:tcPr>
            <w:tcW w:type="dxa" w:w="393"/>
          </w:tcPr>
          <w:p>
            <w:pPr>
              <w:pStyle w:val="Compact"/>
              <w:spacing w:line="240" w:lineRule="auto" w:before="20" w:after="20"/>
              <w:jc w:val="left"/>
            </w:pPr>
            <w:r>
              <w:rPr>
                <w:rFonts w:ascii="Arial" w:hAnsi="Arial"/>
                <w:sz w:val="20"/>
              </w:rPr>
              <w:t xml:space="preserve">N</w:t>
            </w:r>
          </w:p>
        </w:tc>
        <w:tc>
          <w:tcPr>
            <w:tcW w:type="dxa" w:w="1294"/>
          </w:tcPr>
          <w:p>
            <w:pPr>
              <w:pStyle w:val="Compact"/>
              <w:spacing w:line="240" w:lineRule="auto" w:before="20" w:after="20"/>
              <w:jc w:val="left"/>
            </w:pPr>
            <w:r>
              <w:rPr>
                <w:rFonts w:ascii="Arial" w:hAnsi="Arial"/>
                <w:sz w:val="20"/>
              </w:rPr>
              <w:t xml:space="preserve">Coverage, reported (%)</w:t>
            </w:r>
          </w:p>
        </w:tc>
        <w:tc>
          <w:tcPr>
            <w:tcW w:type="dxa" w:w="1125"/>
          </w:tcPr>
          <w:p>
            <w:pPr>
              <w:pStyle w:val="Compact"/>
              <w:spacing w:line="240" w:lineRule="auto" w:before="20" w:after="20"/>
              <w:jc w:val="left"/>
            </w:pPr>
            <w:r>
              <w:rPr>
                <w:rFonts w:ascii="Arial" w:hAnsi="Arial"/>
                <w:sz w:val="20"/>
              </w:rPr>
              <w:t xml:space="preserve">Coverage, joint (%)</w:t>
            </w:r>
          </w:p>
        </w:tc>
        <w:tc>
          <w:tcPr>
            <w:tcW w:type="dxa" w:w="1576"/>
          </w:tcPr>
          <w:p>
            <w:pPr>
              <w:pStyle w:val="Compact"/>
              <w:spacing w:line="240" w:lineRule="auto" w:before="20" w:after="20"/>
              <w:jc w:val="left"/>
            </w:pPr>
            <w:r>
              <w:rPr>
                <w:rFonts w:ascii="Arial" w:hAnsi="Arial"/>
                <w:sz w:val="20"/>
              </w:rPr>
              <w:t xml:space="preserve">Median half-width, reported</w:t>
            </w:r>
          </w:p>
        </w:tc>
        <w:tc>
          <w:tcPr>
            <w:tcW w:type="dxa" w:w="1407"/>
          </w:tcPr>
          <w:p>
            <w:pPr>
              <w:pStyle w:val="Compact"/>
              <w:spacing w:line="240" w:lineRule="auto" w:before="20" w:after="20"/>
              <w:jc w:val="left"/>
            </w:pPr>
            <w:r>
              <w:rPr>
                <w:rFonts w:ascii="Arial" w:hAnsi="Arial"/>
                <w:sz w:val="20"/>
              </w:rPr>
              <w:t xml:space="preserve">Median half-width, joint</w:t>
            </w:r>
          </w:p>
        </w:tc>
        <w:tc>
          <w:tcPr>
            <w:tcW w:type="dxa" w:w="1407"/>
          </w:tcPr>
          <w:p>
            <w:pPr>
              <w:pStyle w:val="Compact"/>
              <w:spacing w:line="240" w:lineRule="auto" w:before="20" w:after="20"/>
              <w:jc w:val="left"/>
            </w:pPr>
            <w:r>
              <w:rPr>
                <w:rFonts w:ascii="Arial" w:hAnsi="Arial"/>
                <w:sz w:val="20"/>
              </w:rPr>
              <w:t xml:space="preserve">Rule yield, reported (%)</w:t>
            </w:r>
          </w:p>
        </w:tc>
        <w:tc>
          <w:tcPr>
            <w:tcW w:type="dxa" w:w="1238"/>
          </w:tcPr>
          <w:p>
            <w:pPr>
              <w:pStyle w:val="Compact"/>
              <w:spacing w:line="240" w:lineRule="auto" w:before="20" w:after="20"/>
              <w:jc w:val="left"/>
            </w:pPr>
            <w:r>
              <w:rPr>
                <w:rFonts w:ascii="Arial" w:hAnsi="Arial"/>
                <w:sz w:val="20"/>
              </w:rPr>
              <w:t xml:space="preserve">Rule yield, joint (%)</w:t>
            </w:r>
          </w:p>
        </w:tc>
        <w:tc>
          <w:tcPr>
            <w:tcW w:type="dxa" w:w="1463"/>
          </w:tcPr>
          <w:p>
            <w:pPr>
              <w:pStyle w:val="Compact"/>
              <w:spacing w:line="240" w:lineRule="auto" w:before="20" w:after="20"/>
              <w:jc w:val="left"/>
            </w:pPr>
            <w:r>
              <w:rPr>
                <w:rFonts w:ascii="Arial" w:hAnsi="Arial"/>
                <w:sz w:val="20"/>
              </w:rPr>
              <w:t xml:space="preserve">Rule misuse, reported (%)</w:t>
            </w:r>
          </w:p>
        </w:tc>
        <w:tc>
          <w:tcPr>
            <w:tcW w:type="dxa" w:w="1294"/>
          </w:tcPr>
          <w:p>
            <w:pPr>
              <w:pStyle w:val="Compact"/>
              <w:spacing w:line="240" w:lineRule="auto" w:before="20" w:after="20"/>
              <w:jc w:val="left"/>
            </w:pPr>
            <w:r>
              <w:rPr>
                <w:rFonts w:ascii="Arial" w:hAnsi="Arial"/>
                <w:sz w:val="20"/>
              </w:rPr>
              <w:t xml:space="preserve">Rule misuse, joint (%)</w:t>
            </w:r>
          </w:p>
        </w:tc>
      </w:tr>
      <w:tr>
        <w:tc>
          <w:tcPr>
            <w:tcW w:type="dxa" w:w="2757"/>
          </w:tcPr>
          <w:p>
            <w:pPr>
              <w:pStyle w:val="Compact"/>
              <w:spacing w:line="240" w:lineRule="auto" w:before="20" w:after="20"/>
              <w:jc w:val="left"/>
            </w:pPr>
            <w:r>
              <w:rPr>
                <w:rFonts w:ascii="Arial" w:hAnsi="Arial"/>
                <w:sz w:val="20"/>
              </w:rPr>
              <w:t xml:space="preserve">all retained conditions (K = 12 and 50, exV = 0)</w:t>
            </w:r>
          </w:p>
        </w:tc>
        <w:tc>
          <w:tcPr>
            <w:tcW w:type="dxa" w:w="393"/>
          </w:tcPr>
          <w:p>
            <w:pPr>
              <w:pStyle w:val="Compact"/>
              <w:spacing w:line="240" w:lineRule="auto" w:before="20" w:after="20"/>
              <w:jc w:val="left"/>
            </w:pPr>
            <w:r>
              <w:rPr>
                <w:rFonts w:ascii="Arial" w:hAnsi="Arial"/>
                <w:sz w:val="20"/>
              </w:rPr>
              <w:t xml:space="preserve">64,000</w:t>
            </w:r>
          </w:p>
        </w:tc>
        <w:tc>
          <w:tcPr>
            <w:tcW w:type="dxa" w:w="1294"/>
          </w:tcPr>
          <w:p>
            <w:pPr>
              <w:pStyle w:val="Compact"/>
              <w:spacing w:line="240" w:lineRule="auto" w:before="20" w:after="20"/>
              <w:jc w:val="left"/>
            </w:pPr>
            <w:r>
              <w:rPr>
                <w:rFonts w:ascii="Arial" w:hAnsi="Arial"/>
                <w:sz w:val="20"/>
              </w:rPr>
              <w:t xml:space="preserve">78.8%</w:t>
            </w:r>
          </w:p>
        </w:tc>
        <w:tc>
          <w:tcPr>
            <w:tcW w:type="dxa" w:w="1125"/>
          </w:tcPr>
          <w:p>
            <w:pPr>
              <w:pStyle w:val="Compact"/>
              <w:spacing w:line="240" w:lineRule="auto" w:before="20" w:after="20"/>
              <w:jc w:val="left"/>
            </w:pPr>
            <w:r>
              <w:rPr>
                <w:rFonts w:ascii="Arial" w:hAnsi="Arial"/>
                <w:sz w:val="20"/>
              </w:rPr>
              <w:t xml:space="preserve">97.7%</w:t>
            </w:r>
          </w:p>
        </w:tc>
        <w:tc>
          <w:tcPr>
            <w:tcW w:type="dxa" w:w="1576"/>
          </w:tcPr>
          <w:p>
            <w:pPr>
              <w:pStyle w:val="Compact"/>
              <w:spacing w:line="240" w:lineRule="auto" w:before="20" w:after="20"/>
              <w:jc w:val="left"/>
            </w:pPr>
            <w:r>
              <w:rPr>
                <w:rFonts w:ascii="Arial" w:hAnsi="Arial"/>
                <w:sz w:val="20"/>
              </w:rPr>
              <w:t xml:space="preserve">0.132</w:t>
            </w:r>
          </w:p>
        </w:tc>
        <w:tc>
          <w:tcPr>
            <w:tcW w:type="dxa" w:w="1407"/>
          </w:tcPr>
          <w:p>
            <w:pPr>
              <w:pStyle w:val="Compact"/>
              <w:spacing w:line="240" w:lineRule="auto" w:before="20" w:after="20"/>
              <w:jc w:val="left"/>
            </w:pPr>
            <w:r>
              <w:rPr>
                <w:rFonts w:ascii="Arial" w:hAnsi="Arial"/>
                <w:sz w:val="20"/>
              </w:rPr>
              <w:t xml:space="preserve">0.222</w:t>
            </w:r>
          </w:p>
        </w:tc>
        <w:tc>
          <w:tcPr>
            <w:tcW w:type="dxa" w:w="1407"/>
          </w:tcPr>
          <w:p>
            <w:pPr>
              <w:pStyle w:val="Compact"/>
              <w:spacing w:line="240" w:lineRule="auto" w:before="20" w:after="20"/>
              <w:jc w:val="left"/>
            </w:pPr>
            <w:r>
              <w:rPr>
                <w:rFonts w:ascii="Arial" w:hAnsi="Arial"/>
                <w:sz w:val="20"/>
              </w:rPr>
              <w:t xml:space="preserve">24.3%</w:t>
            </w:r>
          </w:p>
        </w:tc>
        <w:tc>
          <w:tcPr>
            <w:tcW w:type="dxa" w:w="1238"/>
          </w:tcPr>
          <w:p>
            <w:pPr>
              <w:pStyle w:val="Compact"/>
              <w:spacing w:line="240" w:lineRule="auto" w:before="20" w:after="20"/>
              <w:jc w:val="left"/>
            </w:pPr>
            <w:r>
              <w:rPr>
                <w:rFonts w:ascii="Arial" w:hAnsi="Arial"/>
                <w:sz w:val="20"/>
              </w:rPr>
              <w:t xml:space="preserve">13.2%</w:t>
            </w:r>
          </w:p>
        </w:tc>
        <w:tc>
          <w:tcPr>
            <w:tcW w:type="dxa" w:w="1463"/>
          </w:tcPr>
          <w:p>
            <w:pPr>
              <w:pStyle w:val="Compact"/>
              <w:spacing w:line="240" w:lineRule="auto" w:before="20" w:after="20"/>
              <w:jc w:val="left"/>
            </w:pPr>
            <w:r>
              <w:rPr>
                <w:rFonts w:ascii="Arial" w:hAnsi="Arial"/>
                <w:sz w:val="20"/>
              </w:rPr>
              <w:t xml:space="preserve">5.10%</w:t>
            </w:r>
          </w:p>
        </w:tc>
        <w:tc>
          <w:tcPr>
            <w:tcW w:type="dxa" w:w="1294"/>
          </w:tcPr>
          <w:p>
            <w:pPr>
              <w:pStyle w:val="Compact"/>
              <w:spacing w:line="240" w:lineRule="auto" w:before="20" w:after="20"/>
              <w:jc w:val="left"/>
            </w:pPr>
            <w:r>
              <w:rPr>
                <w:rFonts w:ascii="Arial" w:hAnsi="Arial"/>
                <w:sz w:val="20"/>
              </w:rPr>
              <w:t xml:space="preserve">0.57%</w:t>
            </w:r>
          </w:p>
        </w:tc>
      </w:tr>
      <w:tr>
        <w:tc>
          <w:tcPr>
            <w:tcW w:type="dxa" w:w="2757"/>
          </w:tcPr>
          <w:p>
            <w:pPr>
              <w:pStyle w:val="Compact"/>
              <w:spacing w:line="240" w:lineRule="auto" w:before="20" w:after="20"/>
              <w:jc w:val="left"/>
            </w:pPr>
            <w:r>
              <w:rPr>
                <w:rFonts w:ascii="Arial" w:hAnsi="Arial"/>
                <w:sz w:val="20"/>
              </w:rPr>
              <w:t xml:space="preserve">K = 12</w:t>
            </w:r>
          </w:p>
        </w:tc>
        <w:tc>
          <w:tcPr>
            <w:tcW w:type="dxa" w:w="393"/>
          </w:tcPr>
          <w:p>
            <w:pPr>
              <w:pStyle w:val="Compact"/>
              <w:spacing w:line="240" w:lineRule="auto" w:before="20" w:after="20"/>
              <w:jc w:val="left"/>
            </w:pPr>
            <w:r>
              <w:rPr>
                <w:rFonts w:ascii="Arial" w:hAnsi="Arial"/>
                <w:sz w:val="20"/>
              </w:rPr>
              <w:t xml:space="preserve">32,000</w:t>
            </w:r>
          </w:p>
        </w:tc>
        <w:tc>
          <w:tcPr>
            <w:tcW w:type="dxa" w:w="1294"/>
          </w:tcPr>
          <w:p>
            <w:pPr>
              <w:pStyle w:val="Compact"/>
              <w:spacing w:line="240" w:lineRule="auto" w:before="20" w:after="20"/>
              <w:jc w:val="left"/>
            </w:pPr>
            <w:r>
              <w:rPr>
                <w:rFonts w:ascii="Arial" w:hAnsi="Arial"/>
                <w:sz w:val="20"/>
              </w:rPr>
              <w:t xml:space="preserve">92.7%</w:t>
            </w:r>
          </w:p>
        </w:tc>
        <w:tc>
          <w:tcPr>
            <w:tcW w:type="dxa" w:w="1125"/>
          </w:tcPr>
          <w:p>
            <w:pPr>
              <w:pStyle w:val="Compact"/>
              <w:spacing w:line="240" w:lineRule="auto" w:before="20" w:after="20"/>
              <w:jc w:val="left"/>
            </w:pPr>
            <w:r>
              <w:rPr>
                <w:rFonts w:ascii="Arial" w:hAnsi="Arial"/>
                <w:sz w:val="20"/>
              </w:rPr>
              <w:t xml:space="preserve">98.5%</w:t>
            </w:r>
          </w:p>
        </w:tc>
        <w:tc>
          <w:tcPr>
            <w:tcW w:type="dxa" w:w="1576"/>
          </w:tcPr>
          <w:p>
            <w:pPr>
              <w:pStyle w:val="Compact"/>
              <w:spacing w:line="240" w:lineRule="auto" w:before="20" w:after="20"/>
              <w:jc w:val="left"/>
            </w:pPr>
            <w:r>
              <w:rPr>
                <w:rFonts w:ascii="Arial" w:hAnsi="Arial"/>
                <w:sz w:val="20"/>
              </w:rPr>
              <w:t xml:space="preserve">0.185</w:t>
            </w:r>
          </w:p>
        </w:tc>
        <w:tc>
          <w:tcPr>
            <w:tcW w:type="dxa" w:w="1407"/>
          </w:tcPr>
          <w:p>
            <w:pPr>
              <w:pStyle w:val="Compact"/>
              <w:spacing w:line="240" w:lineRule="auto" w:before="20" w:after="20"/>
              <w:jc w:val="left"/>
            </w:pPr>
            <w:r>
              <w:rPr>
                <w:rFonts w:ascii="Arial" w:hAnsi="Arial"/>
                <w:sz w:val="20"/>
              </w:rPr>
              <w:t xml:space="preserve">0.247</w:t>
            </w:r>
          </w:p>
        </w:tc>
        <w:tc>
          <w:tcPr>
            <w:tcW w:type="dxa" w:w="1407"/>
          </w:tcPr>
          <w:p>
            <w:pPr>
              <w:pStyle w:val="Compact"/>
              <w:spacing w:line="240" w:lineRule="auto" w:before="20" w:after="20"/>
              <w:jc w:val="left"/>
            </w:pPr>
            <w:r>
              <w:rPr>
                <w:rFonts w:ascii="Arial" w:hAnsi="Arial"/>
                <w:sz w:val="20"/>
              </w:rPr>
              <w:t xml:space="preserve">15.7%</w:t>
            </w:r>
          </w:p>
        </w:tc>
        <w:tc>
          <w:tcPr>
            <w:tcW w:type="dxa" w:w="1238"/>
          </w:tcPr>
          <w:p>
            <w:pPr>
              <w:pStyle w:val="Compact"/>
              <w:spacing w:line="240" w:lineRule="auto" w:before="20" w:after="20"/>
              <w:jc w:val="left"/>
            </w:pPr>
            <w:r>
              <w:rPr>
                <w:rFonts w:ascii="Arial" w:hAnsi="Arial"/>
                <w:sz w:val="20"/>
              </w:rPr>
              <w:t xml:space="preserve">9.2%</w:t>
            </w:r>
          </w:p>
        </w:tc>
        <w:tc>
          <w:tcPr>
            <w:tcW w:type="dxa" w:w="1463"/>
          </w:tcPr>
          <w:p>
            <w:pPr>
              <w:pStyle w:val="Compact"/>
              <w:spacing w:line="240" w:lineRule="auto" w:before="20" w:after="20"/>
              <w:jc w:val="left"/>
            </w:pPr>
            <w:r>
              <w:rPr>
                <w:rFonts w:ascii="Arial" w:hAnsi="Arial"/>
                <w:sz w:val="20"/>
              </w:rPr>
              <w:t xml:space="preserve">2.69%</w:t>
            </w:r>
          </w:p>
        </w:tc>
        <w:tc>
          <w:tcPr>
            <w:tcW w:type="dxa" w:w="1294"/>
          </w:tcPr>
          <w:p>
            <w:pPr>
              <w:pStyle w:val="Compact"/>
              <w:spacing w:line="240" w:lineRule="auto" w:before="20" w:after="20"/>
              <w:jc w:val="left"/>
            </w:pPr>
            <w:r>
              <w:rPr>
                <w:rFonts w:ascii="Arial" w:hAnsi="Arial"/>
                <w:sz w:val="20"/>
              </w:rPr>
              <w:t xml:space="preserve">0.24%</w:t>
            </w:r>
          </w:p>
        </w:tc>
      </w:tr>
      <w:tr>
        <w:tc>
          <w:tcPr>
            <w:tcW w:type="dxa" w:w="2757"/>
          </w:tcPr>
          <w:p>
            <w:pPr>
              <w:pStyle w:val="Compact"/>
              <w:spacing w:line="240" w:lineRule="auto" w:before="20" w:after="20"/>
              <w:jc w:val="left"/>
            </w:pPr>
            <w:r>
              <w:rPr>
                <w:rFonts w:ascii="Arial" w:hAnsi="Arial"/>
                <w:sz w:val="20"/>
              </w:rPr>
              <w:t xml:space="preserve">K = 50</w:t>
            </w:r>
          </w:p>
        </w:tc>
        <w:tc>
          <w:tcPr>
            <w:tcW w:type="dxa" w:w="393"/>
          </w:tcPr>
          <w:p>
            <w:pPr>
              <w:pStyle w:val="Compact"/>
              <w:spacing w:line="240" w:lineRule="auto" w:before="20" w:after="20"/>
              <w:jc w:val="left"/>
            </w:pPr>
            <w:r>
              <w:rPr>
                <w:rFonts w:ascii="Arial" w:hAnsi="Arial"/>
                <w:sz w:val="20"/>
              </w:rPr>
              <w:t xml:space="preserve">32,000</w:t>
            </w:r>
          </w:p>
        </w:tc>
        <w:tc>
          <w:tcPr>
            <w:tcW w:type="dxa" w:w="1294"/>
          </w:tcPr>
          <w:p>
            <w:pPr>
              <w:pStyle w:val="Compact"/>
              <w:spacing w:line="240" w:lineRule="auto" w:before="20" w:after="20"/>
              <w:jc w:val="left"/>
            </w:pPr>
            <w:r>
              <w:rPr>
                <w:rFonts w:ascii="Arial" w:hAnsi="Arial"/>
                <w:sz w:val="20"/>
              </w:rPr>
              <w:t xml:space="preserve">64.9%</w:t>
            </w:r>
          </w:p>
        </w:tc>
        <w:tc>
          <w:tcPr>
            <w:tcW w:type="dxa" w:w="1125"/>
          </w:tcPr>
          <w:p>
            <w:pPr>
              <w:pStyle w:val="Compact"/>
              <w:spacing w:line="240" w:lineRule="auto" w:before="20" w:after="20"/>
              <w:jc w:val="left"/>
            </w:pPr>
            <w:r>
              <w:rPr>
                <w:rFonts w:ascii="Arial" w:hAnsi="Arial"/>
                <w:sz w:val="20"/>
              </w:rPr>
              <w:t xml:space="preserve">96.8%</w:t>
            </w:r>
          </w:p>
        </w:tc>
        <w:tc>
          <w:tcPr>
            <w:tcW w:type="dxa" w:w="1576"/>
          </w:tcPr>
          <w:p>
            <w:pPr>
              <w:pStyle w:val="Compact"/>
              <w:spacing w:line="240" w:lineRule="auto" w:before="20" w:after="20"/>
              <w:jc w:val="left"/>
            </w:pPr>
            <w:r>
              <w:rPr>
                <w:rFonts w:ascii="Arial" w:hAnsi="Arial"/>
                <w:sz w:val="20"/>
              </w:rPr>
              <w:t xml:space="preserve">0.077</w:t>
            </w:r>
          </w:p>
        </w:tc>
        <w:tc>
          <w:tcPr>
            <w:tcW w:type="dxa" w:w="1407"/>
          </w:tcPr>
          <w:p>
            <w:pPr>
              <w:pStyle w:val="Compact"/>
              <w:spacing w:line="240" w:lineRule="auto" w:before="20" w:after="20"/>
              <w:jc w:val="left"/>
            </w:pPr>
            <w:r>
              <w:rPr>
                <w:rFonts w:ascii="Arial" w:hAnsi="Arial"/>
                <w:sz w:val="20"/>
              </w:rPr>
              <w:t xml:space="preserve">0.191</w:t>
            </w:r>
          </w:p>
        </w:tc>
        <w:tc>
          <w:tcPr>
            <w:tcW w:type="dxa" w:w="1407"/>
          </w:tcPr>
          <w:p>
            <w:pPr>
              <w:pStyle w:val="Compact"/>
              <w:spacing w:line="240" w:lineRule="auto" w:before="20" w:after="20"/>
              <w:jc w:val="left"/>
            </w:pPr>
            <w:r>
              <w:rPr>
                <w:rFonts w:ascii="Arial" w:hAnsi="Arial"/>
                <w:sz w:val="20"/>
              </w:rPr>
              <w:t xml:space="preserve">33.0%</w:t>
            </w:r>
          </w:p>
        </w:tc>
        <w:tc>
          <w:tcPr>
            <w:tcW w:type="dxa" w:w="1238"/>
          </w:tcPr>
          <w:p>
            <w:pPr>
              <w:pStyle w:val="Compact"/>
              <w:spacing w:line="240" w:lineRule="auto" w:before="20" w:after="20"/>
              <w:jc w:val="left"/>
            </w:pPr>
            <w:r>
              <w:rPr>
                <w:rFonts w:ascii="Arial" w:hAnsi="Arial"/>
                <w:sz w:val="20"/>
              </w:rPr>
              <w:t xml:space="preserve">17.1%</w:t>
            </w:r>
          </w:p>
        </w:tc>
        <w:tc>
          <w:tcPr>
            <w:tcW w:type="dxa" w:w="1463"/>
          </w:tcPr>
          <w:p>
            <w:pPr>
              <w:pStyle w:val="Compact"/>
              <w:spacing w:line="240" w:lineRule="auto" w:before="20" w:after="20"/>
              <w:jc w:val="left"/>
            </w:pPr>
            <w:r>
              <w:rPr>
                <w:rFonts w:ascii="Arial" w:hAnsi="Arial"/>
                <w:sz w:val="20"/>
              </w:rPr>
              <w:t xml:space="preserve">6.24%</w:t>
            </w:r>
          </w:p>
        </w:tc>
        <w:tc>
          <w:tcPr>
            <w:tcW w:type="dxa" w:w="1294"/>
          </w:tcPr>
          <w:p>
            <w:pPr>
              <w:pStyle w:val="Compact"/>
              <w:spacing w:line="240" w:lineRule="auto" w:before="20" w:after="20"/>
              <w:jc w:val="left"/>
            </w:pPr>
            <w:r>
              <w:rPr>
                <w:rFonts w:ascii="Arial" w:hAnsi="Arial"/>
                <w:sz w:val="20"/>
              </w:rPr>
              <w:t xml:space="preserve">0.75%</w:t>
            </w:r>
          </w:p>
        </w:tc>
      </w:tr>
      <w:tr>
        <w:tc>
          <w:tcPr>
            <w:tcW w:type="dxa" w:w="2757"/>
          </w:tcPr>
          <w:p>
            <w:pPr>
              <w:pStyle w:val="Compact"/>
              <w:spacing w:line="240" w:lineRule="auto" w:before="20" w:after="20"/>
              <w:jc w:val="left"/>
            </w:pPr>
            <w:r>
              <w:rPr>
                <w:rFonts w:ascii="Arial" w:hAnsi="Arial"/>
                <w:sz w:val="20"/>
              </w:rPr>
              <w:t xml:space="preserve">sigma_psi = 0.06</w:t>
            </w:r>
          </w:p>
        </w:tc>
        <w:tc>
          <w:tcPr>
            <w:tcW w:type="dxa" w:w="393"/>
          </w:tcPr>
          <w:p>
            <w:pPr>
              <w:pStyle w:val="Compact"/>
              <w:spacing w:line="240" w:lineRule="auto" w:before="20" w:after="20"/>
              <w:jc w:val="left"/>
            </w:pPr>
            <w:r>
              <w:rPr>
                <w:rFonts w:ascii="Arial" w:hAnsi="Arial"/>
                <w:sz w:val="20"/>
              </w:rPr>
              <w:t xml:space="preserve">32,000</w:t>
            </w:r>
          </w:p>
        </w:tc>
        <w:tc>
          <w:tcPr>
            <w:tcW w:type="dxa" w:w="1294"/>
          </w:tcPr>
          <w:p>
            <w:pPr>
              <w:pStyle w:val="Compact"/>
              <w:spacing w:line="240" w:lineRule="auto" w:before="20" w:after="20"/>
              <w:jc w:val="left"/>
            </w:pPr>
            <w:r>
              <w:rPr>
                <w:rFonts w:ascii="Arial" w:hAnsi="Arial"/>
                <w:sz w:val="20"/>
              </w:rPr>
              <w:t xml:space="preserve">85.6%</w:t>
            </w:r>
          </w:p>
        </w:tc>
        <w:tc>
          <w:tcPr>
            <w:tcW w:type="dxa" w:w="1125"/>
          </w:tcPr>
          <w:p>
            <w:pPr>
              <w:pStyle w:val="Compact"/>
              <w:spacing w:line="240" w:lineRule="auto" w:before="20" w:after="20"/>
              <w:jc w:val="left"/>
            </w:pPr>
            <w:r>
              <w:rPr>
                <w:rFonts w:ascii="Arial" w:hAnsi="Arial"/>
                <w:sz w:val="20"/>
              </w:rPr>
              <w:t xml:space="preserve">98.3%</w:t>
            </w:r>
          </w:p>
        </w:tc>
        <w:tc>
          <w:tcPr>
            <w:tcW w:type="dxa" w:w="1576"/>
          </w:tcPr>
          <w:p>
            <w:pPr>
              <w:pStyle w:val="Compact"/>
              <w:spacing w:line="240" w:lineRule="auto" w:before="20" w:after="20"/>
              <w:jc w:val="left"/>
            </w:pPr>
            <w:r>
              <w:rPr>
                <w:rFonts w:ascii="Arial" w:hAnsi="Arial"/>
                <w:sz w:val="20"/>
              </w:rPr>
              <w:t xml:space="preserve">0.135</w:t>
            </w:r>
          </w:p>
        </w:tc>
        <w:tc>
          <w:tcPr>
            <w:tcW w:type="dxa" w:w="1407"/>
          </w:tcPr>
          <w:p>
            <w:pPr>
              <w:pStyle w:val="Compact"/>
              <w:spacing w:line="240" w:lineRule="auto" w:before="20" w:after="20"/>
              <w:jc w:val="left"/>
            </w:pPr>
            <w:r>
              <w:rPr>
                <w:rFonts w:ascii="Arial" w:hAnsi="Arial"/>
                <w:sz w:val="20"/>
              </w:rPr>
              <w:t xml:space="preserve">0.194</w:t>
            </w:r>
          </w:p>
        </w:tc>
        <w:tc>
          <w:tcPr>
            <w:tcW w:type="dxa" w:w="1407"/>
          </w:tcPr>
          <w:p>
            <w:pPr>
              <w:pStyle w:val="Compact"/>
              <w:spacing w:line="240" w:lineRule="auto" w:before="20" w:after="20"/>
              <w:jc w:val="left"/>
            </w:pPr>
            <w:r>
              <w:rPr>
                <w:rFonts w:ascii="Arial" w:hAnsi="Arial"/>
                <w:sz w:val="20"/>
              </w:rPr>
              <w:t xml:space="preserve">23.2%</w:t>
            </w:r>
          </w:p>
        </w:tc>
        <w:tc>
          <w:tcPr>
            <w:tcW w:type="dxa" w:w="1238"/>
          </w:tcPr>
          <w:p>
            <w:pPr>
              <w:pStyle w:val="Compact"/>
              <w:spacing w:line="240" w:lineRule="auto" w:before="20" w:after="20"/>
              <w:jc w:val="left"/>
            </w:pPr>
            <w:r>
              <w:rPr>
                <w:rFonts w:ascii="Arial" w:hAnsi="Arial"/>
                <w:sz w:val="20"/>
              </w:rPr>
              <w:t xml:space="preserve">15.8%</w:t>
            </w:r>
          </w:p>
        </w:tc>
        <w:tc>
          <w:tcPr>
            <w:tcW w:type="dxa" w:w="1463"/>
          </w:tcPr>
          <w:p>
            <w:pPr>
              <w:pStyle w:val="Compact"/>
              <w:spacing w:line="240" w:lineRule="auto" w:before="20" w:after="20"/>
              <w:jc w:val="left"/>
            </w:pPr>
            <w:r>
              <w:rPr>
                <w:rFonts w:ascii="Arial" w:hAnsi="Arial"/>
                <w:sz w:val="20"/>
              </w:rPr>
              <w:t xml:space="preserve">1.98%</w:t>
            </w:r>
          </w:p>
        </w:tc>
        <w:tc>
          <w:tcPr>
            <w:tcW w:type="dxa" w:w="1294"/>
          </w:tcPr>
          <w:p>
            <w:pPr>
              <w:pStyle w:val="Compact"/>
              <w:spacing w:line="240" w:lineRule="auto" w:before="20" w:after="20"/>
              <w:jc w:val="left"/>
            </w:pPr>
            <w:r>
              <w:rPr>
                <w:rFonts w:ascii="Arial" w:hAnsi="Arial"/>
                <w:sz w:val="20"/>
              </w:rPr>
              <w:t xml:space="preserve">0.28%</w:t>
            </w:r>
          </w:p>
        </w:tc>
      </w:tr>
      <w:tr>
        <w:tc>
          <w:tcPr>
            <w:tcW w:type="dxa" w:w="2757"/>
          </w:tcPr>
          <w:p>
            <w:pPr>
              <w:pStyle w:val="Compact"/>
              <w:spacing w:line="240" w:lineRule="auto" w:before="20" w:after="20"/>
              <w:jc w:val="left"/>
            </w:pPr>
            <w:r>
              <w:rPr>
                <w:rFonts w:ascii="Arial" w:hAnsi="Arial"/>
                <w:sz w:val="20"/>
              </w:rPr>
              <w:t xml:space="preserve">sigma_psi = 0.10</w:t>
            </w:r>
          </w:p>
        </w:tc>
        <w:tc>
          <w:tcPr>
            <w:tcW w:type="dxa" w:w="393"/>
          </w:tcPr>
          <w:p>
            <w:pPr>
              <w:pStyle w:val="Compact"/>
              <w:spacing w:line="240" w:lineRule="auto" w:before="20" w:after="20"/>
              <w:jc w:val="left"/>
            </w:pPr>
            <w:r>
              <w:rPr>
                <w:rFonts w:ascii="Arial" w:hAnsi="Arial"/>
                <w:sz w:val="20"/>
              </w:rPr>
              <w:t xml:space="preserve">32,000</w:t>
            </w:r>
          </w:p>
        </w:tc>
        <w:tc>
          <w:tcPr>
            <w:tcW w:type="dxa" w:w="1294"/>
          </w:tcPr>
          <w:p>
            <w:pPr>
              <w:pStyle w:val="Compact"/>
              <w:spacing w:line="240" w:lineRule="auto" w:before="20" w:after="20"/>
              <w:jc w:val="left"/>
            </w:pPr>
            <w:r>
              <w:rPr>
                <w:rFonts w:ascii="Arial" w:hAnsi="Arial"/>
                <w:sz w:val="20"/>
              </w:rPr>
              <w:t xml:space="preserve">72.1%</w:t>
            </w:r>
          </w:p>
        </w:tc>
        <w:tc>
          <w:tcPr>
            <w:tcW w:type="dxa" w:w="1125"/>
          </w:tcPr>
          <w:p>
            <w:pPr>
              <w:pStyle w:val="Compact"/>
              <w:spacing w:line="240" w:lineRule="auto" w:before="20" w:after="20"/>
              <w:jc w:val="left"/>
            </w:pPr>
            <w:r>
              <w:rPr>
                <w:rFonts w:ascii="Arial" w:hAnsi="Arial"/>
                <w:sz w:val="20"/>
              </w:rPr>
              <w:t xml:space="preserve">97.0%</w:t>
            </w:r>
          </w:p>
        </w:tc>
        <w:tc>
          <w:tcPr>
            <w:tcW w:type="dxa" w:w="1576"/>
          </w:tcPr>
          <w:p>
            <w:pPr>
              <w:pStyle w:val="Compact"/>
              <w:spacing w:line="240" w:lineRule="auto" w:before="20" w:after="20"/>
              <w:jc w:val="left"/>
            </w:pPr>
            <w:r>
              <w:rPr>
                <w:rFonts w:ascii="Arial" w:hAnsi="Arial"/>
                <w:sz w:val="20"/>
              </w:rPr>
              <w:t xml:space="preserve">0.129</w:t>
            </w:r>
          </w:p>
        </w:tc>
        <w:tc>
          <w:tcPr>
            <w:tcW w:type="dxa" w:w="1407"/>
          </w:tcPr>
          <w:p>
            <w:pPr>
              <w:pStyle w:val="Compact"/>
              <w:spacing w:line="240" w:lineRule="auto" w:before="20" w:after="20"/>
              <w:jc w:val="left"/>
            </w:pPr>
            <w:r>
              <w:rPr>
                <w:rFonts w:ascii="Arial" w:hAnsi="Arial"/>
                <w:sz w:val="20"/>
              </w:rPr>
              <w:t xml:space="preserve">0.246</w:t>
            </w:r>
          </w:p>
        </w:tc>
        <w:tc>
          <w:tcPr>
            <w:tcW w:type="dxa" w:w="1407"/>
          </w:tcPr>
          <w:p>
            <w:pPr>
              <w:pStyle w:val="Compact"/>
              <w:spacing w:line="240" w:lineRule="auto" w:before="20" w:after="20"/>
              <w:jc w:val="left"/>
            </w:pPr>
            <w:r>
              <w:rPr>
                <w:rFonts w:ascii="Arial" w:hAnsi="Arial"/>
                <w:sz w:val="20"/>
              </w:rPr>
              <w:t xml:space="preserve">25.5%</w:t>
            </w:r>
          </w:p>
        </w:tc>
        <w:tc>
          <w:tcPr>
            <w:tcW w:type="dxa" w:w="1238"/>
          </w:tcPr>
          <w:p>
            <w:pPr>
              <w:pStyle w:val="Compact"/>
              <w:spacing w:line="240" w:lineRule="auto" w:before="20" w:after="20"/>
              <w:jc w:val="left"/>
            </w:pPr>
            <w:r>
              <w:rPr>
                <w:rFonts w:ascii="Arial" w:hAnsi="Arial"/>
                <w:sz w:val="20"/>
              </w:rPr>
              <w:t xml:space="preserve">10.6%</w:t>
            </w:r>
          </w:p>
        </w:tc>
        <w:tc>
          <w:tcPr>
            <w:tcW w:type="dxa" w:w="1463"/>
          </w:tcPr>
          <w:p>
            <w:pPr>
              <w:pStyle w:val="Compact"/>
              <w:spacing w:line="240" w:lineRule="auto" w:before="20" w:after="20"/>
              <w:jc w:val="left"/>
            </w:pPr>
            <w:r>
              <w:rPr>
                <w:rFonts w:ascii="Arial" w:hAnsi="Arial"/>
                <w:sz w:val="20"/>
              </w:rPr>
              <w:t xml:space="preserve">7.95%</w:t>
            </w:r>
          </w:p>
        </w:tc>
        <w:tc>
          <w:tcPr>
            <w:tcW w:type="dxa" w:w="1294"/>
          </w:tcPr>
          <w:p>
            <w:pPr>
              <w:pStyle w:val="Compact"/>
              <w:spacing w:line="240" w:lineRule="auto" w:before="20" w:after="20"/>
              <w:jc w:val="left"/>
            </w:pPr>
            <w:r>
              <w:rPr>
                <w:rFonts w:ascii="Arial" w:hAnsi="Arial"/>
                <w:sz w:val="20"/>
              </w:rPr>
              <w:t xml:space="preserve">1.01%</w:t>
            </w:r>
          </w:p>
        </w:tc>
      </w:tr>
    </w:tbl>
    <w:bookmarkEnd w:id="28"/>
    <w:bookmarkStart w:id="29" w:name="X5b6c699e4d41eaa8f249bc039fa1004691ac5e7"/>
    <w:p>
      <w:pPr>
        <w:pStyle w:val="Heading2"/>
      </w:pPr>
      <w:r>
        <w:rPr>
          <w:rFonts w:ascii="Arial" w:hAnsi="Arial" w:eastAsia="Arial" w:cs="Arial"/>
          <w:b/>
          <w:sz w:val="24"/>
        </w:rPr>
        <w:t xml:space="preserve">eTable 10. Missing-data handling for the question-2 exposure</w:t>
      </w:r>
    </w:p>
    <w:p>
      <w:pPr>
        <w:pStyle w:val="TableCaption"/>
      </w:pPr>
      <w:r>
        <w:t xml:space="preserve">eTable 10. Question 2 under four conventions for the 3,494 patients (23.8%) with an indeterminate guideline-directed medical therapy score. The bias fraction and its credible interval are computed with the same bootstrap estimator and n_boot used for the published analysis, and the determination is read from the same lookup table, so the only quantity that varies across rows is the target estimate. The first row reproduces the published question-2 result exactly.</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Caption w:val="eTable 10. Question 2 under four conventions for the 3,494 patients (23.8%) with an indeterminate guideline-directed medical therapy score. The bias fraction and its credible interval are computed with the same bootstrap estimator and n_boot used for the published analysis, and the determination is read from the same lookup table, so the only quantity that varies across rows is the target estimate. The first row reproduces the published question-2 result exactly."/>
      </w:tblPr>
      <w:tblGrid>
        <w:gridCol w:w="3471"/>
        <w:gridCol w:w="527"/>
        <w:gridCol w:w="1206"/>
        <w:gridCol w:w="1735"/>
        <w:gridCol w:w="980"/>
        <w:gridCol w:w="451"/>
        <w:gridCol w:w="1962"/>
        <w:gridCol w:w="1357"/>
        <w:gridCol w:w="2265"/>
      </w:tblGrid>
      <w:tr>
        <w:trPr>
          <w:tblHeader w:val="on"/>
        </w:trPr>
        <w:tc>
          <w:tcPr>
            <w:tcW w:type="dxa" w:w="3471"/>
          </w:tcPr>
          <w:p>
            <w:pPr>
              <w:pStyle w:val="Compact"/>
              <w:spacing w:line="240" w:lineRule="auto" w:before="20" w:after="20"/>
              <w:jc w:val="left"/>
            </w:pPr>
            <w:r>
              <w:rPr>
                <w:rFonts w:ascii="Arial" w:hAnsi="Arial"/>
                <w:sz w:val="20"/>
              </w:rPr>
              <w:t xml:space="preserve">Indeterminate exposure handled as</w:t>
            </w:r>
          </w:p>
        </w:tc>
        <w:tc>
          <w:tcPr>
            <w:tcW w:type="dxa" w:w="527"/>
          </w:tcPr>
          <w:p>
            <w:pPr>
              <w:pStyle w:val="Compact"/>
              <w:spacing w:line="240" w:lineRule="auto" w:before="20" w:after="20"/>
              <w:jc w:val="left"/>
            </w:pPr>
            <w:r>
              <w:rPr>
                <w:rFonts w:ascii="Arial" w:hAnsi="Arial"/>
                <w:sz w:val="20"/>
              </w:rPr>
              <w:t xml:space="preserve">N</w:t>
            </w:r>
          </w:p>
        </w:tc>
        <w:tc>
          <w:tcPr>
            <w:tcW w:type="dxa" w:w="1206"/>
          </w:tcPr>
          <w:p>
            <w:pPr>
              <w:pStyle w:val="Compact"/>
              <w:spacing w:line="240" w:lineRule="auto" w:before="20" w:after="20"/>
              <w:jc w:val="left"/>
            </w:pPr>
            <w:r>
              <w:rPr>
                <w:rFonts w:ascii="Arial" w:hAnsi="Arial"/>
                <w:sz w:val="20"/>
              </w:rPr>
              <w:t xml:space="preserve">Uncalibrated RR</w:t>
            </w:r>
          </w:p>
        </w:tc>
        <w:tc>
          <w:tcPr>
            <w:tcW w:type="dxa" w:w="1735"/>
          </w:tcPr>
          <w:p>
            <w:pPr>
              <w:pStyle w:val="Compact"/>
              <w:spacing w:line="240" w:lineRule="auto" w:before="20" w:after="20"/>
              <w:jc w:val="left"/>
            </w:pPr>
            <w:r>
              <w:rPr>
                <w:rFonts w:ascii="Arial" w:hAnsi="Arial"/>
                <w:sz w:val="20"/>
              </w:rPr>
              <w:t xml:space="preserve">Uncalibrated RR 95% CI</w:t>
            </w:r>
          </w:p>
        </w:tc>
        <w:tc>
          <w:tcPr>
            <w:tcW w:type="dxa" w:w="980"/>
          </w:tcPr>
          <w:p>
            <w:pPr>
              <w:pStyle w:val="Compact"/>
              <w:spacing w:line="240" w:lineRule="auto" w:before="20" w:after="20"/>
              <w:jc w:val="left"/>
            </w:pPr>
            <w:r>
              <w:rPr>
                <w:rFonts w:ascii="Arial" w:hAnsi="Arial"/>
                <w:sz w:val="20"/>
              </w:rPr>
              <w:t xml:space="preserve">Calibrated P</w:t>
            </w:r>
          </w:p>
        </w:tc>
        <w:tc>
          <w:tcPr>
            <w:tcW w:type="dxa" w:w="451"/>
          </w:tcPr>
          <w:p>
            <w:pPr>
              <w:pStyle w:val="Compact"/>
              <w:spacing w:line="240" w:lineRule="auto" w:before="20" w:after="20"/>
              <w:jc w:val="left"/>
            </w:pPr>
            <w:r>
              <w:rPr>
                <w:rFonts w:ascii="Arial" w:hAnsi="Arial"/>
                <w:sz w:val="20"/>
              </w:rPr>
              <w:t xml:space="preserve">BAF</w:t>
            </w:r>
          </w:p>
        </w:tc>
        <w:tc>
          <w:tcPr>
            <w:tcW w:type="dxa" w:w="1962"/>
          </w:tcPr>
          <w:p>
            <w:pPr>
              <w:pStyle w:val="Compact"/>
              <w:spacing w:line="240" w:lineRule="auto" w:before="20" w:after="20"/>
              <w:jc w:val="left"/>
            </w:pPr>
            <w:r>
              <w:rPr>
                <w:rFonts w:ascii="Arial" w:hAnsi="Arial"/>
                <w:sz w:val="20"/>
              </w:rPr>
              <w:t xml:space="preserve">BAF 95% credible interval</w:t>
            </w:r>
          </w:p>
        </w:tc>
        <w:tc>
          <w:tcPr>
            <w:tcW w:type="dxa" w:w="1357"/>
          </w:tcPr>
          <w:p>
            <w:pPr>
              <w:pStyle w:val="Compact"/>
              <w:spacing w:line="240" w:lineRule="auto" w:before="20" w:after="20"/>
              <w:jc w:val="left"/>
            </w:pPr>
            <w:r>
              <w:rPr>
                <w:rFonts w:ascii="Arial" w:hAnsi="Arial"/>
                <w:sz w:val="20"/>
              </w:rPr>
              <w:t xml:space="preserve">P(bias-dominated)</w:t>
            </w:r>
          </w:p>
        </w:tc>
        <w:tc>
          <w:tcPr>
            <w:tcW w:type="dxa" w:w="2265"/>
          </w:tcPr>
          <w:p>
            <w:pPr>
              <w:pStyle w:val="Compact"/>
              <w:spacing w:line="240" w:lineRule="auto" w:before="20" w:after="20"/>
              <w:jc w:val="left"/>
            </w:pPr>
            <w:r>
              <w:rPr>
                <w:rFonts w:ascii="Arial" w:hAnsi="Arial"/>
                <w:sz w:val="20"/>
              </w:rPr>
              <w:t xml:space="preserve">Determination</w:t>
            </w:r>
          </w:p>
        </w:tc>
      </w:tr>
      <w:tr>
        <w:tc>
          <w:tcPr>
            <w:tcW w:type="dxa" w:w="3471"/>
          </w:tcPr>
          <w:p>
            <w:pPr>
              <w:pStyle w:val="Compact"/>
              <w:spacing w:line="240" w:lineRule="auto" w:before="20" w:after="20"/>
              <w:jc w:val="left"/>
            </w:pPr>
            <w:r>
              <w:rPr>
                <w:rFonts w:ascii="Arial" w:hAnsi="Arial"/>
                <w:sz w:val="20"/>
              </w:rPr>
              <w:t xml:space="preserve">indeterminate as suboptimal (published)</w:t>
            </w:r>
          </w:p>
        </w:tc>
        <w:tc>
          <w:tcPr>
            <w:tcW w:type="dxa" w:w="527"/>
          </w:tcPr>
          <w:p>
            <w:pPr>
              <w:pStyle w:val="Compact"/>
              <w:spacing w:line="240" w:lineRule="auto" w:before="20" w:after="20"/>
              <w:jc w:val="left"/>
            </w:pPr>
            <w:r>
              <w:rPr>
                <w:rFonts w:ascii="Arial" w:hAnsi="Arial"/>
                <w:sz w:val="20"/>
              </w:rPr>
              <w:t xml:space="preserve">14,677</w:t>
            </w:r>
          </w:p>
        </w:tc>
        <w:tc>
          <w:tcPr>
            <w:tcW w:type="dxa" w:w="1206"/>
          </w:tcPr>
          <w:p>
            <w:pPr>
              <w:pStyle w:val="Compact"/>
              <w:spacing w:line="240" w:lineRule="auto" w:before="20" w:after="20"/>
              <w:jc w:val="left"/>
            </w:pPr>
            <w:r>
              <w:rPr>
                <w:rFonts w:ascii="Arial" w:hAnsi="Arial"/>
                <w:sz w:val="20"/>
              </w:rPr>
              <w:t xml:space="preserve">0.682</w:t>
            </w:r>
          </w:p>
        </w:tc>
        <w:tc>
          <w:tcPr>
            <w:tcW w:type="dxa" w:w="1735"/>
          </w:tcPr>
          <w:p>
            <w:pPr>
              <w:pStyle w:val="Compact"/>
              <w:spacing w:line="240" w:lineRule="auto" w:before="20" w:after="20"/>
              <w:jc w:val="left"/>
            </w:pPr>
            <w:r>
              <w:rPr>
                <w:rFonts w:ascii="Arial" w:hAnsi="Arial"/>
                <w:sz w:val="20"/>
              </w:rPr>
              <w:t xml:space="preserve">0.597–0.779</w:t>
            </w:r>
          </w:p>
        </w:tc>
        <w:tc>
          <w:tcPr>
            <w:tcW w:type="dxa" w:w="980"/>
          </w:tcPr>
          <w:p>
            <w:pPr>
              <w:pStyle w:val="Compact"/>
              <w:spacing w:line="240" w:lineRule="auto" w:before="20" w:after="20"/>
              <w:jc w:val="left"/>
            </w:pPr>
            <w:r>
              <w:rPr>
                <w:rFonts w:ascii="Arial" w:hAnsi="Arial"/>
                <w:sz w:val="20"/>
              </w:rPr>
              <w:t xml:space="preserve">.1026</w:t>
            </w:r>
          </w:p>
        </w:tc>
        <w:tc>
          <w:tcPr>
            <w:tcW w:type="dxa" w:w="451"/>
          </w:tcPr>
          <w:p>
            <w:pPr>
              <w:pStyle w:val="Compact"/>
              <w:spacing w:line="240" w:lineRule="auto" w:before="20" w:after="20"/>
              <w:jc w:val="left"/>
            </w:pPr>
            <w:r>
              <w:rPr>
                <w:rFonts w:ascii="Arial" w:hAnsi="Arial"/>
                <w:sz w:val="20"/>
              </w:rPr>
              <w:t xml:space="preserve">0.460</w:t>
            </w:r>
          </w:p>
        </w:tc>
        <w:tc>
          <w:tcPr>
            <w:tcW w:type="dxa" w:w="1962"/>
          </w:tcPr>
          <w:p>
            <w:pPr>
              <w:pStyle w:val="Compact"/>
              <w:spacing w:line="240" w:lineRule="auto" w:before="20" w:after="20"/>
              <w:jc w:val="left"/>
            </w:pPr>
            <w:r>
              <w:rPr>
                <w:rFonts w:ascii="Arial" w:hAnsi="Arial"/>
                <w:sz w:val="20"/>
              </w:rPr>
              <w:t xml:space="preserve">0.186–0.619</w:t>
            </w:r>
          </w:p>
        </w:tc>
        <w:tc>
          <w:tcPr>
            <w:tcW w:type="dxa" w:w="1357"/>
          </w:tcPr>
          <w:p>
            <w:pPr>
              <w:pStyle w:val="Compact"/>
              <w:spacing w:line="240" w:lineRule="auto" w:before="20" w:after="20"/>
              <w:jc w:val="left"/>
            </w:pPr>
            <w:r>
              <w:rPr>
                <w:rFonts w:ascii="Arial" w:hAnsi="Arial"/>
                <w:sz w:val="20"/>
              </w:rPr>
              <w:t xml:space="preserve">0.502</w:t>
            </w:r>
          </w:p>
        </w:tc>
        <w:tc>
          <w:tcPr>
            <w:tcW w:type="dxa" w:w="2265"/>
          </w:tcPr>
          <w:p>
            <w:pPr>
              <w:pStyle w:val="Compact"/>
              <w:spacing w:line="240" w:lineRule="auto" w:before="20" w:after="20"/>
              <w:jc w:val="left"/>
            </w:pPr>
            <w:r>
              <w:rPr>
                <w:rFonts w:ascii="Arial" w:hAnsi="Arial"/>
                <w:sz w:val="20"/>
              </w:rPr>
              <w:t xml:space="preserve">competitive, no verdict</w:t>
            </w:r>
          </w:p>
        </w:tc>
      </w:tr>
      <w:tr>
        <w:tc>
          <w:tcPr>
            <w:tcW w:type="dxa" w:w="3471"/>
          </w:tcPr>
          <w:p>
            <w:pPr>
              <w:pStyle w:val="Compact"/>
              <w:spacing w:line="240" w:lineRule="auto" w:before="20" w:after="20"/>
              <w:jc w:val="left"/>
            </w:pPr>
            <w:r>
              <w:rPr>
                <w:rFonts w:ascii="Arial" w:hAnsi="Arial"/>
                <w:sz w:val="20"/>
              </w:rPr>
              <w:t xml:space="preserve">complete case (indeterminate dropped)</w:t>
            </w:r>
          </w:p>
        </w:tc>
        <w:tc>
          <w:tcPr>
            <w:tcW w:type="dxa" w:w="527"/>
          </w:tcPr>
          <w:p>
            <w:pPr>
              <w:pStyle w:val="Compact"/>
              <w:spacing w:line="240" w:lineRule="auto" w:before="20" w:after="20"/>
              <w:jc w:val="left"/>
            </w:pPr>
            <w:r>
              <w:rPr>
                <w:rFonts w:ascii="Arial" w:hAnsi="Arial"/>
                <w:sz w:val="20"/>
              </w:rPr>
              <w:t xml:space="preserve">11,183</w:t>
            </w:r>
          </w:p>
        </w:tc>
        <w:tc>
          <w:tcPr>
            <w:tcW w:type="dxa" w:w="1206"/>
          </w:tcPr>
          <w:p>
            <w:pPr>
              <w:pStyle w:val="Compact"/>
              <w:spacing w:line="240" w:lineRule="auto" w:before="20" w:after="20"/>
              <w:jc w:val="left"/>
            </w:pPr>
            <w:r>
              <w:rPr>
                <w:rFonts w:ascii="Arial" w:hAnsi="Arial"/>
                <w:sz w:val="20"/>
              </w:rPr>
              <w:t xml:space="preserve">0.684</w:t>
            </w:r>
          </w:p>
        </w:tc>
        <w:tc>
          <w:tcPr>
            <w:tcW w:type="dxa" w:w="1735"/>
          </w:tcPr>
          <w:p>
            <w:pPr>
              <w:pStyle w:val="Compact"/>
              <w:spacing w:line="240" w:lineRule="auto" w:before="20" w:after="20"/>
              <w:jc w:val="left"/>
            </w:pPr>
            <w:r>
              <w:rPr>
                <w:rFonts w:ascii="Arial" w:hAnsi="Arial"/>
                <w:sz w:val="20"/>
              </w:rPr>
              <w:t xml:space="preserve">0.602–0.777</w:t>
            </w:r>
          </w:p>
        </w:tc>
        <w:tc>
          <w:tcPr>
            <w:tcW w:type="dxa" w:w="980"/>
          </w:tcPr>
          <w:p>
            <w:pPr>
              <w:pStyle w:val="Compact"/>
              <w:spacing w:line="240" w:lineRule="auto" w:before="20" w:after="20"/>
              <w:jc w:val="left"/>
            </w:pPr>
            <w:r>
              <w:rPr>
                <w:rFonts w:ascii="Arial" w:hAnsi="Arial"/>
                <w:sz w:val="20"/>
              </w:rPr>
              <w:t xml:space="preserve">.1040</w:t>
            </w:r>
          </w:p>
        </w:tc>
        <w:tc>
          <w:tcPr>
            <w:tcW w:type="dxa" w:w="451"/>
          </w:tcPr>
          <w:p>
            <w:pPr>
              <w:pStyle w:val="Compact"/>
              <w:spacing w:line="240" w:lineRule="auto" w:before="20" w:after="20"/>
              <w:jc w:val="left"/>
            </w:pPr>
            <w:r>
              <w:rPr>
                <w:rFonts w:ascii="Arial" w:hAnsi="Arial"/>
                <w:sz w:val="20"/>
              </w:rPr>
              <w:t xml:space="preserve">0.463</w:t>
            </w:r>
          </w:p>
        </w:tc>
        <w:tc>
          <w:tcPr>
            <w:tcW w:type="dxa" w:w="1962"/>
          </w:tcPr>
          <w:p>
            <w:pPr>
              <w:pStyle w:val="Compact"/>
              <w:spacing w:line="240" w:lineRule="auto" w:before="20" w:after="20"/>
              <w:jc w:val="left"/>
            </w:pPr>
            <w:r>
              <w:rPr>
                <w:rFonts w:ascii="Arial" w:hAnsi="Arial"/>
                <w:sz w:val="20"/>
              </w:rPr>
              <w:t xml:space="preserve">0.187–0.623</w:t>
            </w:r>
          </w:p>
        </w:tc>
        <w:tc>
          <w:tcPr>
            <w:tcW w:type="dxa" w:w="1357"/>
          </w:tcPr>
          <w:p>
            <w:pPr>
              <w:pStyle w:val="Compact"/>
              <w:spacing w:line="240" w:lineRule="auto" w:before="20" w:after="20"/>
              <w:jc w:val="left"/>
            </w:pPr>
            <w:r>
              <w:rPr>
                <w:rFonts w:ascii="Arial" w:hAnsi="Arial"/>
                <w:sz w:val="20"/>
              </w:rPr>
              <w:t xml:space="preserve">0.502</w:t>
            </w:r>
          </w:p>
        </w:tc>
        <w:tc>
          <w:tcPr>
            <w:tcW w:type="dxa" w:w="2265"/>
          </w:tcPr>
          <w:p>
            <w:pPr>
              <w:pStyle w:val="Compact"/>
              <w:spacing w:line="240" w:lineRule="auto" w:before="20" w:after="20"/>
              <w:jc w:val="left"/>
            </w:pPr>
            <w:r>
              <w:rPr>
                <w:rFonts w:ascii="Arial" w:hAnsi="Arial"/>
                <w:sz w:val="20"/>
              </w:rPr>
              <w:t xml:space="preserve">competitive, no verdict</w:t>
            </w:r>
          </w:p>
        </w:tc>
      </w:tr>
      <w:tr>
        <w:tc>
          <w:tcPr>
            <w:tcW w:type="dxa" w:w="3471"/>
          </w:tcPr>
          <w:p>
            <w:pPr>
              <w:pStyle w:val="Compact"/>
              <w:spacing w:line="240" w:lineRule="auto" w:before="20" w:after="20"/>
              <w:jc w:val="left"/>
            </w:pPr>
            <w:r>
              <w:rPr>
                <w:rFonts w:ascii="Arial" w:hAnsi="Arial"/>
                <w:sz w:val="20"/>
              </w:rPr>
              <w:t xml:space="preserve">indeterminate as optimized (opposite extreme)</w:t>
            </w:r>
          </w:p>
        </w:tc>
        <w:tc>
          <w:tcPr>
            <w:tcW w:type="dxa" w:w="527"/>
          </w:tcPr>
          <w:p>
            <w:pPr>
              <w:pStyle w:val="Compact"/>
              <w:spacing w:line="240" w:lineRule="auto" w:before="20" w:after="20"/>
              <w:jc w:val="left"/>
            </w:pPr>
            <w:r>
              <w:rPr>
                <w:rFonts w:ascii="Arial" w:hAnsi="Arial"/>
                <w:sz w:val="20"/>
              </w:rPr>
              <w:t xml:space="preserve">14,677</w:t>
            </w:r>
          </w:p>
        </w:tc>
        <w:tc>
          <w:tcPr>
            <w:tcW w:type="dxa" w:w="1206"/>
          </w:tcPr>
          <w:p>
            <w:pPr>
              <w:pStyle w:val="Compact"/>
              <w:spacing w:line="240" w:lineRule="auto" w:before="20" w:after="20"/>
              <w:jc w:val="left"/>
            </w:pPr>
            <w:r>
              <w:rPr>
                <w:rFonts w:ascii="Arial" w:hAnsi="Arial"/>
                <w:sz w:val="20"/>
              </w:rPr>
              <w:t xml:space="preserve">0.912</w:t>
            </w:r>
          </w:p>
        </w:tc>
        <w:tc>
          <w:tcPr>
            <w:tcW w:type="dxa" w:w="1735"/>
          </w:tcPr>
          <w:p>
            <w:pPr>
              <w:pStyle w:val="Compact"/>
              <w:spacing w:line="240" w:lineRule="auto" w:before="20" w:after="20"/>
              <w:jc w:val="left"/>
            </w:pPr>
            <w:r>
              <w:rPr>
                <w:rFonts w:ascii="Arial" w:hAnsi="Arial"/>
                <w:sz w:val="20"/>
              </w:rPr>
              <w:t xml:space="preserve">0.849–0.979</w:t>
            </w:r>
          </w:p>
        </w:tc>
        <w:tc>
          <w:tcPr>
            <w:tcW w:type="dxa" w:w="980"/>
          </w:tcPr>
          <w:p>
            <w:pPr>
              <w:pStyle w:val="Compact"/>
              <w:spacing w:line="240" w:lineRule="auto" w:before="20" w:after="20"/>
              <w:jc w:val="left"/>
            </w:pPr>
            <w:r>
              <w:rPr>
                <w:rFonts w:ascii="Arial" w:hAnsi="Arial"/>
                <w:sz w:val="20"/>
              </w:rPr>
              <w:t xml:space="preserve">.5258</w:t>
            </w:r>
          </w:p>
        </w:tc>
        <w:tc>
          <w:tcPr>
            <w:tcW w:type="dxa" w:w="451"/>
          </w:tcPr>
          <w:p>
            <w:pPr>
              <w:pStyle w:val="Compact"/>
              <w:spacing w:line="240" w:lineRule="auto" w:before="20" w:after="20"/>
              <w:jc w:val="left"/>
            </w:pPr>
            <w:r>
              <w:rPr>
                <w:rFonts w:ascii="Arial" w:hAnsi="Arial"/>
                <w:sz w:val="20"/>
              </w:rPr>
              <w:t xml:space="preserve">0.676</w:t>
            </w:r>
          </w:p>
        </w:tc>
        <w:tc>
          <w:tcPr>
            <w:tcW w:type="dxa" w:w="1962"/>
          </w:tcPr>
          <w:p>
            <w:pPr>
              <w:pStyle w:val="Compact"/>
              <w:spacing w:line="240" w:lineRule="auto" w:before="20" w:after="20"/>
              <w:jc w:val="left"/>
            </w:pPr>
            <w:r>
              <w:rPr>
                <w:rFonts w:ascii="Arial" w:hAnsi="Arial"/>
                <w:sz w:val="20"/>
              </w:rPr>
              <w:t xml:space="preserve">0.616–0.933</w:t>
            </w:r>
          </w:p>
        </w:tc>
        <w:tc>
          <w:tcPr>
            <w:tcW w:type="dxa" w:w="1357"/>
          </w:tcPr>
          <w:p>
            <w:pPr>
              <w:pStyle w:val="Compact"/>
              <w:spacing w:line="240" w:lineRule="auto" w:before="20" w:after="20"/>
              <w:jc w:val="left"/>
            </w:pPr>
            <w:r>
              <w:rPr>
                <w:rFonts w:ascii="Arial" w:hAnsi="Arial"/>
                <w:sz w:val="20"/>
              </w:rPr>
              <w:t xml:space="preserve">0.976</w:t>
            </w:r>
          </w:p>
        </w:tc>
        <w:tc>
          <w:tcPr>
            <w:tcW w:type="dxa" w:w="2265"/>
          </w:tcPr>
          <w:p>
            <w:pPr>
              <w:pStyle w:val="Compact"/>
              <w:spacing w:line="240" w:lineRule="auto" w:before="20" w:after="20"/>
              <w:jc w:val="left"/>
            </w:pPr>
            <w:r>
              <w:rPr>
                <w:rFonts w:ascii="Arial" w:hAnsi="Arial"/>
                <w:sz w:val="20"/>
              </w:rPr>
              <w:t xml:space="preserve">not usable as effect evidence</w:t>
            </w:r>
          </w:p>
        </w:tc>
      </w:tr>
      <w:tr>
        <w:tc>
          <w:tcPr>
            <w:tcW w:type="dxa" w:w="3471"/>
          </w:tcPr>
          <w:p>
            <w:pPr>
              <w:pStyle w:val="Compact"/>
              <w:spacing w:line="240" w:lineRule="auto" w:before="20" w:after="20"/>
              <w:jc w:val="left"/>
            </w:pPr>
            <w:r>
              <w:rPr>
                <w:rFonts w:ascii="Arial" w:hAnsi="Arial"/>
                <w:sz w:val="20"/>
              </w:rPr>
              <w:t xml:space="preserve">multiple imputation (m = 10, Rubin)</w:t>
            </w:r>
          </w:p>
        </w:tc>
        <w:tc>
          <w:tcPr>
            <w:tcW w:type="dxa" w:w="527"/>
          </w:tcPr>
          <w:p>
            <w:pPr>
              <w:pStyle w:val="Compact"/>
              <w:spacing w:line="240" w:lineRule="auto" w:before="20" w:after="20"/>
              <w:jc w:val="left"/>
            </w:pPr>
            <w:r>
              <w:rPr>
                <w:rFonts w:ascii="Arial" w:hAnsi="Arial"/>
                <w:sz w:val="20"/>
              </w:rPr>
              <w:t xml:space="preserve">14,677</w:t>
            </w:r>
          </w:p>
        </w:tc>
        <w:tc>
          <w:tcPr>
            <w:tcW w:type="dxa" w:w="1206"/>
          </w:tcPr>
          <w:p>
            <w:pPr>
              <w:pStyle w:val="Compact"/>
              <w:spacing w:line="240" w:lineRule="auto" w:before="20" w:after="20"/>
              <w:jc w:val="left"/>
            </w:pPr>
            <w:r>
              <w:rPr>
                <w:rFonts w:ascii="Arial" w:hAnsi="Arial"/>
                <w:sz w:val="20"/>
              </w:rPr>
              <w:t xml:space="preserve">0.745</w:t>
            </w:r>
          </w:p>
        </w:tc>
        <w:tc>
          <w:tcPr>
            <w:tcW w:type="dxa" w:w="1735"/>
          </w:tcPr>
          <w:p>
            <w:pPr>
              <w:pStyle w:val="Compact"/>
              <w:spacing w:line="240" w:lineRule="auto" w:before="20" w:after="20"/>
              <w:jc w:val="left"/>
            </w:pPr>
            <w:r>
              <w:rPr>
                <w:rFonts w:ascii="Arial" w:hAnsi="Arial"/>
                <w:sz w:val="20"/>
              </w:rPr>
              <w:t xml:space="preserve">0.653–0.851</w:t>
            </w:r>
          </w:p>
        </w:tc>
        <w:tc>
          <w:tcPr>
            <w:tcW w:type="dxa" w:w="980"/>
          </w:tcPr>
          <w:p>
            <w:pPr>
              <w:pStyle w:val="Compact"/>
              <w:spacing w:line="240" w:lineRule="auto" w:before="20" w:after="20"/>
              <w:jc w:val="left"/>
            </w:pPr>
            <w:r>
              <w:rPr>
                <w:rFonts w:ascii="Arial" w:hAnsi="Arial"/>
                <w:sz w:val="20"/>
              </w:rPr>
              <w:t xml:space="preserve">.3377</w:t>
            </w:r>
          </w:p>
        </w:tc>
        <w:tc>
          <w:tcPr>
            <w:tcW w:type="dxa" w:w="451"/>
          </w:tcPr>
          <w:p>
            <w:pPr>
              <w:pStyle w:val="Compact"/>
              <w:spacing w:line="240" w:lineRule="auto" w:before="20" w:after="20"/>
              <w:jc w:val="left"/>
            </w:pPr>
            <w:r>
              <w:rPr>
                <w:rFonts w:ascii="Arial" w:hAnsi="Arial"/>
                <w:sz w:val="20"/>
              </w:rPr>
              <w:t xml:space="preserve">0.598</w:t>
            </w:r>
          </w:p>
        </w:tc>
        <w:tc>
          <w:tcPr>
            <w:tcW w:type="dxa" w:w="1962"/>
          </w:tcPr>
          <w:p>
            <w:pPr>
              <w:pStyle w:val="Compact"/>
              <w:spacing w:line="240" w:lineRule="auto" w:before="20" w:after="20"/>
              <w:jc w:val="left"/>
            </w:pPr>
            <w:r>
              <w:rPr>
                <w:rFonts w:ascii="Arial" w:hAnsi="Arial"/>
                <w:sz w:val="20"/>
              </w:rPr>
              <w:t xml:space="preserve">0.242–0.805</w:t>
            </w:r>
          </w:p>
        </w:tc>
        <w:tc>
          <w:tcPr>
            <w:tcW w:type="dxa" w:w="1357"/>
          </w:tcPr>
          <w:p>
            <w:pPr>
              <w:pStyle w:val="Compact"/>
              <w:spacing w:line="240" w:lineRule="auto" w:before="20" w:after="20"/>
              <w:jc w:val="left"/>
            </w:pPr>
            <w:r>
              <w:rPr>
                <w:rFonts w:ascii="Arial" w:hAnsi="Arial"/>
                <w:sz w:val="20"/>
              </w:rPr>
              <w:t xml:space="preserve">0.928</w:t>
            </w:r>
          </w:p>
        </w:tc>
        <w:tc>
          <w:tcPr>
            <w:tcW w:type="dxa" w:w="2265"/>
          </w:tcPr>
          <w:p>
            <w:pPr>
              <w:pStyle w:val="Compact"/>
              <w:spacing w:line="240" w:lineRule="auto" w:before="20" w:after="20"/>
              <w:jc w:val="left"/>
            </w:pPr>
            <w:r>
              <w:rPr>
                <w:rFonts w:ascii="Arial" w:hAnsi="Arial"/>
                <w:sz w:val="20"/>
              </w:rPr>
              <w:t xml:space="preserve">not usable as effect evidence</w:t>
            </w:r>
          </w:p>
        </w:tc>
      </w:tr>
    </w:tbl>
    <w:bookmarkEnd w:id="29"/>
    <w:bookmarkStart w:id="30" w:name="X34d49bef85a09f2774a0486fc9e328667f7e400"/>
    <w:p>
      <w:pPr>
        <w:pStyle w:val="Heading2"/>
      </w:pPr>
      <w:r>
        <w:rPr>
          <w:rFonts w:ascii="Arial" w:hAnsi="Arial" w:eastAsia="Arial" w:cs="Arial"/>
          <w:b/>
          <w:sz w:val="24"/>
        </w:rPr>
        <w:t xml:space="preserve">eTable 11. Screening flow for the negative control panel</w:t>
      </w:r>
    </w:p>
    <w:p>
      <w:pPr>
        <w:pStyle w:val="TableCaption"/>
      </w:pPr>
      <w:r>
        <w:t xml:space="preserve">eTable 11. Screening flow from the candidate list to the reported negative control panel. Both quantitative thresholds (50 hospitalizations, then 50 events inside the analysis window) were fixed before screening and applied mechanically, and no candidate was removed on the basis of the strength or direction of its estimated association with the exposure.</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Caption w:val="eTable 11. Screening flow from the candidate list to the reported negative control panel. Both quantitative thresholds (50 hospitalizations, then 50 events inside the analysis window) were fixed before screening and applied mechanically, and no candidate was removed on the basis of the strength or direction of its estimated association with the exposure."/>
      </w:tblPr>
      <w:tblGrid>
        <w:gridCol w:w="1835"/>
        <w:gridCol w:w="5177"/>
        <w:gridCol w:w="589"/>
        <w:gridCol w:w="523"/>
        <w:gridCol w:w="654"/>
        <w:gridCol w:w="5176"/>
      </w:tblGrid>
      <w:tr>
        <w:trPr>
          <w:tblHeader w:val="on"/>
        </w:trPr>
        <w:tc>
          <w:tcPr>
            <w:tcW w:type="dxa" w:w="1835"/>
          </w:tcPr>
          <w:p>
            <w:pPr>
              <w:pStyle w:val="Compact"/>
              <w:spacing w:line="240" w:lineRule="auto" w:before="20" w:after="20"/>
              <w:jc w:val="left"/>
            </w:pPr>
            <w:r>
              <w:rPr>
                <w:rFonts w:ascii="Arial" w:hAnsi="Arial"/>
                <w:sz w:val="20"/>
              </w:rPr>
              <w:t xml:space="preserve">Level</w:t>
            </w:r>
          </w:p>
        </w:tc>
        <w:tc>
          <w:tcPr>
            <w:tcW w:type="dxa" w:w="5177"/>
          </w:tcPr>
          <w:p>
            <w:pPr>
              <w:pStyle w:val="Compact"/>
              <w:spacing w:line="240" w:lineRule="auto" w:before="20" w:after="20"/>
              <w:jc w:val="left"/>
            </w:pPr>
            <w:r>
              <w:rPr>
                <w:rFonts w:ascii="Arial" w:hAnsi="Arial"/>
                <w:sz w:val="20"/>
              </w:rPr>
              <w:t xml:space="preserve">Criterion</w:t>
            </w:r>
          </w:p>
        </w:tc>
        <w:tc>
          <w:tcPr>
            <w:tcW w:type="dxa" w:w="589"/>
          </w:tcPr>
          <w:p>
            <w:pPr>
              <w:pStyle w:val="Compact"/>
              <w:spacing w:line="240" w:lineRule="auto" w:before="20" w:after="20"/>
              <w:jc w:val="right"/>
            </w:pPr>
            <w:r>
              <w:rPr>
                <w:rFonts w:ascii="Arial" w:hAnsi="Arial"/>
                <w:sz w:val="20"/>
              </w:rPr>
              <w:t xml:space="preserve">Entering</w:t>
            </w:r>
          </w:p>
        </w:tc>
        <w:tc>
          <w:tcPr>
            <w:tcW w:type="dxa" w:w="523"/>
          </w:tcPr>
          <w:p>
            <w:pPr>
              <w:pStyle w:val="Compact"/>
              <w:spacing w:line="240" w:lineRule="auto" w:before="20" w:after="20"/>
              <w:jc w:val="right"/>
            </w:pPr>
            <w:r>
              <w:rPr>
                <w:rFonts w:ascii="Arial" w:hAnsi="Arial"/>
                <w:sz w:val="20"/>
              </w:rPr>
              <w:t xml:space="preserve">Removed</w:t>
            </w:r>
          </w:p>
        </w:tc>
        <w:tc>
          <w:tcPr>
            <w:tcW w:type="dxa" w:w="654"/>
          </w:tcPr>
          <w:p>
            <w:pPr>
              <w:pStyle w:val="Compact"/>
              <w:spacing w:line="240" w:lineRule="auto" w:before="20" w:after="20"/>
              <w:jc w:val="right"/>
            </w:pPr>
            <w:r>
              <w:rPr>
                <w:rFonts w:ascii="Arial" w:hAnsi="Arial"/>
                <w:sz w:val="20"/>
              </w:rPr>
              <w:t xml:space="preserve">Remaining</w:t>
            </w:r>
          </w:p>
        </w:tc>
        <w:tc>
          <w:tcPr>
            <w:tcW w:type="dxa" w:w="5176"/>
          </w:tcPr>
          <w:p>
            <w:pPr>
              <w:pStyle w:val="Compact"/>
              <w:spacing w:line="240" w:lineRule="auto" w:before="20" w:after="20"/>
              <w:jc w:val="left"/>
            </w:pPr>
            <w:r>
              <w:rPr>
                <w:rFonts w:ascii="Arial" w:hAnsi="Arial"/>
                <w:sz w:val="20"/>
              </w:rPr>
              <w:t xml:space="preserve">Outcomes removed</w:t>
            </w:r>
          </w:p>
        </w:tc>
      </w:tr>
      <w:tr>
        <w:tc>
          <w:tcPr>
            <w:tcW w:type="dxa" w:w="1835"/>
          </w:tcPr>
          <w:p>
            <w:pPr>
              <w:pStyle w:val="Compact"/>
              <w:spacing w:line="240" w:lineRule="auto" w:before="20" w:after="20"/>
              <w:jc w:val="left"/>
            </w:pPr>
            <w:r>
              <w:rPr>
                <w:rFonts w:ascii="Arial" w:hAnsi="Arial"/>
                <w:sz w:val="20"/>
              </w:rPr>
              <w:t xml:space="preserve">Candidate list</w:t>
            </w:r>
          </w:p>
        </w:tc>
        <w:tc>
          <w:tcPr>
            <w:tcW w:type="dxa" w:w="5177"/>
          </w:tcPr>
          <w:p>
            <w:pPr>
              <w:pStyle w:val="Compact"/>
              <w:spacing w:line="240" w:lineRule="auto" w:before="20" w:after="20"/>
              <w:jc w:val="left"/>
            </w:pPr>
            <w:r>
              <w:rPr>
                <w:rFonts w:ascii="Arial" w:hAnsi="Arial"/>
                <w:sz w:val="20"/>
              </w:rPr>
              <w:t xml:space="preserve">Outcomes with no plausible causal pathway from either treatment strategy</w:t>
            </w:r>
          </w:p>
        </w:tc>
        <w:tc>
          <w:tcPr>
            <w:tcW w:type="dxa" w:w="589"/>
          </w:tcPr>
          <w:p>
            <w:pPr>
              <w:pStyle w:val="Compact"/>
              <w:spacing w:line="240" w:lineRule="auto" w:before="20" w:after="20"/>
              <w:jc w:val="right"/>
            </w:pPr>
            <w:r>
              <w:rPr>
                <w:rFonts w:ascii="Arial" w:hAnsi="Arial"/>
                <w:sz w:val="20"/>
              </w:rPr>
              <w:t xml:space="preserve">20</w:t>
            </w:r>
          </w:p>
        </w:tc>
        <w:tc>
          <w:tcPr>
            <w:tcW w:type="dxa" w:w="523"/>
          </w:tcPr>
          <w:p>
            <w:pPr>
              <w:pStyle w:val="Compact"/>
              <w:spacing w:line="240" w:lineRule="auto" w:before="20" w:after="20"/>
              <w:jc w:val="right"/>
            </w:pPr>
            <w:r>
              <w:rPr>
                <w:rFonts w:ascii="Arial" w:hAnsi="Arial"/>
                <w:sz w:val="20"/>
              </w:rPr>
              <w:t xml:space="preserve">4</w:t>
            </w:r>
          </w:p>
        </w:tc>
        <w:tc>
          <w:tcPr>
            <w:tcW w:type="dxa" w:w="654"/>
          </w:tcPr>
          <w:p>
            <w:pPr>
              <w:pStyle w:val="Compact"/>
              <w:spacing w:line="240" w:lineRule="auto" w:before="20" w:after="20"/>
              <w:jc w:val="right"/>
            </w:pPr>
            <w:r>
              <w:rPr>
                <w:rFonts w:ascii="Arial" w:hAnsi="Arial"/>
                <w:sz w:val="20"/>
              </w:rPr>
              <w:t xml:space="preserve">16</w:t>
            </w:r>
          </w:p>
        </w:tc>
        <w:tc>
          <w:tcPr>
            <w:tcW w:type="dxa" w:w="5176"/>
          </w:tcPr>
          <w:p>
            <w:pPr>
              <w:pStyle w:val="Compact"/>
              <w:spacing w:line="240" w:lineRule="auto" w:before="20" w:after="20"/>
              <w:jc w:val="left"/>
            </w:pPr>
            <w:r>
              <w:rPr>
                <w:rFonts w:ascii="Arial" w:hAnsi="Arial"/>
                <w:sz w:val="20"/>
              </w:rPr>
              <w:t xml:space="preserve">Fracture, burn, poisoning, inguinal hernia (no records in the diagnoses table)</w:t>
            </w:r>
          </w:p>
        </w:tc>
      </w:tr>
      <w:tr>
        <w:tc>
          <w:tcPr>
            <w:tcW w:type="dxa" w:w="1835"/>
          </w:tcPr>
          <w:p>
            <w:pPr>
              <w:pStyle w:val="Compact"/>
              <w:spacing w:line="240" w:lineRule="auto" w:before="20" w:after="20"/>
              <w:jc w:val="left"/>
            </w:pPr>
            <w:r>
              <w:rPr>
                <w:rFonts w:ascii="Arial" w:hAnsi="Arial"/>
                <w:sz w:val="20"/>
              </w:rPr>
              <w:t xml:space="preserve">Code feasibility</w:t>
            </w:r>
          </w:p>
        </w:tc>
        <w:tc>
          <w:tcPr>
            <w:tcW w:type="dxa" w:w="5177"/>
          </w:tcPr>
          <w:p>
            <w:pPr>
              <w:pStyle w:val="Compact"/>
              <w:spacing w:line="240" w:lineRule="auto" w:before="20" w:after="20"/>
              <w:jc w:val="left"/>
            </w:pPr>
            <w:r>
              <w:rPr>
                <w:rFonts w:ascii="Arial" w:hAnsi="Arial"/>
                <w:sz w:val="20"/>
              </w:rPr>
              <w:t xml:space="preserve">Code family represented in the MIMIC-IV diagnoses table</w:t>
            </w:r>
          </w:p>
        </w:tc>
        <w:tc>
          <w:tcPr>
            <w:tcW w:type="dxa" w:w="589"/>
          </w:tcPr>
          <w:p>
            <w:pPr>
              <w:pStyle w:val="Compact"/>
              <w:spacing w:line="240" w:lineRule="auto" w:before="20" w:after="20"/>
              <w:jc w:val="right"/>
            </w:pPr>
            <w:r>
              <w:rPr>
                <w:rFonts w:ascii="Arial" w:hAnsi="Arial"/>
                <w:sz w:val="20"/>
              </w:rPr>
              <w:t xml:space="preserve">16</w:t>
            </w:r>
          </w:p>
        </w:tc>
        <w:tc>
          <w:tcPr>
            <w:tcW w:type="dxa" w:w="523"/>
          </w:tcPr>
          <w:p>
            <w:pPr>
              <w:pStyle w:val="Compact"/>
              <w:spacing w:line="240" w:lineRule="auto" w:before="20" w:after="20"/>
              <w:jc w:val="right"/>
            </w:pPr>
            <w:r>
              <w:rPr>
                <w:rFonts w:ascii="Arial" w:hAnsi="Arial"/>
                <w:sz w:val="20"/>
              </w:rPr>
              <w:t xml:space="preserve">0</w:t>
            </w:r>
          </w:p>
        </w:tc>
        <w:tc>
          <w:tcPr>
            <w:tcW w:type="dxa" w:w="654"/>
          </w:tcPr>
          <w:p>
            <w:pPr>
              <w:pStyle w:val="Compact"/>
              <w:spacing w:line="240" w:lineRule="auto" w:before="20" w:after="20"/>
              <w:jc w:val="right"/>
            </w:pPr>
            <w:r>
              <w:rPr>
                <w:rFonts w:ascii="Arial" w:hAnsi="Arial"/>
                <w:sz w:val="20"/>
              </w:rPr>
              <w:t xml:space="preserve">14</w:t>
            </w:r>
          </w:p>
        </w:tc>
        <w:tc>
          <w:tcPr>
            <w:tcW w:type="dxa" w:w="5176"/>
          </w:tcPr>
          <w:p>
            <w:pPr>
              <w:pStyle w:val="Compact"/>
              <w:spacing w:line="240" w:lineRule="auto" w:before="20" w:after="20"/>
              <w:jc w:val="left"/>
            </w:pPr>
            <w:r>
              <w:rPr>
                <w:rFonts w:ascii="Arial" w:hAnsi="Arial"/>
                <w:sz w:val="20"/>
              </w:rPr>
              <w:t xml:space="preserve">None</w:t>
            </w:r>
          </w:p>
        </w:tc>
      </w:tr>
      <w:tr>
        <w:tc>
          <w:tcPr>
            <w:tcW w:type="dxa" w:w="1835"/>
          </w:tcPr>
          <w:p>
            <w:pPr>
              <w:pStyle w:val="Compact"/>
              <w:spacing w:line="240" w:lineRule="auto" w:before="20" w:after="20"/>
              <w:jc w:val="left"/>
            </w:pPr>
            <w:r>
              <w:rPr>
                <w:rFonts w:ascii="Arial" w:hAnsi="Arial"/>
                <w:sz w:val="20"/>
              </w:rPr>
              <w:t xml:space="preserve">Cohort event count</w:t>
            </w:r>
          </w:p>
        </w:tc>
        <w:tc>
          <w:tcPr>
            <w:tcW w:type="dxa" w:w="5177"/>
          </w:tcPr>
          <w:p>
            <w:pPr>
              <w:pStyle w:val="Compact"/>
              <w:spacing w:line="240" w:lineRule="auto" w:before="20" w:after="20"/>
              <w:jc w:val="left"/>
            </w:pPr>
            <w:r>
              <w:rPr>
                <w:rFonts w:ascii="Arial" w:hAnsi="Arial"/>
                <w:sz w:val="20"/>
              </w:rPr>
              <w:t xml:space="preserve">At least 50 hospitalizations coded for the outcome in the heart-failure cohort</w:t>
            </w:r>
          </w:p>
        </w:tc>
        <w:tc>
          <w:tcPr>
            <w:tcW w:type="dxa" w:w="589"/>
          </w:tcPr>
          <w:p>
            <w:pPr>
              <w:pStyle w:val="Compact"/>
              <w:spacing w:line="240" w:lineRule="auto" w:before="20" w:after="20"/>
              <w:jc w:val="right"/>
            </w:pPr>
            <w:r>
              <w:rPr>
                <w:rFonts w:ascii="Arial" w:hAnsi="Arial"/>
                <w:sz w:val="20"/>
              </w:rPr>
              <w:t xml:space="preserve">14</w:t>
            </w:r>
          </w:p>
        </w:tc>
        <w:tc>
          <w:tcPr>
            <w:tcW w:type="dxa" w:w="523"/>
          </w:tcPr>
          <w:p>
            <w:pPr>
              <w:pStyle w:val="Compact"/>
              <w:spacing w:line="240" w:lineRule="auto" w:before="20" w:after="20"/>
              <w:jc w:val="right"/>
            </w:pPr>
            <w:r>
              <w:rPr>
                <w:rFonts w:ascii="Arial" w:hAnsi="Arial"/>
                <w:sz w:val="20"/>
              </w:rPr>
              <w:t xml:space="preserve">2</w:t>
            </w:r>
          </w:p>
        </w:tc>
        <w:tc>
          <w:tcPr>
            <w:tcW w:type="dxa" w:w="654"/>
          </w:tcPr>
          <w:p>
            <w:pPr>
              <w:pStyle w:val="Compact"/>
              <w:spacing w:line="240" w:lineRule="auto" w:before="20" w:after="20"/>
              <w:jc w:val="right"/>
            </w:pPr>
            <w:r>
              <w:rPr>
                <w:rFonts w:ascii="Arial" w:hAnsi="Arial"/>
                <w:sz w:val="20"/>
              </w:rPr>
              <w:t xml:space="preserve">12</w:t>
            </w:r>
          </w:p>
        </w:tc>
        <w:tc>
          <w:tcPr>
            <w:tcW w:type="dxa" w:w="5176"/>
          </w:tcPr>
          <w:p>
            <w:pPr>
              <w:pStyle w:val="Compact"/>
              <w:spacing w:line="240" w:lineRule="auto" w:before="20" w:after="20"/>
              <w:jc w:val="left"/>
            </w:pPr>
            <w:r>
              <w:rPr>
                <w:rFonts w:ascii="Arial" w:hAnsi="Arial"/>
                <w:sz w:val="20"/>
              </w:rPr>
              <w:t xml:space="preserve">Conjunctivitis; Non-Melanoma Skin Cancer (44 and 38 qualifying patients)</w:t>
            </w:r>
          </w:p>
        </w:tc>
      </w:tr>
      <w:tr>
        <w:tc>
          <w:tcPr>
            <w:tcW w:type="dxa" w:w="1835"/>
          </w:tcPr>
          <w:p>
            <w:pPr>
              <w:pStyle w:val="Compact"/>
              <w:spacing w:line="240" w:lineRule="auto" w:before="20" w:after="20"/>
              <w:jc w:val="left"/>
            </w:pPr>
            <w:r>
              <w:rPr>
                <w:rFonts w:ascii="Arial" w:hAnsi="Arial"/>
                <w:sz w:val="20"/>
              </w:rPr>
              <w:t xml:space="preserve">Analysis-window event count</w:t>
            </w:r>
          </w:p>
        </w:tc>
        <w:tc>
          <w:tcPr>
            <w:tcW w:type="dxa" w:w="5177"/>
          </w:tcPr>
          <w:p>
            <w:pPr>
              <w:pStyle w:val="Compact"/>
              <w:spacing w:line="240" w:lineRule="auto" w:before="20" w:after="20"/>
              <w:jc w:val="left"/>
            </w:pPr>
            <w:r>
              <w:rPr>
                <w:rFonts w:ascii="Arial" w:hAnsi="Arial"/>
                <w:sz w:val="20"/>
              </w:rPr>
              <w:t xml:space="preserve">At least 50 events among patients who survived the 7-day grace period</w:t>
            </w:r>
          </w:p>
        </w:tc>
        <w:tc>
          <w:tcPr>
            <w:tcW w:type="dxa" w:w="589"/>
          </w:tcPr>
          <w:p>
            <w:pPr>
              <w:pStyle w:val="Compact"/>
              <w:spacing w:line="240" w:lineRule="auto" w:before="20" w:after="20"/>
              <w:jc w:val="right"/>
            </w:pPr>
            <w:r>
              <w:rPr>
                <w:rFonts w:ascii="Arial" w:hAnsi="Arial"/>
                <w:sz w:val="20"/>
              </w:rPr>
              <w:t xml:space="preserve">14</w:t>
            </w:r>
          </w:p>
        </w:tc>
        <w:tc>
          <w:tcPr>
            <w:tcW w:type="dxa" w:w="523"/>
          </w:tcPr>
          <w:p>
            <w:pPr>
              <w:pStyle w:val="Compact"/>
              <w:spacing w:line="240" w:lineRule="auto" w:before="20" w:after="20"/>
              <w:jc w:val="right"/>
            </w:pPr>
            <w:r>
              <w:rPr>
                <w:rFonts w:ascii="Arial" w:hAnsi="Arial"/>
                <w:sz w:val="20"/>
              </w:rPr>
              <w:t xml:space="preserve">2</w:t>
            </w:r>
          </w:p>
        </w:tc>
        <w:tc>
          <w:tcPr>
            <w:tcW w:type="dxa" w:w="654"/>
          </w:tcPr>
          <w:p>
            <w:pPr>
              <w:pStyle w:val="Compact"/>
              <w:spacing w:line="240" w:lineRule="auto" w:before="20" w:after="20"/>
              <w:jc w:val="right"/>
            </w:pPr>
            <w:r>
              <w:rPr>
                <w:rFonts w:ascii="Arial" w:hAnsi="Arial"/>
                <w:sz w:val="20"/>
              </w:rPr>
              <w:t xml:space="preserve">12</w:t>
            </w:r>
          </w:p>
        </w:tc>
        <w:tc>
          <w:tcPr>
            <w:tcW w:type="dxa" w:w="5176"/>
          </w:tcPr>
          <w:p>
            <w:pPr>
              <w:pStyle w:val="Compact"/>
              <w:spacing w:line="240" w:lineRule="auto" w:before="20" w:after="20"/>
              <w:jc w:val="left"/>
            </w:pPr>
            <w:r>
              <w:rPr>
                <w:rFonts w:ascii="Arial" w:hAnsi="Arial"/>
                <w:sz w:val="20"/>
              </w:rPr>
              <w:t xml:space="preserve">Dental Caries; Varicose Veins (45 and 36 events in the window)</w:t>
            </w:r>
          </w:p>
        </w:tc>
      </w:tr>
    </w:tbl>
    <w:bookmarkEnd w:id="30"/>
    <w:bookmarkStart w:id="31" w:name="Xb2ffbe78a3b8484b563bf1257c85345479585eb"/>
    <w:p>
      <w:pPr>
        <w:pStyle w:val="Heading2"/>
      </w:pPr>
      <w:r>
        <w:rPr>
          <w:rFonts w:ascii="Arial" w:hAnsi="Arial" w:eastAsia="Arial" w:cs="Arial"/>
          <w:b/>
          <w:sz w:val="24"/>
        </w:rPr>
        <w:t xml:space="preserve">eTable 12. Ejection-fraction proxy sensitivity analysis</w:t>
      </w:r>
    </w:p>
    <w:p>
      <w:pPr>
        <w:pStyle w:val="TableCaption"/>
      </w:pPr>
      <w:r>
        <w:t xml:space="preserve">eTable 12. Question 1 re-estimated within ejection-fraction proxy subgroups under otherwise identical settings (same cohort definition, same 10 baseline covariates, same 7-day grace period, same estimators, same guideline-matched empirical null). Probable reduced ejection fraction is a systolic heart-failure code (ICD-10-CM I50.2x) or QRS of at least 120 ms with left bundle-branch block; probable preserved ejection fraction is a diastolic code (I50.3x) without a systolic code and without that pattern. The two strata are mutually exclusive; 60.8% of hospitalizations met neither definition and are excluded from both.</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Caption w:val="eTable 12. Question 1 re-estimated within ejection-fraction proxy subgroups under otherwise identical settings (same cohort definition, same 10 baseline covariates, same 7-day grace period, same estimators, same guideline-matched empirical null). Probable reduced ejection fraction is a systolic heart-failure code (ICD-10-CM I50.2x) or QRS of at least 120 ms with left bundle-branch block; probable preserved ejection fraction is a diastolic code (I50.3x) without a systolic code and without that pattern. The two strata are mutually exclusive; 60.8% of hospitalizations met neither definition and are excluded from both."/>
      </w:tblPr>
      <w:tblGrid>
        <w:gridCol w:w="2445"/>
        <w:gridCol w:w="712"/>
        <w:gridCol w:w="1222"/>
        <w:gridCol w:w="1629"/>
        <w:gridCol w:w="1426"/>
        <w:gridCol w:w="1324"/>
        <w:gridCol w:w="712"/>
        <w:gridCol w:w="2650"/>
        <w:gridCol w:w="1834"/>
      </w:tblGrid>
      <w:tr>
        <w:trPr>
          <w:tblHeader w:val="on"/>
        </w:trPr>
        <w:tc>
          <w:tcPr>
            <w:tcW w:type="dxa" w:w="2445"/>
          </w:tcPr>
          <w:p>
            <w:pPr>
              <w:pStyle w:val="Compact"/>
              <w:spacing w:line="240" w:lineRule="auto" w:before="20" w:after="20"/>
              <w:jc w:val="left"/>
            </w:pPr>
            <w:r>
              <w:rPr>
                <w:rFonts w:ascii="Arial" w:hAnsi="Arial"/>
                <w:sz w:val="20"/>
              </w:rPr>
              <w:t xml:space="preserve">Subgroup</w:t>
            </w:r>
          </w:p>
        </w:tc>
        <w:tc>
          <w:tcPr>
            <w:tcW w:type="dxa" w:w="712"/>
          </w:tcPr>
          <w:p>
            <w:pPr>
              <w:pStyle w:val="Compact"/>
              <w:spacing w:line="240" w:lineRule="auto" w:before="20" w:after="20"/>
              <w:jc w:val="left"/>
            </w:pPr>
            <w:r>
              <w:rPr>
                <w:rFonts w:ascii="Arial" w:hAnsi="Arial"/>
                <w:sz w:val="20"/>
              </w:rPr>
              <w:t xml:space="preserve">N</w:t>
            </w:r>
          </w:p>
        </w:tc>
        <w:tc>
          <w:tcPr>
            <w:tcW w:type="dxa" w:w="1222"/>
          </w:tcPr>
          <w:p>
            <w:pPr>
              <w:pStyle w:val="Compact"/>
              <w:spacing w:line="240" w:lineRule="auto" w:before="20" w:after="20"/>
              <w:jc w:val="left"/>
            </w:pPr>
            <w:r>
              <w:rPr>
                <w:rFonts w:ascii="Arial" w:hAnsi="Arial"/>
                <w:sz w:val="20"/>
              </w:rPr>
              <w:t xml:space="preserve">Deaths, No.</w:t>
            </w:r>
          </w:p>
        </w:tc>
        <w:tc>
          <w:tcPr>
            <w:tcW w:type="dxa" w:w="1629"/>
          </w:tcPr>
          <w:p>
            <w:pPr>
              <w:pStyle w:val="Compact"/>
              <w:spacing w:line="240" w:lineRule="auto" w:before="20" w:after="20"/>
              <w:jc w:val="left"/>
            </w:pPr>
            <w:r>
              <w:rPr>
                <w:rFonts w:ascii="Arial" w:hAnsi="Arial"/>
                <w:sz w:val="20"/>
              </w:rPr>
              <w:t xml:space="preserve">Uncalibrated RR</w:t>
            </w:r>
          </w:p>
        </w:tc>
        <w:tc>
          <w:tcPr>
            <w:tcW w:type="dxa" w:w="1426"/>
          </w:tcPr>
          <w:p>
            <w:pPr>
              <w:pStyle w:val="Compact"/>
              <w:spacing w:line="240" w:lineRule="auto" w:before="20" w:after="20"/>
              <w:jc w:val="left"/>
            </w:pPr>
            <w:r>
              <w:rPr>
                <w:rFonts w:ascii="Arial" w:hAnsi="Arial"/>
                <w:sz w:val="20"/>
              </w:rPr>
              <w:t xml:space="preserve">Calibrated RR</w:t>
            </w:r>
          </w:p>
        </w:tc>
        <w:tc>
          <w:tcPr>
            <w:tcW w:type="dxa" w:w="1324"/>
          </w:tcPr>
          <w:p>
            <w:pPr>
              <w:pStyle w:val="Compact"/>
              <w:spacing w:line="240" w:lineRule="auto" w:before="20" w:after="20"/>
              <w:jc w:val="left"/>
            </w:pPr>
            <w:r>
              <w:rPr>
                <w:rFonts w:ascii="Arial" w:hAnsi="Arial"/>
                <w:sz w:val="20"/>
              </w:rPr>
              <w:t xml:space="preserve">Calibrated P</w:t>
            </w:r>
          </w:p>
        </w:tc>
        <w:tc>
          <w:tcPr>
            <w:tcW w:type="dxa" w:w="712"/>
          </w:tcPr>
          <w:p>
            <w:pPr>
              <w:pStyle w:val="Compact"/>
              <w:spacing w:line="240" w:lineRule="auto" w:before="20" w:after="20"/>
              <w:jc w:val="left"/>
            </w:pPr>
            <w:r>
              <w:rPr>
                <w:rFonts w:ascii="Arial" w:hAnsi="Arial"/>
                <w:sz w:val="20"/>
              </w:rPr>
              <w:t xml:space="preserve">BAFhat</w:t>
            </w:r>
          </w:p>
        </w:tc>
        <w:tc>
          <w:tcPr>
            <w:tcW w:type="dxa" w:w="2650"/>
          </w:tcPr>
          <w:p>
            <w:pPr>
              <w:pStyle w:val="Compact"/>
              <w:spacing w:line="240" w:lineRule="auto" w:before="20" w:after="20"/>
              <w:jc w:val="left"/>
            </w:pPr>
            <w:r>
              <w:rPr>
                <w:rFonts w:ascii="Arial" w:hAnsi="Arial"/>
                <w:sz w:val="20"/>
              </w:rPr>
              <w:t xml:space="preserve">BAF 95% credible interval</w:t>
            </w:r>
          </w:p>
        </w:tc>
        <w:tc>
          <w:tcPr>
            <w:tcW w:type="dxa" w:w="1834"/>
          </w:tcPr>
          <w:p>
            <w:pPr>
              <w:pStyle w:val="Compact"/>
              <w:spacing w:line="240" w:lineRule="auto" w:before="20" w:after="20"/>
              <w:jc w:val="left"/>
            </w:pPr>
            <w:r>
              <w:rPr>
                <w:rFonts w:ascii="Arial" w:hAnsi="Arial"/>
                <w:sz w:val="20"/>
              </w:rPr>
              <w:t xml:space="preserve">P(bias-dominated)</w:t>
            </w:r>
          </w:p>
        </w:tc>
      </w:tr>
      <w:tr>
        <w:tc>
          <w:tcPr>
            <w:tcW w:type="dxa" w:w="2445"/>
          </w:tcPr>
          <w:p>
            <w:pPr>
              <w:pStyle w:val="Compact"/>
              <w:spacing w:line="240" w:lineRule="auto" w:before="20" w:after="20"/>
              <w:jc w:val="left"/>
            </w:pPr>
            <w:r>
              <w:rPr>
                <w:rFonts w:ascii="Arial" w:hAnsi="Arial"/>
                <w:sz w:val="20"/>
              </w:rPr>
              <w:t xml:space="preserve">Full cohort (all I50.x)</w:t>
            </w:r>
          </w:p>
        </w:tc>
        <w:tc>
          <w:tcPr>
            <w:tcW w:type="dxa" w:w="712"/>
          </w:tcPr>
          <w:p>
            <w:pPr>
              <w:pStyle w:val="Compact"/>
              <w:spacing w:line="240" w:lineRule="auto" w:before="20" w:after="20"/>
              <w:jc w:val="left"/>
            </w:pPr>
            <w:r>
              <w:rPr>
                <w:rFonts w:ascii="Arial" w:hAnsi="Arial"/>
                <w:sz w:val="20"/>
              </w:rPr>
              <w:t xml:space="preserve">14,677</w:t>
            </w:r>
          </w:p>
        </w:tc>
        <w:tc>
          <w:tcPr>
            <w:tcW w:type="dxa" w:w="1222"/>
          </w:tcPr>
          <w:p>
            <w:pPr>
              <w:pStyle w:val="Compact"/>
              <w:spacing w:line="240" w:lineRule="auto" w:before="20" w:after="20"/>
              <w:jc w:val="left"/>
            </w:pPr>
            <w:r>
              <w:rPr>
                <w:rFonts w:ascii="Arial" w:hAnsi="Arial"/>
                <w:sz w:val="20"/>
              </w:rPr>
              <w:t xml:space="preserve">2,781</w:t>
            </w:r>
          </w:p>
        </w:tc>
        <w:tc>
          <w:tcPr>
            <w:tcW w:type="dxa" w:w="1629"/>
          </w:tcPr>
          <w:p>
            <w:pPr>
              <w:pStyle w:val="Compact"/>
              <w:spacing w:line="240" w:lineRule="auto" w:before="20" w:after="20"/>
              <w:jc w:val="left"/>
            </w:pPr>
            <w:r>
              <w:rPr>
                <w:rFonts w:ascii="Arial" w:hAnsi="Arial"/>
                <w:sz w:val="20"/>
              </w:rPr>
              <w:t xml:space="preserve">0.831</w:t>
            </w:r>
          </w:p>
        </w:tc>
        <w:tc>
          <w:tcPr>
            <w:tcW w:type="dxa" w:w="1426"/>
          </w:tcPr>
          <w:p>
            <w:pPr>
              <w:pStyle w:val="Compact"/>
              <w:spacing w:line="240" w:lineRule="auto" w:before="20" w:after="20"/>
              <w:jc w:val="left"/>
            </w:pPr>
            <w:r>
              <w:rPr>
                <w:rFonts w:ascii="Arial" w:hAnsi="Arial"/>
                <w:sz w:val="20"/>
              </w:rPr>
              <w:t xml:space="preserve">0.983</w:t>
            </w:r>
          </w:p>
        </w:tc>
        <w:tc>
          <w:tcPr>
            <w:tcW w:type="dxa" w:w="1324"/>
          </w:tcPr>
          <w:p>
            <w:pPr>
              <w:pStyle w:val="Compact"/>
              <w:spacing w:line="240" w:lineRule="auto" w:before="20" w:after="20"/>
              <w:jc w:val="left"/>
            </w:pPr>
            <w:r>
              <w:rPr>
                <w:rFonts w:ascii="Arial" w:hAnsi="Arial"/>
                <w:sz w:val="20"/>
              </w:rPr>
              <w:t xml:space="preserve">.8938</w:t>
            </w:r>
          </w:p>
        </w:tc>
        <w:tc>
          <w:tcPr>
            <w:tcW w:type="dxa" w:w="712"/>
          </w:tcPr>
          <w:p>
            <w:pPr>
              <w:pStyle w:val="Compact"/>
              <w:spacing w:line="240" w:lineRule="auto" w:before="20" w:after="20"/>
              <w:jc w:val="left"/>
            </w:pPr>
            <w:r>
              <w:rPr>
                <w:rFonts w:ascii="Arial" w:hAnsi="Arial"/>
                <w:sz w:val="20"/>
              </w:rPr>
              <w:t xml:space="preserve">0.875</w:t>
            </w:r>
          </w:p>
        </w:tc>
        <w:tc>
          <w:tcPr>
            <w:tcW w:type="dxa" w:w="2650"/>
          </w:tcPr>
          <w:p>
            <w:pPr>
              <w:pStyle w:val="Compact"/>
              <w:spacing w:line="240" w:lineRule="auto" w:before="20" w:after="20"/>
              <w:jc w:val="left"/>
            </w:pPr>
            <w:r>
              <w:rPr>
                <w:rFonts w:ascii="Arial" w:hAnsi="Arial"/>
                <w:sz w:val="20"/>
              </w:rPr>
              <w:t xml:space="preserve">0.385–0.992</w:t>
            </w:r>
          </w:p>
        </w:tc>
        <w:tc>
          <w:tcPr>
            <w:tcW w:type="dxa" w:w="1834"/>
          </w:tcPr>
          <w:p>
            <w:pPr>
              <w:pStyle w:val="Compact"/>
              <w:spacing w:line="240" w:lineRule="auto" w:before="20" w:after="20"/>
              <w:jc w:val="left"/>
            </w:pPr>
            <w:r>
              <w:rPr>
                <w:rFonts w:ascii="Arial" w:hAnsi="Arial"/>
                <w:sz w:val="20"/>
              </w:rPr>
              <w:t xml:space="preserve">0.994</w:t>
            </w:r>
          </w:p>
        </w:tc>
      </w:tr>
      <w:tr>
        <w:tc>
          <w:tcPr>
            <w:tcW w:type="dxa" w:w="2445"/>
          </w:tcPr>
          <w:p>
            <w:pPr>
              <w:pStyle w:val="Compact"/>
              <w:spacing w:line="240" w:lineRule="auto" w:before="20" w:after="20"/>
              <w:jc w:val="left"/>
            </w:pPr>
            <w:r>
              <w:rPr>
                <w:rFonts w:ascii="Arial" w:hAnsi="Arial"/>
                <w:sz w:val="20"/>
              </w:rPr>
              <w:t xml:space="preserve">Probable HFrEF</w:t>
            </w:r>
          </w:p>
        </w:tc>
        <w:tc>
          <w:tcPr>
            <w:tcW w:type="dxa" w:w="712"/>
          </w:tcPr>
          <w:p>
            <w:pPr>
              <w:pStyle w:val="Compact"/>
              <w:spacing w:line="240" w:lineRule="auto" w:before="20" w:after="20"/>
              <w:jc w:val="left"/>
            </w:pPr>
            <w:r>
              <w:rPr>
                <w:rFonts w:ascii="Arial" w:hAnsi="Arial"/>
                <w:sz w:val="20"/>
              </w:rPr>
              <w:t xml:space="preserve">3,278</w:t>
            </w:r>
          </w:p>
        </w:tc>
        <w:tc>
          <w:tcPr>
            <w:tcW w:type="dxa" w:w="1222"/>
          </w:tcPr>
          <w:p>
            <w:pPr>
              <w:pStyle w:val="Compact"/>
              <w:spacing w:line="240" w:lineRule="auto" w:before="20" w:after="20"/>
              <w:jc w:val="left"/>
            </w:pPr>
            <w:r>
              <w:rPr>
                <w:rFonts w:ascii="Arial" w:hAnsi="Arial"/>
                <w:sz w:val="20"/>
              </w:rPr>
              <w:t xml:space="preserve">528</w:t>
            </w:r>
          </w:p>
        </w:tc>
        <w:tc>
          <w:tcPr>
            <w:tcW w:type="dxa" w:w="1629"/>
          </w:tcPr>
          <w:p>
            <w:pPr>
              <w:pStyle w:val="Compact"/>
              <w:spacing w:line="240" w:lineRule="auto" w:before="20" w:after="20"/>
              <w:jc w:val="left"/>
            </w:pPr>
            <w:r>
              <w:rPr>
                <w:rFonts w:ascii="Arial" w:hAnsi="Arial"/>
                <w:sz w:val="20"/>
              </w:rPr>
              <w:t xml:space="preserve">0.813</w:t>
            </w:r>
          </w:p>
        </w:tc>
        <w:tc>
          <w:tcPr>
            <w:tcW w:type="dxa" w:w="1426"/>
          </w:tcPr>
          <w:p>
            <w:pPr>
              <w:pStyle w:val="Compact"/>
              <w:spacing w:line="240" w:lineRule="auto" w:before="20" w:after="20"/>
              <w:jc w:val="left"/>
            </w:pPr>
            <w:r>
              <w:rPr>
                <w:rFonts w:ascii="Arial" w:hAnsi="Arial"/>
                <w:sz w:val="20"/>
              </w:rPr>
              <w:t xml:space="preserve">0.961</w:t>
            </w:r>
          </w:p>
        </w:tc>
        <w:tc>
          <w:tcPr>
            <w:tcW w:type="dxa" w:w="1324"/>
          </w:tcPr>
          <w:p>
            <w:pPr>
              <w:pStyle w:val="Compact"/>
              <w:spacing w:line="240" w:lineRule="auto" w:before="20" w:after="20"/>
              <w:jc w:val="left"/>
            </w:pPr>
            <w:r>
              <w:rPr>
                <w:rFonts w:ascii="Arial" w:hAnsi="Arial"/>
                <w:sz w:val="20"/>
              </w:rPr>
              <w:t xml:space="preserve">.8071</w:t>
            </w:r>
          </w:p>
        </w:tc>
        <w:tc>
          <w:tcPr>
            <w:tcW w:type="dxa" w:w="712"/>
          </w:tcPr>
          <w:p>
            <w:pPr>
              <w:pStyle w:val="Compact"/>
              <w:spacing w:line="240" w:lineRule="auto" w:before="20" w:after="20"/>
              <w:jc w:val="left"/>
            </w:pPr>
            <w:r>
              <w:rPr>
                <w:rFonts w:ascii="Arial" w:hAnsi="Arial"/>
                <w:sz w:val="20"/>
              </w:rPr>
              <w:t xml:space="preserve">0.841</w:t>
            </w:r>
          </w:p>
        </w:tc>
        <w:tc>
          <w:tcPr>
            <w:tcW w:type="dxa" w:w="2650"/>
          </w:tcPr>
          <w:p>
            <w:pPr>
              <w:pStyle w:val="Compact"/>
              <w:spacing w:line="240" w:lineRule="auto" w:before="20" w:after="20"/>
              <w:jc w:val="left"/>
            </w:pPr>
            <w:r>
              <w:rPr>
                <w:rFonts w:ascii="Arial" w:hAnsi="Arial"/>
                <w:sz w:val="20"/>
              </w:rPr>
              <w:t xml:space="preserve">0.342–0.993</w:t>
            </w:r>
          </w:p>
        </w:tc>
        <w:tc>
          <w:tcPr>
            <w:tcW w:type="dxa" w:w="1834"/>
          </w:tcPr>
          <w:p>
            <w:pPr>
              <w:pStyle w:val="Compact"/>
              <w:spacing w:line="240" w:lineRule="auto" w:before="20" w:after="20"/>
              <w:jc w:val="left"/>
            </w:pPr>
            <w:r>
              <w:rPr>
                <w:rFonts w:ascii="Arial" w:hAnsi="Arial"/>
                <w:sz w:val="20"/>
              </w:rPr>
              <w:t xml:space="preserve">0.994</w:t>
            </w:r>
          </w:p>
        </w:tc>
      </w:tr>
      <w:tr>
        <w:tc>
          <w:tcPr>
            <w:tcW w:type="dxa" w:w="2445"/>
          </w:tcPr>
          <w:p>
            <w:pPr>
              <w:pStyle w:val="Compact"/>
              <w:spacing w:line="240" w:lineRule="auto" w:before="20" w:after="20"/>
              <w:jc w:val="left"/>
            </w:pPr>
            <w:r>
              <w:rPr>
                <w:rFonts w:ascii="Arial" w:hAnsi="Arial"/>
                <w:sz w:val="20"/>
              </w:rPr>
              <w:t xml:space="preserve">Probable HFpEF</w:t>
            </w:r>
          </w:p>
        </w:tc>
        <w:tc>
          <w:tcPr>
            <w:tcW w:type="dxa" w:w="712"/>
          </w:tcPr>
          <w:p>
            <w:pPr>
              <w:pStyle w:val="Compact"/>
              <w:spacing w:line="240" w:lineRule="auto" w:before="20" w:after="20"/>
              <w:jc w:val="left"/>
            </w:pPr>
            <w:r>
              <w:rPr>
                <w:rFonts w:ascii="Arial" w:hAnsi="Arial"/>
                <w:sz w:val="20"/>
              </w:rPr>
              <w:t xml:space="preserve">2,504</w:t>
            </w:r>
          </w:p>
        </w:tc>
        <w:tc>
          <w:tcPr>
            <w:tcW w:type="dxa" w:w="1222"/>
          </w:tcPr>
          <w:p>
            <w:pPr>
              <w:pStyle w:val="Compact"/>
              <w:spacing w:line="240" w:lineRule="auto" w:before="20" w:after="20"/>
              <w:jc w:val="left"/>
            </w:pPr>
            <w:r>
              <w:rPr>
                <w:rFonts w:ascii="Arial" w:hAnsi="Arial"/>
                <w:sz w:val="20"/>
              </w:rPr>
              <w:t xml:space="preserve">347</w:t>
            </w:r>
          </w:p>
        </w:tc>
        <w:tc>
          <w:tcPr>
            <w:tcW w:type="dxa" w:w="1629"/>
          </w:tcPr>
          <w:p>
            <w:pPr>
              <w:pStyle w:val="Compact"/>
              <w:spacing w:line="240" w:lineRule="auto" w:before="20" w:after="20"/>
              <w:jc w:val="left"/>
            </w:pPr>
            <w:r>
              <w:rPr>
                <w:rFonts w:ascii="Arial" w:hAnsi="Arial"/>
                <w:sz w:val="20"/>
              </w:rPr>
              <w:t xml:space="preserve">0.896</w:t>
            </w:r>
          </w:p>
        </w:tc>
        <w:tc>
          <w:tcPr>
            <w:tcW w:type="dxa" w:w="1426"/>
          </w:tcPr>
          <w:p>
            <w:pPr>
              <w:pStyle w:val="Compact"/>
              <w:spacing w:line="240" w:lineRule="auto" w:before="20" w:after="20"/>
              <w:jc w:val="left"/>
            </w:pPr>
            <w:r>
              <w:rPr>
                <w:rFonts w:ascii="Arial" w:hAnsi="Arial"/>
                <w:sz w:val="20"/>
              </w:rPr>
              <w:t xml:space="preserve">1.060</w:t>
            </w:r>
          </w:p>
        </w:tc>
        <w:tc>
          <w:tcPr>
            <w:tcW w:type="dxa" w:w="1324"/>
          </w:tcPr>
          <w:p>
            <w:pPr>
              <w:pStyle w:val="Compact"/>
              <w:spacing w:line="240" w:lineRule="auto" w:before="20" w:after="20"/>
              <w:jc w:val="left"/>
            </w:pPr>
            <w:r>
              <w:rPr>
                <w:rFonts w:ascii="Arial" w:hAnsi="Arial"/>
                <w:sz w:val="20"/>
              </w:rPr>
              <w:t xml:space="preserve">.7741</w:t>
            </w:r>
          </w:p>
        </w:tc>
        <w:tc>
          <w:tcPr>
            <w:tcW w:type="dxa" w:w="712"/>
          </w:tcPr>
          <w:p>
            <w:pPr>
              <w:pStyle w:val="Compact"/>
              <w:spacing w:line="240" w:lineRule="auto" w:before="20" w:after="20"/>
              <w:jc w:val="left"/>
            </w:pPr>
            <w:r>
              <w:rPr>
                <w:rFonts w:ascii="Arial" w:hAnsi="Arial"/>
                <w:sz w:val="20"/>
              </w:rPr>
              <w:t xml:space="preserve">0.720</w:t>
            </w:r>
          </w:p>
        </w:tc>
        <w:tc>
          <w:tcPr>
            <w:tcW w:type="dxa" w:w="2650"/>
          </w:tcPr>
          <w:p>
            <w:pPr>
              <w:pStyle w:val="Compact"/>
              <w:spacing w:line="240" w:lineRule="auto" w:before="20" w:after="20"/>
              <w:jc w:val="left"/>
            </w:pPr>
            <w:r>
              <w:rPr>
                <w:rFonts w:ascii="Arial" w:hAnsi="Arial"/>
                <w:sz w:val="20"/>
              </w:rPr>
              <w:t xml:space="preserve">0.629–0.973</w:t>
            </w:r>
          </w:p>
        </w:tc>
        <w:tc>
          <w:tcPr>
            <w:tcW w:type="dxa" w:w="1834"/>
          </w:tcPr>
          <w:p>
            <w:pPr>
              <w:pStyle w:val="Compact"/>
              <w:spacing w:line="240" w:lineRule="auto" w:before="20" w:after="20"/>
              <w:jc w:val="left"/>
            </w:pPr>
            <w:r>
              <w:rPr>
                <w:rFonts w:ascii="Arial" w:hAnsi="Arial"/>
                <w:sz w:val="20"/>
              </w:rPr>
              <w:t xml:space="preserve">0.976</w:t>
            </w:r>
          </w:p>
        </w:tc>
      </w:tr>
    </w:tbl>
    <w:bookmarkEnd w:id="31"/>
    <w:bookmarkStart w:id="32" w:name="X20bb6e4aab109c820eea6097ce7b3cdaba57fdc"/>
    <w:p>
      <w:pPr>
        <w:pStyle w:val="Heading2"/>
      </w:pPr>
      <w:r>
        <w:rPr>
          <w:rFonts w:ascii="Arial" w:hAnsi="Arial" w:eastAsia="Arial" w:cs="Arial"/>
          <w:b/>
          <w:sz w:val="24"/>
        </w:rPr>
        <w:t xml:space="preserve">eTable 13. Point accuracy of the BAF estimator and coverage of its credible interval</w:t>
      </w:r>
    </w:p>
    <w:p>
      <w:pPr>
        <w:pStyle w:val="TableCaption"/>
      </w:pPr>
      <w:r>
        <w:t xml:space="preserve">eTable 13. Point accuracy of the BAF estimator and coverage of its credible interval when the systematic bias plays each of the four possible roles with respect to the true effect. Inflation is the primary grid, in which the bias has the same sign as the true effect; shrinkage, cancellation, and reversal come from a mirror grid that keeps every other design factor unchanged and gives the bias center a positive sign. The role is assigned by the sign of the expected observed effect, ψ + μB. The mean signed difference and the root mean squared error are on the BAF scale, as is the median half-width of the reported 95% credible interval; coverage is the share of repetitions in which that interval contains the true BAF. The four roles together span 1,920 conditions and 1,920,000 repetitions.</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Caption w:val="eTable 13. Point accuracy of the BAF estimator and coverage of its credible interval when the systematic bias plays each of the four possible roles with respect to the true effect. Inflation is the primary grid, in which the bias has the same sign as the true effect; shrinkage, cancellation, and reversal come from a mirror grid that keeps every other design factor unchanged and gives the bias center a positive sign. The role is assigned by the sign of the expected observed effect, ψ + μB. The mean signed difference and the root mean squared error are on the BAF scale, as is the median half-width of the reported 95% credible interval; coverage is the share of repetitions in which that interval contains the true BAF. The four roles together span 1,920 conditions and 1,920,000 repetitions."/>
      </w:tblPr>
      <w:tblGrid>
        <w:gridCol w:w="1796"/>
        <w:gridCol w:w="1519"/>
        <w:gridCol w:w="3592"/>
        <w:gridCol w:w="828"/>
        <w:gridCol w:w="3731"/>
        <w:gridCol w:w="2488"/>
      </w:tblGrid>
      <w:tr>
        <w:trPr>
          <w:tblHeader w:val="on"/>
        </w:trPr>
        <w:tc>
          <w:tcPr>
            <w:tcW w:type="dxa" w:w="1796"/>
          </w:tcPr>
          <w:p>
            <w:pPr>
              <w:pStyle w:val="Compact"/>
              <w:spacing w:line="240" w:lineRule="auto" w:before="20" w:after="20"/>
              <w:jc w:val="left"/>
            </w:pPr>
            <w:r>
              <w:rPr>
                <w:rFonts w:ascii="Arial" w:hAnsi="Arial"/>
                <w:sz w:val="20"/>
              </w:rPr>
              <w:t xml:space="preserve">Role</w:t>
            </w:r>
          </w:p>
        </w:tc>
        <w:tc>
          <w:tcPr>
            <w:tcW w:type="dxa" w:w="1519"/>
          </w:tcPr>
          <w:p>
            <w:pPr>
              <w:pStyle w:val="Compact"/>
              <w:spacing w:line="240" w:lineRule="auto" w:before="20" w:after="20"/>
              <w:jc w:val="left"/>
            </w:pPr>
            <w:r>
              <w:rPr>
                <w:rFonts w:ascii="Arial" w:hAnsi="Arial"/>
                <w:sz w:val="20"/>
              </w:rPr>
              <w:t xml:space="preserve">Conditions</w:t>
            </w:r>
          </w:p>
        </w:tc>
        <w:tc>
          <w:tcPr>
            <w:tcW w:type="dxa" w:w="3592"/>
          </w:tcPr>
          <w:p>
            <w:pPr>
              <w:pStyle w:val="Compact"/>
              <w:spacing w:line="240" w:lineRule="auto" w:before="20" w:after="20"/>
              <w:jc w:val="left"/>
            </w:pPr>
            <w:r>
              <w:rPr>
                <w:rFonts w:ascii="Arial" w:hAnsi="Arial"/>
                <w:sz w:val="20"/>
              </w:rPr>
              <w:t xml:space="preserve">Mean BAFhat minus BAFtrue</w:t>
            </w:r>
          </w:p>
        </w:tc>
        <w:tc>
          <w:tcPr>
            <w:tcW w:type="dxa" w:w="828"/>
          </w:tcPr>
          <w:p>
            <w:pPr>
              <w:pStyle w:val="Compact"/>
              <w:spacing w:line="240" w:lineRule="auto" w:before="20" w:after="20"/>
              <w:jc w:val="left"/>
            </w:pPr>
            <w:r>
              <w:rPr>
                <w:rFonts w:ascii="Arial" w:hAnsi="Arial"/>
                <w:sz w:val="20"/>
              </w:rPr>
              <w:t xml:space="preserve">RMSE</w:t>
            </w:r>
          </w:p>
        </w:tc>
        <w:tc>
          <w:tcPr>
            <w:tcW w:type="dxa" w:w="3731"/>
          </w:tcPr>
          <w:p>
            <w:pPr>
              <w:pStyle w:val="Compact"/>
              <w:spacing w:line="240" w:lineRule="auto" w:before="20" w:after="20"/>
              <w:jc w:val="left"/>
            </w:pPr>
            <w:r>
              <w:rPr>
                <w:rFonts w:ascii="Arial" w:hAnsi="Arial"/>
                <w:sz w:val="20"/>
              </w:rPr>
              <w:t xml:space="preserve">Median interval half-width</w:t>
            </w:r>
          </w:p>
        </w:tc>
        <w:tc>
          <w:tcPr>
            <w:tcW w:type="dxa" w:w="2488"/>
          </w:tcPr>
          <w:p>
            <w:pPr>
              <w:pStyle w:val="Compact"/>
              <w:spacing w:line="240" w:lineRule="auto" w:before="20" w:after="20"/>
              <w:jc w:val="left"/>
            </w:pPr>
            <w:r>
              <w:rPr>
                <w:rFonts w:ascii="Arial" w:hAnsi="Arial"/>
                <w:sz w:val="20"/>
              </w:rPr>
              <w:t xml:space="preserve">Interval coverage</w:t>
            </w:r>
          </w:p>
        </w:tc>
      </w:tr>
      <w:tr>
        <w:tc>
          <w:tcPr>
            <w:tcW w:type="dxa" w:w="1796"/>
          </w:tcPr>
          <w:p>
            <w:pPr>
              <w:pStyle w:val="Compact"/>
              <w:spacing w:line="240" w:lineRule="auto" w:before="20" w:after="20"/>
              <w:jc w:val="left"/>
            </w:pPr>
            <w:r>
              <w:rPr>
                <w:rFonts w:ascii="Arial" w:hAnsi="Arial"/>
                <w:sz w:val="20"/>
              </w:rPr>
              <w:t xml:space="preserve">Inflation</w:t>
            </w:r>
          </w:p>
        </w:tc>
        <w:tc>
          <w:tcPr>
            <w:tcW w:type="dxa" w:w="1519"/>
          </w:tcPr>
          <w:p>
            <w:pPr>
              <w:pStyle w:val="Compact"/>
              <w:spacing w:line="240" w:lineRule="auto" w:before="20" w:after="20"/>
              <w:jc w:val="left"/>
            </w:pPr>
            <w:r>
              <w:rPr>
                <w:rFonts w:ascii="Arial" w:hAnsi="Arial"/>
                <w:sz w:val="20"/>
              </w:rPr>
              <w:t xml:space="preserve">960</w:t>
            </w:r>
          </w:p>
        </w:tc>
        <w:tc>
          <w:tcPr>
            <w:tcW w:type="dxa" w:w="3592"/>
          </w:tcPr>
          <w:p>
            <w:pPr>
              <w:pStyle w:val="Compact"/>
              <w:spacing w:line="240" w:lineRule="auto" w:before="20" w:after="20"/>
              <w:jc w:val="left"/>
            </w:pPr>
            <w:r>
              <w:rPr>
                <w:rFonts w:ascii="Arial" w:hAnsi="Arial"/>
                <w:sz w:val="20"/>
              </w:rPr>
              <w:t xml:space="preserve">−0.069</w:t>
            </w:r>
          </w:p>
        </w:tc>
        <w:tc>
          <w:tcPr>
            <w:tcW w:type="dxa" w:w="828"/>
          </w:tcPr>
          <w:p>
            <w:pPr>
              <w:pStyle w:val="Compact"/>
              <w:spacing w:line="240" w:lineRule="auto" w:before="20" w:after="20"/>
              <w:jc w:val="left"/>
            </w:pPr>
            <w:r>
              <w:rPr>
                <w:rFonts w:ascii="Arial" w:hAnsi="Arial"/>
                <w:sz w:val="20"/>
              </w:rPr>
              <w:t xml:space="preserve">0.155</w:t>
            </w:r>
          </w:p>
        </w:tc>
        <w:tc>
          <w:tcPr>
            <w:tcW w:type="dxa" w:w="3731"/>
          </w:tcPr>
          <w:p>
            <w:pPr>
              <w:pStyle w:val="Compact"/>
              <w:spacing w:line="240" w:lineRule="auto" w:before="20" w:after="20"/>
              <w:jc w:val="left"/>
            </w:pPr>
            <w:r>
              <w:rPr>
                <w:rFonts w:ascii="Arial" w:hAnsi="Arial"/>
                <w:sz w:val="20"/>
              </w:rPr>
              <w:t xml:space="preserve">0.130</w:t>
            </w:r>
          </w:p>
        </w:tc>
        <w:tc>
          <w:tcPr>
            <w:tcW w:type="dxa" w:w="2488"/>
          </w:tcPr>
          <w:p>
            <w:pPr>
              <w:pStyle w:val="Compact"/>
              <w:spacing w:line="240" w:lineRule="auto" w:before="20" w:after="20"/>
              <w:jc w:val="left"/>
            </w:pPr>
            <w:r>
              <w:rPr>
                <w:rFonts w:ascii="Arial" w:hAnsi="Arial"/>
                <w:sz w:val="20"/>
              </w:rPr>
              <w:t xml:space="preserve">71.1%</w:t>
            </w:r>
          </w:p>
        </w:tc>
      </w:tr>
      <w:tr>
        <w:tc>
          <w:tcPr>
            <w:tcW w:type="dxa" w:w="1796"/>
          </w:tcPr>
          <w:p>
            <w:pPr>
              <w:pStyle w:val="Compact"/>
              <w:spacing w:line="240" w:lineRule="auto" w:before="20" w:after="20"/>
              <w:jc w:val="left"/>
            </w:pPr>
            <w:r>
              <w:rPr>
                <w:rFonts w:ascii="Arial" w:hAnsi="Arial"/>
                <w:sz w:val="20"/>
              </w:rPr>
              <w:t xml:space="preserve">Shrinkage</w:t>
            </w:r>
          </w:p>
        </w:tc>
        <w:tc>
          <w:tcPr>
            <w:tcW w:type="dxa" w:w="1519"/>
          </w:tcPr>
          <w:p>
            <w:pPr>
              <w:pStyle w:val="Compact"/>
              <w:spacing w:line="240" w:lineRule="auto" w:before="20" w:after="20"/>
              <w:jc w:val="left"/>
            </w:pPr>
            <w:r>
              <w:rPr>
                <w:rFonts w:ascii="Arial" w:hAnsi="Arial"/>
                <w:sz w:val="20"/>
              </w:rPr>
              <w:t xml:space="preserve">420</w:t>
            </w:r>
          </w:p>
        </w:tc>
        <w:tc>
          <w:tcPr>
            <w:tcW w:type="dxa" w:w="3592"/>
          </w:tcPr>
          <w:p>
            <w:pPr>
              <w:pStyle w:val="Compact"/>
              <w:spacing w:line="240" w:lineRule="auto" w:before="20" w:after="20"/>
              <w:jc w:val="left"/>
            </w:pPr>
            <w:r>
              <w:rPr>
                <w:rFonts w:ascii="Arial" w:hAnsi="Arial"/>
                <w:sz w:val="20"/>
              </w:rPr>
              <w:t xml:space="preserve">0.030</w:t>
            </w:r>
          </w:p>
        </w:tc>
        <w:tc>
          <w:tcPr>
            <w:tcW w:type="dxa" w:w="828"/>
          </w:tcPr>
          <w:p>
            <w:pPr>
              <w:pStyle w:val="Compact"/>
              <w:spacing w:line="240" w:lineRule="auto" w:before="20" w:after="20"/>
              <w:jc w:val="left"/>
            </w:pPr>
            <w:r>
              <w:rPr>
                <w:rFonts w:ascii="Arial" w:hAnsi="Arial"/>
                <w:sz w:val="20"/>
              </w:rPr>
              <w:t xml:space="preserve">0.089</w:t>
            </w:r>
          </w:p>
        </w:tc>
        <w:tc>
          <w:tcPr>
            <w:tcW w:type="dxa" w:w="3731"/>
          </w:tcPr>
          <w:p>
            <w:pPr>
              <w:pStyle w:val="Compact"/>
              <w:spacing w:line="240" w:lineRule="auto" w:before="20" w:after="20"/>
              <w:jc w:val="left"/>
            </w:pPr>
            <w:r>
              <w:rPr>
                <w:rFonts w:ascii="Arial" w:hAnsi="Arial"/>
                <w:sz w:val="20"/>
              </w:rPr>
              <w:t xml:space="preserve">0.037</w:t>
            </w:r>
          </w:p>
        </w:tc>
        <w:tc>
          <w:tcPr>
            <w:tcW w:type="dxa" w:w="2488"/>
          </w:tcPr>
          <w:p>
            <w:pPr>
              <w:pStyle w:val="Compact"/>
              <w:spacing w:line="240" w:lineRule="auto" w:before="20" w:after="20"/>
              <w:jc w:val="left"/>
            </w:pPr>
            <w:r>
              <w:rPr>
                <w:rFonts w:ascii="Arial" w:hAnsi="Arial"/>
                <w:sz w:val="20"/>
              </w:rPr>
              <w:t xml:space="preserve">46.9%</w:t>
            </w:r>
          </w:p>
        </w:tc>
      </w:tr>
      <w:tr>
        <w:tc>
          <w:tcPr>
            <w:tcW w:type="dxa" w:w="1796"/>
          </w:tcPr>
          <w:p>
            <w:pPr>
              <w:pStyle w:val="Compact"/>
              <w:spacing w:line="240" w:lineRule="auto" w:before="20" w:after="20"/>
              <w:jc w:val="left"/>
            </w:pPr>
            <w:r>
              <w:rPr>
                <w:rFonts w:ascii="Arial" w:hAnsi="Arial"/>
                <w:sz w:val="20"/>
              </w:rPr>
              <w:t xml:space="preserve">Cancellation</w:t>
            </w:r>
          </w:p>
        </w:tc>
        <w:tc>
          <w:tcPr>
            <w:tcW w:type="dxa" w:w="1519"/>
          </w:tcPr>
          <w:p>
            <w:pPr>
              <w:pStyle w:val="Compact"/>
              <w:spacing w:line="240" w:lineRule="auto" w:before="20" w:after="20"/>
              <w:jc w:val="left"/>
            </w:pPr>
            <w:r>
              <w:rPr>
                <w:rFonts w:ascii="Arial" w:hAnsi="Arial"/>
                <w:sz w:val="20"/>
              </w:rPr>
              <w:t xml:space="preserve">36</w:t>
            </w:r>
          </w:p>
        </w:tc>
        <w:tc>
          <w:tcPr>
            <w:tcW w:type="dxa" w:w="3592"/>
          </w:tcPr>
          <w:p>
            <w:pPr>
              <w:pStyle w:val="Compact"/>
              <w:spacing w:line="240" w:lineRule="auto" w:before="20" w:after="20"/>
              <w:jc w:val="left"/>
            </w:pPr>
            <w:r>
              <w:rPr>
                <w:rFonts w:ascii="Arial" w:hAnsi="Arial"/>
                <w:sz w:val="20"/>
              </w:rPr>
              <w:t xml:space="preserve">0.004</w:t>
            </w:r>
          </w:p>
        </w:tc>
        <w:tc>
          <w:tcPr>
            <w:tcW w:type="dxa" w:w="828"/>
          </w:tcPr>
          <w:p>
            <w:pPr>
              <w:pStyle w:val="Compact"/>
              <w:spacing w:line="240" w:lineRule="auto" w:before="20" w:after="20"/>
              <w:jc w:val="left"/>
            </w:pPr>
            <w:r>
              <w:rPr>
                <w:rFonts w:ascii="Arial" w:hAnsi="Arial"/>
                <w:sz w:val="20"/>
              </w:rPr>
              <w:t xml:space="preserve">0.133</w:t>
            </w:r>
          </w:p>
        </w:tc>
        <w:tc>
          <w:tcPr>
            <w:tcW w:type="dxa" w:w="3731"/>
          </w:tcPr>
          <w:p>
            <w:pPr>
              <w:pStyle w:val="Compact"/>
              <w:spacing w:line="240" w:lineRule="auto" w:before="20" w:after="20"/>
              <w:jc w:val="left"/>
            </w:pPr>
            <w:r>
              <w:rPr>
                <w:rFonts w:ascii="Arial" w:hAnsi="Arial"/>
                <w:sz w:val="20"/>
              </w:rPr>
              <w:t xml:space="preserve">0.039</w:t>
            </w:r>
          </w:p>
        </w:tc>
        <w:tc>
          <w:tcPr>
            <w:tcW w:type="dxa" w:w="2488"/>
          </w:tcPr>
          <w:p>
            <w:pPr>
              <w:pStyle w:val="Compact"/>
              <w:spacing w:line="240" w:lineRule="auto" w:before="20" w:after="20"/>
              <w:jc w:val="left"/>
            </w:pPr>
            <w:r>
              <w:rPr>
                <w:rFonts w:ascii="Arial" w:hAnsi="Arial"/>
                <w:sz w:val="20"/>
              </w:rPr>
              <w:t xml:space="preserve">18.4%</w:t>
            </w:r>
          </w:p>
        </w:tc>
      </w:tr>
      <w:tr>
        <w:tc>
          <w:tcPr>
            <w:tcW w:type="dxa" w:w="1796"/>
          </w:tcPr>
          <w:p>
            <w:pPr>
              <w:pStyle w:val="Compact"/>
              <w:spacing w:line="240" w:lineRule="auto" w:before="20" w:after="20"/>
              <w:jc w:val="left"/>
            </w:pPr>
            <w:r>
              <w:rPr>
                <w:rFonts w:ascii="Arial" w:hAnsi="Arial"/>
                <w:sz w:val="20"/>
              </w:rPr>
              <w:t xml:space="preserve">Reversal</w:t>
            </w:r>
          </w:p>
        </w:tc>
        <w:tc>
          <w:tcPr>
            <w:tcW w:type="dxa" w:w="1519"/>
          </w:tcPr>
          <w:p>
            <w:pPr>
              <w:pStyle w:val="Compact"/>
              <w:spacing w:line="240" w:lineRule="auto" w:before="20" w:after="20"/>
              <w:jc w:val="left"/>
            </w:pPr>
            <w:r>
              <w:rPr>
                <w:rFonts w:ascii="Arial" w:hAnsi="Arial"/>
                <w:sz w:val="20"/>
              </w:rPr>
              <w:t xml:space="preserve">504</w:t>
            </w:r>
          </w:p>
        </w:tc>
        <w:tc>
          <w:tcPr>
            <w:tcW w:type="dxa" w:w="3592"/>
          </w:tcPr>
          <w:p>
            <w:pPr>
              <w:pStyle w:val="Compact"/>
              <w:spacing w:line="240" w:lineRule="auto" w:before="20" w:after="20"/>
              <w:jc w:val="left"/>
            </w:pPr>
            <w:r>
              <w:rPr>
                <w:rFonts w:ascii="Arial" w:hAnsi="Arial"/>
                <w:sz w:val="20"/>
              </w:rPr>
              <w:t xml:space="preserve">−0.047</w:t>
            </w:r>
          </w:p>
        </w:tc>
        <w:tc>
          <w:tcPr>
            <w:tcW w:type="dxa" w:w="828"/>
          </w:tcPr>
          <w:p>
            <w:pPr>
              <w:pStyle w:val="Compact"/>
              <w:spacing w:line="240" w:lineRule="auto" w:before="20" w:after="20"/>
              <w:jc w:val="left"/>
            </w:pPr>
            <w:r>
              <w:rPr>
                <w:rFonts w:ascii="Arial" w:hAnsi="Arial"/>
                <w:sz w:val="20"/>
              </w:rPr>
              <w:t xml:space="preserve">0.142</w:t>
            </w:r>
          </w:p>
        </w:tc>
        <w:tc>
          <w:tcPr>
            <w:tcW w:type="dxa" w:w="3731"/>
          </w:tcPr>
          <w:p>
            <w:pPr>
              <w:pStyle w:val="Compact"/>
              <w:spacing w:line="240" w:lineRule="auto" w:before="20" w:after="20"/>
              <w:jc w:val="left"/>
            </w:pPr>
            <w:r>
              <w:rPr>
                <w:rFonts w:ascii="Arial" w:hAnsi="Arial"/>
                <w:sz w:val="20"/>
              </w:rPr>
              <w:t xml:space="preserve">0.046</w:t>
            </w:r>
          </w:p>
        </w:tc>
        <w:tc>
          <w:tcPr>
            <w:tcW w:type="dxa" w:w="2488"/>
          </w:tcPr>
          <w:p>
            <w:pPr>
              <w:pStyle w:val="Compact"/>
              <w:spacing w:line="240" w:lineRule="auto" w:before="20" w:after="20"/>
              <w:jc w:val="left"/>
            </w:pPr>
            <w:r>
              <w:rPr>
                <w:rFonts w:ascii="Arial" w:hAnsi="Arial"/>
                <w:sz w:val="20"/>
              </w:rPr>
              <w:t xml:space="preserve">36.1%</w:t>
            </w:r>
          </w:p>
        </w:tc>
      </w:tr>
    </w:tbl>
    <w:bookmarkEnd w:id="32"/>
    <w:bookmarkStart w:id="33" w:name="X8e663f8c1fdd6f40aca888a95cf1b7df78723fc"/>
    <w:p>
      <w:pPr>
        <w:pStyle w:val="Heading2"/>
      </w:pPr>
      <w:r>
        <w:rPr>
          <w:rFonts w:ascii="Arial" w:hAnsi="Arial" w:eastAsia="Arial" w:cs="Arial"/>
          <w:b/>
          <w:sz w:val="24"/>
        </w:rPr>
        <w:t xml:space="preserve">eTable 14. Classification and rule performance by role of the systematic bias</w:t>
      </w:r>
    </w:p>
    <w:p>
      <w:pPr>
        <w:pStyle w:val="TableCaption"/>
      </w:pPr>
      <w:r>
        <w:t xml:space="preserve">eTable 14. Classification and rule performance when the systematic bias plays each of the four possible roles. Zone agreement is the share of repetitions in which the three-zone classification matches the true zone; layer 1 is the calibrated P value below .05; R3 declares an estimate usable only when it passes layer 1 and its whole credible interval lies below 0.5; and the misuse rate is the share of the estimates R3 endorses that are in fact bias-dominated. The final column gives the share of cells in each role whose true BAF lies above 0.5, the boundary of the bias-dominated zone; no cell in the shrinkage or cancellation roles exceeds it and every cell in the reversal role does, so the misuse rate is informative only in the inflation role, where both kinds of cell are present.</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Caption w:val="eTable 14. Classification and rule performance when the systematic bias plays each of the four possible roles. Zone agreement is the share of repetitions in which the three-zone classification matches the true zone; layer 1 is the calibrated P value below .05; R3 declares an estimate usable only when it passes layer 1 and its whole credible interval lies below 0.5; and the misuse rate is the share of the estimates R3 endorses that are in fact bias-dominated. The final column gives the share of cells in each role whose true BAF lies above 0.5, the boundary of the bias-dominated zone; no cell in the shrinkage or cancellation roles exceeds it and every cell in the reversal role does, so the misuse rate is informative only in the inflation role, where both kinds of cell are present."/>
      </w:tblPr>
      <w:tblGrid>
        <w:gridCol w:w="2297"/>
        <w:gridCol w:w="2649"/>
        <w:gridCol w:w="2297"/>
        <w:gridCol w:w="1590"/>
        <w:gridCol w:w="1766"/>
        <w:gridCol w:w="3355"/>
      </w:tblGrid>
      <w:tr>
        <w:trPr>
          <w:tblHeader w:val="on"/>
        </w:trPr>
        <w:tc>
          <w:tcPr>
            <w:tcW w:type="dxa" w:w="2297"/>
          </w:tcPr>
          <w:p>
            <w:pPr>
              <w:pStyle w:val="Compact"/>
              <w:spacing w:line="240" w:lineRule="auto" w:before="20" w:after="20"/>
              <w:jc w:val="left"/>
            </w:pPr>
            <w:r>
              <w:rPr>
                <w:rFonts w:ascii="Arial" w:hAnsi="Arial"/>
                <w:sz w:val="20"/>
              </w:rPr>
              <w:t xml:space="preserve">Role</w:t>
            </w:r>
          </w:p>
        </w:tc>
        <w:tc>
          <w:tcPr>
            <w:tcW w:type="dxa" w:w="2649"/>
          </w:tcPr>
          <w:p>
            <w:pPr>
              <w:pStyle w:val="Compact"/>
              <w:spacing w:line="240" w:lineRule="auto" w:before="20" w:after="20"/>
              <w:jc w:val="left"/>
            </w:pPr>
            <w:r>
              <w:rPr>
                <w:rFonts w:ascii="Arial" w:hAnsi="Arial"/>
                <w:sz w:val="20"/>
              </w:rPr>
              <w:t xml:space="preserve">Zone agreement</w:t>
            </w:r>
          </w:p>
        </w:tc>
        <w:tc>
          <w:tcPr>
            <w:tcW w:type="dxa" w:w="2297"/>
          </w:tcPr>
          <w:p>
            <w:pPr>
              <w:pStyle w:val="Compact"/>
              <w:spacing w:line="240" w:lineRule="auto" w:before="20" w:after="20"/>
              <w:jc w:val="left"/>
            </w:pPr>
            <w:r>
              <w:rPr>
                <w:rFonts w:ascii="Arial" w:hAnsi="Arial"/>
                <w:sz w:val="20"/>
              </w:rPr>
              <w:t xml:space="preserve">Layer-1 pass</w:t>
            </w:r>
          </w:p>
        </w:tc>
        <w:tc>
          <w:tcPr>
            <w:tcW w:type="dxa" w:w="1590"/>
          </w:tcPr>
          <w:p>
            <w:pPr>
              <w:pStyle w:val="Compact"/>
              <w:spacing w:line="240" w:lineRule="auto" w:before="20" w:after="20"/>
              <w:jc w:val="left"/>
            </w:pPr>
            <w:r>
              <w:rPr>
                <w:rFonts w:ascii="Arial" w:hAnsi="Arial"/>
                <w:sz w:val="20"/>
              </w:rPr>
              <w:t xml:space="preserve">R3 yield</w:t>
            </w:r>
          </w:p>
        </w:tc>
        <w:tc>
          <w:tcPr>
            <w:tcW w:type="dxa" w:w="1766"/>
          </w:tcPr>
          <w:p>
            <w:pPr>
              <w:pStyle w:val="Compact"/>
              <w:spacing w:line="240" w:lineRule="auto" w:before="20" w:after="20"/>
              <w:jc w:val="left"/>
            </w:pPr>
            <w:r>
              <w:rPr>
                <w:rFonts w:ascii="Arial" w:hAnsi="Arial"/>
                <w:sz w:val="20"/>
              </w:rPr>
              <w:t xml:space="preserve">R3 misuse</w:t>
            </w:r>
          </w:p>
        </w:tc>
        <w:tc>
          <w:tcPr>
            <w:tcW w:type="dxa" w:w="3355"/>
          </w:tcPr>
          <w:p>
            <w:pPr>
              <w:pStyle w:val="Compact"/>
              <w:spacing w:line="240" w:lineRule="auto" w:before="20" w:after="20"/>
              <w:jc w:val="left"/>
            </w:pPr>
            <w:r>
              <w:rPr>
                <w:rFonts w:ascii="Arial" w:hAnsi="Arial"/>
                <w:sz w:val="20"/>
              </w:rPr>
              <w:t xml:space="preserve">True BAF above 0.5</w:t>
            </w:r>
          </w:p>
        </w:tc>
      </w:tr>
      <w:tr>
        <w:tc>
          <w:tcPr>
            <w:tcW w:type="dxa" w:w="2297"/>
          </w:tcPr>
          <w:p>
            <w:pPr>
              <w:pStyle w:val="Compact"/>
              <w:spacing w:line="240" w:lineRule="auto" w:before="20" w:after="20"/>
              <w:jc w:val="left"/>
            </w:pPr>
            <w:r>
              <w:rPr>
                <w:rFonts w:ascii="Arial" w:hAnsi="Arial"/>
                <w:sz w:val="20"/>
              </w:rPr>
              <w:t xml:space="preserve">Inflation</w:t>
            </w:r>
          </w:p>
        </w:tc>
        <w:tc>
          <w:tcPr>
            <w:tcW w:type="dxa" w:w="2649"/>
          </w:tcPr>
          <w:p>
            <w:pPr>
              <w:pStyle w:val="Compact"/>
              <w:spacing w:line="240" w:lineRule="auto" w:before="20" w:after="20"/>
              <w:jc w:val="left"/>
            </w:pPr>
            <w:r>
              <w:rPr>
                <w:rFonts w:ascii="Arial" w:hAnsi="Arial"/>
                <w:sz w:val="20"/>
              </w:rPr>
              <w:t xml:space="preserve">53.1%</w:t>
            </w:r>
          </w:p>
        </w:tc>
        <w:tc>
          <w:tcPr>
            <w:tcW w:type="dxa" w:w="2297"/>
          </w:tcPr>
          <w:p>
            <w:pPr>
              <w:pStyle w:val="Compact"/>
              <w:spacing w:line="240" w:lineRule="auto" w:before="20" w:after="20"/>
              <w:jc w:val="left"/>
            </w:pPr>
            <w:r>
              <w:rPr>
                <w:rFonts w:ascii="Arial" w:hAnsi="Arial"/>
                <w:sz w:val="20"/>
              </w:rPr>
              <w:t xml:space="preserve">61.9%</w:t>
            </w:r>
          </w:p>
        </w:tc>
        <w:tc>
          <w:tcPr>
            <w:tcW w:type="dxa" w:w="1590"/>
          </w:tcPr>
          <w:p>
            <w:pPr>
              <w:pStyle w:val="Compact"/>
              <w:spacing w:line="240" w:lineRule="auto" w:before="20" w:after="20"/>
              <w:jc w:val="left"/>
            </w:pPr>
            <w:r>
              <w:rPr>
                <w:rFonts w:ascii="Arial" w:hAnsi="Arial"/>
                <w:sz w:val="20"/>
              </w:rPr>
              <w:t xml:space="preserve">29.8%</w:t>
            </w:r>
          </w:p>
        </w:tc>
        <w:tc>
          <w:tcPr>
            <w:tcW w:type="dxa" w:w="1766"/>
          </w:tcPr>
          <w:p>
            <w:pPr>
              <w:pStyle w:val="Compact"/>
              <w:spacing w:line="240" w:lineRule="auto" w:before="20" w:after="20"/>
              <w:jc w:val="left"/>
            </w:pPr>
            <w:r>
              <w:rPr>
                <w:rFonts w:ascii="Arial" w:hAnsi="Arial"/>
                <w:sz w:val="20"/>
              </w:rPr>
              <w:t xml:space="preserve">7.4%</w:t>
            </w:r>
          </w:p>
        </w:tc>
        <w:tc>
          <w:tcPr>
            <w:tcW w:type="dxa" w:w="3355"/>
          </w:tcPr>
          <w:p>
            <w:pPr>
              <w:pStyle w:val="Compact"/>
              <w:spacing w:line="240" w:lineRule="auto" w:before="20" w:after="20"/>
              <w:jc w:val="left"/>
            </w:pPr>
            <w:r>
              <w:rPr>
                <w:rFonts w:ascii="Arial" w:hAnsi="Arial"/>
                <w:sz w:val="20"/>
              </w:rPr>
              <w:t xml:space="preserve">52.5%</w:t>
            </w:r>
          </w:p>
        </w:tc>
      </w:tr>
      <w:tr>
        <w:tc>
          <w:tcPr>
            <w:tcW w:type="dxa" w:w="2297"/>
          </w:tcPr>
          <w:p>
            <w:pPr>
              <w:pStyle w:val="Compact"/>
              <w:spacing w:line="240" w:lineRule="auto" w:before="20" w:after="20"/>
              <w:jc w:val="left"/>
            </w:pPr>
            <w:r>
              <w:rPr>
                <w:rFonts w:ascii="Arial" w:hAnsi="Arial"/>
                <w:sz w:val="20"/>
              </w:rPr>
              <w:t xml:space="preserve">Shrinkage</w:t>
            </w:r>
          </w:p>
        </w:tc>
        <w:tc>
          <w:tcPr>
            <w:tcW w:type="dxa" w:w="2649"/>
          </w:tcPr>
          <w:p>
            <w:pPr>
              <w:pStyle w:val="Compact"/>
              <w:spacing w:line="240" w:lineRule="auto" w:before="20" w:after="20"/>
              <w:jc w:val="left"/>
            </w:pPr>
            <w:r>
              <w:rPr>
                <w:rFonts w:ascii="Arial" w:hAnsi="Arial"/>
                <w:sz w:val="20"/>
              </w:rPr>
              <w:t xml:space="preserve">42.5%</w:t>
            </w:r>
          </w:p>
        </w:tc>
        <w:tc>
          <w:tcPr>
            <w:tcW w:type="dxa" w:w="2297"/>
          </w:tcPr>
          <w:p>
            <w:pPr>
              <w:pStyle w:val="Compact"/>
              <w:spacing w:line="240" w:lineRule="auto" w:before="20" w:after="20"/>
              <w:jc w:val="left"/>
            </w:pPr>
            <w:r>
              <w:rPr>
                <w:rFonts w:ascii="Arial" w:hAnsi="Arial"/>
                <w:sz w:val="20"/>
              </w:rPr>
              <w:t xml:space="preserve">86.4%</w:t>
            </w:r>
          </w:p>
        </w:tc>
        <w:tc>
          <w:tcPr>
            <w:tcW w:type="dxa" w:w="1590"/>
          </w:tcPr>
          <w:p>
            <w:pPr>
              <w:pStyle w:val="Compact"/>
              <w:spacing w:line="240" w:lineRule="auto" w:before="20" w:after="20"/>
              <w:jc w:val="left"/>
            </w:pPr>
            <w:r>
              <w:rPr>
                <w:rFonts w:ascii="Arial" w:hAnsi="Arial"/>
                <w:sz w:val="20"/>
              </w:rPr>
              <w:t xml:space="preserve">79.9%</w:t>
            </w:r>
          </w:p>
        </w:tc>
        <w:tc>
          <w:tcPr>
            <w:tcW w:type="dxa" w:w="1766"/>
          </w:tcPr>
          <w:p>
            <w:pPr>
              <w:pStyle w:val="Compact"/>
              <w:spacing w:line="240" w:lineRule="auto" w:before="20" w:after="20"/>
              <w:jc w:val="left"/>
            </w:pPr>
            <w:r>
              <w:rPr>
                <w:rFonts w:ascii="Arial" w:hAnsi="Arial"/>
                <w:sz w:val="20"/>
              </w:rPr>
              <w:t xml:space="preserve">0.0%</w:t>
            </w:r>
          </w:p>
        </w:tc>
        <w:tc>
          <w:tcPr>
            <w:tcW w:type="dxa" w:w="3355"/>
          </w:tcPr>
          <w:p>
            <w:pPr>
              <w:pStyle w:val="Compact"/>
              <w:spacing w:line="240" w:lineRule="auto" w:before="20" w:after="20"/>
              <w:jc w:val="left"/>
            </w:pPr>
            <w:r>
              <w:rPr>
                <w:rFonts w:ascii="Arial" w:hAnsi="Arial"/>
                <w:sz w:val="20"/>
              </w:rPr>
              <w:t xml:space="preserve">0.0%</w:t>
            </w:r>
          </w:p>
        </w:tc>
      </w:tr>
      <w:tr>
        <w:tc>
          <w:tcPr>
            <w:tcW w:type="dxa" w:w="2297"/>
          </w:tcPr>
          <w:p>
            <w:pPr>
              <w:pStyle w:val="Compact"/>
              <w:spacing w:line="240" w:lineRule="auto" w:before="20" w:after="20"/>
              <w:jc w:val="left"/>
            </w:pPr>
            <w:r>
              <w:rPr>
                <w:rFonts w:ascii="Arial" w:hAnsi="Arial"/>
                <w:sz w:val="20"/>
              </w:rPr>
              <w:t xml:space="preserve">Cancellation</w:t>
            </w:r>
          </w:p>
        </w:tc>
        <w:tc>
          <w:tcPr>
            <w:tcW w:type="dxa" w:w="2649"/>
          </w:tcPr>
          <w:p>
            <w:pPr>
              <w:pStyle w:val="Compact"/>
              <w:spacing w:line="240" w:lineRule="auto" w:before="20" w:after="20"/>
              <w:jc w:val="left"/>
            </w:pPr>
            <w:r>
              <w:rPr>
                <w:rFonts w:ascii="Arial" w:hAnsi="Arial"/>
                <w:sz w:val="20"/>
              </w:rPr>
              <w:t xml:space="preserve">18.4%</w:t>
            </w:r>
          </w:p>
        </w:tc>
        <w:tc>
          <w:tcPr>
            <w:tcW w:type="dxa" w:w="2297"/>
          </w:tcPr>
          <w:p>
            <w:pPr>
              <w:pStyle w:val="Compact"/>
              <w:spacing w:line="240" w:lineRule="auto" w:before="20" w:after="20"/>
              <w:jc w:val="left"/>
            </w:pPr>
            <w:r>
              <w:rPr>
                <w:rFonts w:ascii="Arial" w:hAnsi="Arial"/>
                <w:sz w:val="20"/>
              </w:rPr>
              <w:t xml:space="preserve">46.6%</w:t>
            </w:r>
          </w:p>
        </w:tc>
        <w:tc>
          <w:tcPr>
            <w:tcW w:type="dxa" w:w="1590"/>
          </w:tcPr>
          <w:p>
            <w:pPr>
              <w:pStyle w:val="Compact"/>
              <w:spacing w:line="240" w:lineRule="auto" w:before="20" w:after="20"/>
              <w:jc w:val="left"/>
            </w:pPr>
            <w:r>
              <w:rPr>
                <w:rFonts w:ascii="Arial" w:hAnsi="Arial"/>
                <w:sz w:val="20"/>
              </w:rPr>
              <w:t xml:space="preserve">30.3%</w:t>
            </w:r>
          </w:p>
        </w:tc>
        <w:tc>
          <w:tcPr>
            <w:tcW w:type="dxa" w:w="1766"/>
          </w:tcPr>
          <w:p>
            <w:pPr>
              <w:pStyle w:val="Compact"/>
              <w:spacing w:line="240" w:lineRule="auto" w:before="20" w:after="20"/>
              <w:jc w:val="left"/>
            </w:pPr>
            <w:r>
              <w:rPr>
                <w:rFonts w:ascii="Arial" w:hAnsi="Arial"/>
                <w:sz w:val="20"/>
              </w:rPr>
              <w:t xml:space="preserve">0.0%</w:t>
            </w:r>
          </w:p>
        </w:tc>
        <w:tc>
          <w:tcPr>
            <w:tcW w:type="dxa" w:w="3355"/>
          </w:tcPr>
          <w:p>
            <w:pPr>
              <w:pStyle w:val="Compact"/>
              <w:spacing w:line="240" w:lineRule="auto" w:before="20" w:after="20"/>
              <w:jc w:val="left"/>
            </w:pPr>
            <w:r>
              <w:rPr>
                <w:rFonts w:ascii="Arial" w:hAnsi="Arial"/>
                <w:sz w:val="20"/>
              </w:rPr>
              <w:t xml:space="preserve">0.0%</w:t>
            </w:r>
          </w:p>
        </w:tc>
      </w:tr>
      <w:tr>
        <w:tc>
          <w:tcPr>
            <w:tcW w:type="dxa" w:w="2297"/>
          </w:tcPr>
          <w:p>
            <w:pPr>
              <w:pStyle w:val="Compact"/>
              <w:spacing w:line="240" w:lineRule="auto" w:before="20" w:after="20"/>
              <w:jc w:val="left"/>
            </w:pPr>
            <w:r>
              <w:rPr>
                <w:rFonts w:ascii="Arial" w:hAnsi="Arial"/>
                <w:sz w:val="20"/>
              </w:rPr>
              <w:t xml:space="preserve">Reversal</w:t>
            </w:r>
          </w:p>
        </w:tc>
        <w:tc>
          <w:tcPr>
            <w:tcW w:type="dxa" w:w="2649"/>
          </w:tcPr>
          <w:p>
            <w:pPr>
              <w:pStyle w:val="Compact"/>
              <w:spacing w:line="240" w:lineRule="auto" w:before="20" w:after="20"/>
              <w:jc w:val="left"/>
            </w:pPr>
            <w:r>
              <w:rPr>
                <w:rFonts w:ascii="Arial" w:hAnsi="Arial"/>
                <w:sz w:val="20"/>
              </w:rPr>
              <w:t xml:space="preserve">84.3%</w:t>
            </w:r>
          </w:p>
        </w:tc>
        <w:tc>
          <w:tcPr>
            <w:tcW w:type="dxa" w:w="2297"/>
          </w:tcPr>
          <w:p>
            <w:pPr>
              <w:pStyle w:val="Compact"/>
              <w:spacing w:line="240" w:lineRule="auto" w:before="20" w:after="20"/>
              <w:jc w:val="left"/>
            </w:pPr>
            <w:r>
              <w:rPr>
                <w:rFonts w:ascii="Arial" w:hAnsi="Arial"/>
                <w:sz w:val="20"/>
              </w:rPr>
              <w:t xml:space="preserve">42.4%</w:t>
            </w:r>
          </w:p>
        </w:tc>
        <w:tc>
          <w:tcPr>
            <w:tcW w:type="dxa" w:w="1590"/>
          </w:tcPr>
          <w:p>
            <w:pPr>
              <w:pStyle w:val="Compact"/>
              <w:spacing w:line="240" w:lineRule="auto" w:before="20" w:after="20"/>
              <w:jc w:val="left"/>
            </w:pPr>
            <w:r>
              <w:rPr>
                <w:rFonts w:ascii="Arial" w:hAnsi="Arial"/>
                <w:sz w:val="20"/>
              </w:rPr>
              <w:t xml:space="preserve">9.5%</w:t>
            </w:r>
          </w:p>
        </w:tc>
        <w:tc>
          <w:tcPr>
            <w:tcW w:type="dxa" w:w="1766"/>
          </w:tcPr>
          <w:p>
            <w:pPr>
              <w:pStyle w:val="Compact"/>
              <w:spacing w:line="240" w:lineRule="auto" w:before="20" w:after="20"/>
              <w:jc w:val="left"/>
            </w:pPr>
            <w:r>
              <w:rPr>
                <w:rFonts w:ascii="Arial" w:hAnsi="Arial"/>
                <w:sz w:val="20"/>
              </w:rPr>
              <w:t xml:space="preserve">100.0%</w:t>
            </w:r>
          </w:p>
        </w:tc>
        <w:tc>
          <w:tcPr>
            <w:tcW w:type="dxa" w:w="3355"/>
          </w:tcPr>
          <w:p>
            <w:pPr>
              <w:pStyle w:val="Compact"/>
              <w:spacing w:line="240" w:lineRule="auto" w:before="20" w:after="20"/>
              <w:jc w:val="left"/>
            </w:pPr>
            <w:r>
              <w:rPr>
                <w:rFonts w:ascii="Arial" w:hAnsi="Arial"/>
                <w:sz w:val="20"/>
              </w:rPr>
              <w:t xml:space="preserve">100.0%</w:t>
            </w:r>
          </w:p>
        </w:tc>
      </w:tr>
    </w:tbl>
    <w:bookmarkEnd w:id="33"/>
    <w:bookmarkStart w:id="34" w:name="X419e3c2d5027d8802bb71f831e3b0ab3d174ebc"/>
    <w:p>
      <w:pPr>
        <w:pStyle w:val="Heading2"/>
      </w:pPr>
      <w:r>
        <w:rPr>
          <w:rFonts w:ascii="Arial" w:hAnsi="Arial" w:eastAsia="Arial" w:cs="Arial"/>
          <w:b/>
          <w:sz w:val="24"/>
        </w:rPr>
        <w:t xml:space="preserve">eTable 15. Baseline characteristics by beta-blocker target-dose strategy (question 1)</w:t>
      </w:r>
    </w:p>
    <w:p>
      <w:pPr>
        <w:pStyle w:val="FirstParagraph"/>
      </w:pPr>
      <w:r>
        <w:t xml:space="preserve">This table reports the baseline characteristics of the question-1 cohort; the question-2 counterpart is eTable 7.</w:t>
      </w:r>
    </w:p>
    <w:p>
      <w:pPr>
        <w:pStyle w:val="TableCaption"/>
      </w:pPr>
      <w:r>
        <w:t xml:space="preserve">eTable 15. Baseline characteristics of the 14,677 eligible patients by treatment strategy (beta-blocker target-dose question). Values are mean (SD) for continuous variables and No. (%) for categorical variables. SMD is the absolute standardized mean difference between strategies; the IPTW-adjusted SMD uses a stabilized inverse-probability weight from a 16-variable propensity model. Of 16 baseline variables, 13 exceeded the conventional imbalance threshold of 0.10 (mean absolute SMD 0.125, maximum 0.199), indicating that the two strategies differed systematically at baseline even under the target trial framework. The two strategy groups comprise 1,772 patients who achieved at least 50% of the guideline-recommended beta-blocker target dose and 12,905 patients who did not.</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Caption w:val="eTable 15. Baseline characteristics of the 14,677 eligible patients by treatment strategy (beta-blocker target-dose question). Values are mean (SD) for continuous variables and No. (%) for categorical variables. SMD is the absolute standardized mean difference between strategies; the IPTW-adjusted SMD uses a stabilized inverse-probability weight from a 16-variable propensity model. Of 16 baseline variables, 13 exceeded the conventional imbalance threshold of 0.10 (mean absolute SMD 0.125, maximum 0.199), indicating that the two strategies differed systematically at baseline even under the target trial framework. The two strategy groups comprise 1,772 patients who achieved at least 50% of the guideline-recommended beta-blocker target dose and 12,905 patients who did not."/>
      </w:tblPr>
      <w:tblGrid>
        <w:gridCol w:w="3766"/>
        <w:gridCol w:w="1440"/>
        <w:gridCol w:w="2880"/>
        <w:gridCol w:w="2215"/>
        <w:gridCol w:w="1660"/>
        <w:gridCol w:w="1993"/>
      </w:tblGrid>
      <w:tr>
        <w:trPr>
          <w:tblHeader w:val="on"/>
        </w:trPr>
        <w:tc>
          <w:tcPr>
            <w:tcW w:type="dxa" w:w="3766"/>
          </w:tcPr>
          <w:p>
            <w:pPr>
              <w:pStyle w:val="Compact"/>
              <w:spacing w:line="240" w:lineRule="auto" w:before="20" w:after="20"/>
              <w:jc w:val="left"/>
            </w:pPr>
            <w:r>
              <w:rPr>
                <w:rFonts w:ascii="Arial" w:hAnsi="Arial"/>
                <w:sz w:val="20"/>
              </w:rPr>
              <w:t xml:space="preserve">Characteristic</w:t>
            </w:r>
          </w:p>
        </w:tc>
        <w:tc>
          <w:tcPr>
            <w:tcW w:type="dxa" w:w="1440"/>
          </w:tcPr>
          <w:p>
            <w:pPr>
              <w:pStyle w:val="Compact"/>
              <w:spacing w:line="240" w:lineRule="auto" w:before="20" w:after="20"/>
              <w:jc w:val="left"/>
            </w:pPr>
            <w:r>
              <w:rPr>
                <w:rFonts w:ascii="Arial" w:hAnsi="Arial"/>
                <w:sz w:val="20"/>
              </w:rPr>
              <w:t xml:space="preserve">Overall</w:t>
            </w:r>
          </w:p>
        </w:tc>
        <w:tc>
          <w:tcPr>
            <w:tcW w:type="dxa" w:w="2880"/>
          </w:tcPr>
          <w:p>
            <w:pPr>
              <w:pStyle w:val="Compact"/>
              <w:spacing w:line="240" w:lineRule="auto" w:before="20" w:after="20"/>
              <w:jc w:val="left"/>
            </w:pPr>
            <w:r>
              <w:rPr>
                <w:rFonts w:ascii="Arial" w:hAnsi="Arial"/>
                <w:sz w:val="20"/>
              </w:rPr>
              <w:t xml:space="preserve">Achieved ≥50% target dose</w:t>
            </w:r>
          </w:p>
        </w:tc>
        <w:tc>
          <w:tcPr>
            <w:tcW w:type="dxa" w:w="2215"/>
          </w:tcPr>
          <w:p>
            <w:pPr>
              <w:pStyle w:val="Compact"/>
              <w:spacing w:line="240" w:lineRule="auto" w:before="20" w:after="20"/>
              <w:jc w:val="left"/>
            </w:pPr>
            <w:r>
              <w:rPr>
                <w:rFonts w:ascii="Arial" w:hAnsi="Arial"/>
                <w:sz w:val="20"/>
              </w:rPr>
              <w:t xml:space="preserve">Did not achieve 50%</w:t>
            </w:r>
          </w:p>
        </w:tc>
        <w:tc>
          <w:tcPr>
            <w:tcW w:type="dxa" w:w="1660"/>
          </w:tcPr>
          <w:p>
            <w:pPr>
              <w:pStyle w:val="Compact"/>
              <w:spacing w:line="240" w:lineRule="auto" w:before="20" w:after="20"/>
              <w:jc w:val="left"/>
            </w:pPr>
            <w:r>
              <w:rPr>
                <w:rFonts w:ascii="Arial" w:hAnsi="Arial"/>
                <w:sz w:val="20"/>
              </w:rPr>
              <w:t xml:space="preserve">Unadjusted SMD</w:t>
            </w:r>
          </w:p>
        </w:tc>
        <w:tc>
          <w:tcPr>
            <w:tcW w:type="dxa" w:w="1993"/>
          </w:tcPr>
          <w:p>
            <w:pPr>
              <w:pStyle w:val="Compact"/>
              <w:spacing w:line="240" w:lineRule="auto" w:before="20" w:after="20"/>
              <w:jc w:val="left"/>
            </w:pPr>
            <w:r>
              <w:rPr>
                <w:rFonts w:ascii="Arial" w:hAnsi="Arial"/>
                <w:sz w:val="20"/>
              </w:rPr>
              <w:t xml:space="preserve">IPTW-adjusted SMD</w:t>
            </w:r>
          </w:p>
        </w:tc>
      </w:tr>
      <w:tr>
        <w:tc>
          <w:tcPr>
            <w:tcW w:type="dxa" w:w="3766"/>
          </w:tcPr>
          <w:p>
            <w:pPr>
              <w:pStyle w:val="Compact"/>
              <w:spacing w:line="240" w:lineRule="auto" w:before="20" w:after="20"/>
              <w:jc w:val="left"/>
            </w:pPr>
            <w:r>
              <w:rPr>
                <w:rFonts w:ascii="Arial" w:hAnsi="Arial"/>
                <w:sz w:val="20"/>
              </w:rPr>
              <w:t xml:space="preserve">Demographics</w:t>
            </w:r>
          </w:p>
        </w:tc>
        <w:tc>
          <w:tcPr>
            <w:tcW w:type="dxa" w:w="1440"/>
          </w:tcPr>
          <w:p>
            <w:pPr>
              <w:rPr>
                <w:sz w:val="20"/>
              </w:rPr>
              <w:pStyle w:val="Compact"/>
              <w:spacing w:line="240" w:lineRule="auto" w:before="20" w:after="20"/>
            </w:pPr>
          </w:p>
        </w:tc>
        <w:tc>
          <w:tcPr>
            <w:tcW w:type="dxa" w:w="2880"/>
          </w:tcPr>
          <w:p>
            <w:pPr>
              <w:rPr>
                <w:sz w:val="20"/>
              </w:rPr>
              <w:pStyle w:val="Compact"/>
              <w:spacing w:line="240" w:lineRule="auto" w:before="20" w:after="20"/>
            </w:pPr>
          </w:p>
        </w:tc>
        <w:tc>
          <w:tcPr>
            <w:tcW w:type="dxa" w:w="2215"/>
          </w:tcPr>
          <w:p>
            <w:pPr>
              <w:rPr>
                <w:sz w:val="20"/>
              </w:rPr>
              <w:pStyle w:val="Compact"/>
              <w:spacing w:line="240" w:lineRule="auto" w:before="20" w:after="20"/>
            </w:pPr>
          </w:p>
        </w:tc>
        <w:tc>
          <w:tcPr>
            <w:tcW w:type="dxa" w:w="1660"/>
          </w:tcPr>
          <w:p>
            <w:pPr>
              <w:rPr>
                <w:sz w:val="20"/>
              </w:rPr>
              <w:pStyle w:val="Compact"/>
              <w:spacing w:line="240" w:lineRule="auto" w:before="20" w:after="20"/>
            </w:pPr>
          </w:p>
        </w:tc>
        <w:tc>
          <w:tcPr>
            <w:tcW w:type="dxa" w:w="1993"/>
          </w:tcPr>
          <w:p>
            <w:pPr>
              <w:rPr>
                <w:sz w:val="20"/>
              </w:rPr>
              <w:pStyle w:val="Compact"/>
              <w:spacing w:line="240" w:lineRule="auto" w:before="20" w:after="20"/>
            </w:pPr>
          </w:p>
        </w:tc>
      </w:tr>
      <w:tr>
        <w:tc>
          <w:tcPr>
            <w:tcW w:type="dxa" w:w="3766"/>
          </w:tcPr>
          <w:p>
            <w:pPr>
              <w:pStyle w:val="Compact"/>
              <w:spacing w:line="240" w:lineRule="auto" w:before="20" w:after="20"/>
              <w:jc w:val="left"/>
            </w:pPr>
            <w:r>
              <w:rPr>
                <w:rFonts w:ascii="Arial" w:hAnsi="Arial"/>
                <w:sz w:val="20"/>
              </w:rPr>
              <w:t xml:space="preserve">Age, mean (SD), y</w:t>
            </w:r>
          </w:p>
        </w:tc>
        <w:tc>
          <w:tcPr>
            <w:tcW w:type="dxa" w:w="1440"/>
          </w:tcPr>
          <w:p>
            <w:pPr>
              <w:pStyle w:val="Compact"/>
              <w:spacing w:line="240" w:lineRule="auto" w:before="20" w:after="20"/>
              <w:jc w:val="left"/>
            </w:pPr>
            <w:r>
              <w:rPr>
                <w:rFonts w:ascii="Arial" w:hAnsi="Arial"/>
                <w:sz w:val="20"/>
              </w:rPr>
              <w:t xml:space="preserve">71.3 (13.6)</w:t>
            </w:r>
          </w:p>
        </w:tc>
        <w:tc>
          <w:tcPr>
            <w:tcW w:type="dxa" w:w="2880"/>
          </w:tcPr>
          <w:p>
            <w:pPr>
              <w:pStyle w:val="Compact"/>
              <w:spacing w:line="240" w:lineRule="auto" w:before="20" w:after="20"/>
              <w:jc w:val="left"/>
            </w:pPr>
            <w:r>
              <w:rPr>
                <w:rFonts w:ascii="Arial" w:hAnsi="Arial"/>
                <w:sz w:val="20"/>
              </w:rPr>
              <w:t xml:space="preserve">70.0 (12.9)</w:t>
            </w:r>
          </w:p>
        </w:tc>
        <w:tc>
          <w:tcPr>
            <w:tcW w:type="dxa" w:w="2215"/>
          </w:tcPr>
          <w:p>
            <w:pPr>
              <w:pStyle w:val="Compact"/>
              <w:spacing w:line="240" w:lineRule="auto" w:before="20" w:after="20"/>
              <w:jc w:val="left"/>
            </w:pPr>
            <w:r>
              <w:rPr>
                <w:rFonts w:ascii="Arial" w:hAnsi="Arial"/>
                <w:sz w:val="20"/>
              </w:rPr>
              <w:t xml:space="preserve">71.4 (13.6)</w:t>
            </w:r>
          </w:p>
        </w:tc>
        <w:tc>
          <w:tcPr>
            <w:tcW w:type="dxa" w:w="1660"/>
          </w:tcPr>
          <w:p>
            <w:pPr>
              <w:pStyle w:val="Compact"/>
              <w:spacing w:line="240" w:lineRule="auto" w:before="20" w:after="20"/>
              <w:jc w:val="left"/>
            </w:pPr>
            <w:r>
              <w:rPr>
                <w:rFonts w:ascii="Arial" w:hAnsi="Arial"/>
                <w:sz w:val="20"/>
              </w:rPr>
              <w:t xml:space="preserve">0.106</w:t>
            </w:r>
          </w:p>
        </w:tc>
        <w:tc>
          <w:tcPr>
            <w:tcW w:type="dxa" w:w="1993"/>
          </w:tcPr>
          <w:p>
            <w:pPr>
              <w:pStyle w:val="Compact"/>
              <w:spacing w:line="240" w:lineRule="auto" w:before="20" w:after="20"/>
              <w:jc w:val="left"/>
            </w:pPr>
            <w:r>
              <w:rPr>
                <w:rFonts w:ascii="Arial" w:hAnsi="Arial"/>
                <w:sz w:val="20"/>
              </w:rPr>
              <w:t xml:space="preserve">0.004</w:t>
            </w:r>
          </w:p>
        </w:tc>
      </w:tr>
      <w:tr>
        <w:tc>
          <w:tcPr>
            <w:tcW w:type="dxa" w:w="3766"/>
          </w:tcPr>
          <w:p>
            <w:pPr>
              <w:pStyle w:val="Compact"/>
              <w:spacing w:line="240" w:lineRule="auto" w:before="20" w:after="20"/>
              <w:jc w:val="left"/>
            </w:pPr>
            <w:r>
              <w:rPr>
                <w:rFonts w:ascii="Arial" w:hAnsi="Arial"/>
                <w:sz w:val="20"/>
              </w:rPr>
              <w:t xml:space="preserve">Female, No. (%)</w:t>
            </w:r>
          </w:p>
        </w:tc>
        <w:tc>
          <w:tcPr>
            <w:tcW w:type="dxa" w:w="1440"/>
          </w:tcPr>
          <w:p>
            <w:pPr>
              <w:pStyle w:val="Compact"/>
              <w:spacing w:line="240" w:lineRule="auto" w:before="20" w:after="20"/>
              <w:jc w:val="left"/>
            </w:pPr>
            <w:r>
              <w:rPr>
                <w:rFonts w:ascii="Arial" w:hAnsi="Arial"/>
                <w:sz w:val="20"/>
              </w:rPr>
              <w:t xml:space="preserve">6702 (45.7)</w:t>
            </w:r>
          </w:p>
        </w:tc>
        <w:tc>
          <w:tcPr>
            <w:tcW w:type="dxa" w:w="2880"/>
          </w:tcPr>
          <w:p>
            <w:pPr>
              <w:pStyle w:val="Compact"/>
              <w:spacing w:line="240" w:lineRule="auto" w:before="20" w:after="20"/>
              <w:jc w:val="left"/>
            </w:pPr>
            <w:r>
              <w:rPr>
                <w:rFonts w:ascii="Arial" w:hAnsi="Arial"/>
                <w:sz w:val="20"/>
              </w:rPr>
              <w:t xml:space="preserve">702 (39.6)</w:t>
            </w:r>
          </w:p>
        </w:tc>
        <w:tc>
          <w:tcPr>
            <w:tcW w:type="dxa" w:w="2215"/>
          </w:tcPr>
          <w:p>
            <w:pPr>
              <w:pStyle w:val="Compact"/>
              <w:spacing w:line="240" w:lineRule="auto" w:before="20" w:after="20"/>
              <w:jc w:val="left"/>
            </w:pPr>
            <w:r>
              <w:rPr>
                <w:rFonts w:ascii="Arial" w:hAnsi="Arial"/>
                <w:sz w:val="20"/>
              </w:rPr>
              <w:t xml:space="preserve">6000 (46.5)</w:t>
            </w:r>
          </w:p>
        </w:tc>
        <w:tc>
          <w:tcPr>
            <w:tcW w:type="dxa" w:w="1660"/>
          </w:tcPr>
          <w:p>
            <w:pPr>
              <w:pStyle w:val="Compact"/>
              <w:spacing w:line="240" w:lineRule="auto" w:before="20" w:after="20"/>
              <w:jc w:val="left"/>
            </w:pPr>
            <w:r>
              <w:rPr>
                <w:rFonts w:ascii="Arial" w:hAnsi="Arial"/>
                <w:sz w:val="20"/>
              </w:rPr>
              <w:t xml:space="preserve">0.139</w:t>
            </w:r>
          </w:p>
        </w:tc>
        <w:tc>
          <w:tcPr>
            <w:tcW w:type="dxa" w:w="1993"/>
          </w:tcPr>
          <w:p>
            <w:pPr>
              <w:pStyle w:val="Compact"/>
              <w:spacing w:line="240" w:lineRule="auto" w:before="20" w:after="20"/>
              <w:jc w:val="left"/>
            </w:pPr>
            <w:r>
              <w:rPr>
                <w:rFonts w:ascii="Arial" w:hAnsi="Arial"/>
                <w:sz w:val="20"/>
              </w:rPr>
              <w:t xml:space="preserve">-0.012</w:t>
            </w:r>
          </w:p>
        </w:tc>
      </w:tr>
      <w:tr>
        <w:tc>
          <w:tcPr>
            <w:tcW w:type="dxa" w:w="3766"/>
          </w:tcPr>
          <w:p>
            <w:pPr>
              <w:pStyle w:val="Compact"/>
              <w:spacing w:line="240" w:lineRule="auto" w:before="20" w:after="20"/>
              <w:jc w:val="left"/>
            </w:pPr>
            <w:r>
              <w:rPr>
                <w:rFonts w:ascii="Arial" w:hAnsi="Arial"/>
                <w:sz w:val="20"/>
              </w:rPr>
              <w:t xml:space="preserve">Age ≥75 y, No. (%)</w:t>
            </w:r>
          </w:p>
        </w:tc>
        <w:tc>
          <w:tcPr>
            <w:tcW w:type="dxa" w:w="1440"/>
          </w:tcPr>
          <w:p>
            <w:pPr>
              <w:pStyle w:val="Compact"/>
              <w:spacing w:line="240" w:lineRule="auto" w:before="20" w:after="20"/>
              <w:jc w:val="left"/>
            </w:pPr>
            <w:r>
              <w:rPr>
                <w:rFonts w:ascii="Arial" w:hAnsi="Arial"/>
                <w:sz w:val="20"/>
              </w:rPr>
              <w:t xml:space="preserve">6679 (45.5)</w:t>
            </w:r>
          </w:p>
        </w:tc>
        <w:tc>
          <w:tcPr>
            <w:tcW w:type="dxa" w:w="2880"/>
          </w:tcPr>
          <w:p>
            <w:pPr>
              <w:pStyle w:val="Compact"/>
              <w:spacing w:line="240" w:lineRule="auto" w:before="20" w:after="20"/>
              <w:jc w:val="left"/>
            </w:pPr>
            <w:r>
              <w:rPr>
                <w:rFonts w:ascii="Arial" w:hAnsi="Arial"/>
                <w:sz w:val="20"/>
              </w:rPr>
              <w:t xml:space="preserve">719 (40.6)</w:t>
            </w:r>
          </w:p>
        </w:tc>
        <w:tc>
          <w:tcPr>
            <w:tcW w:type="dxa" w:w="2215"/>
          </w:tcPr>
          <w:p>
            <w:pPr>
              <w:pStyle w:val="Compact"/>
              <w:spacing w:line="240" w:lineRule="auto" w:before="20" w:after="20"/>
              <w:jc w:val="left"/>
            </w:pPr>
            <w:r>
              <w:rPr>
                <w:rFonts w:ascii="Arial" w:hAnsi="Arial"/>
                <w:sz w:val="20"/>
              </w:rPr>
              <w:t xml:space="preserve">5960 (46.2)</w:t>
            </w:r>
          </w:p>
        </w:tc>
        <w:tc>
          <w:tcPr>
            <w:tcW w:type="dxa" w:w="1660"/>
          </w:tcPr>
          <w:p>
            <w:pPr>
              <w:pStyle w:val="Compact"/>
              <w:spacing w:line="240" w:lineRule="auto" w:before="20" w:after="20"/>
              <w:jc w:val="left"/>
            </w:pPr>
            <w:r>
              <w:rPr>
                <w:rFonts w:ascii="Arial" w:hAnsi="Arial"/>
                <w:sz w:val="20"/>
              </w:rPr>
              <w:t xml:space="preserve">0.113</w:t>
            </w:r>
          </w:p>
        </w:tc>
        <w:tc>
          <w:tcPr>
            <w:tcW w:type="dxa" w:w="1993"/>
          </w:tcPr>
          <w:p>
            <w:pPr>
              <w:pStyle w:val="Compact"/>
              <w:spacing w:line="240" w:lineRule="auto" w:before="20" w:after="20"/>
              <w:jc w:val="left"/>
            </w:pPr>
            <w:r>
              <w:rPr>
                <w:rFonts w:ascii="Arial" w:hAnsi="Arial"/>
                <w:sz w:val="20"/>
              </w:rPr>
              <w:t xml:space="preserve">0.011</w:t>
            </w:r>
          </w:p>
        </w:tc>
      </w:tr>
      <w:tr>
        <w:tc>
          <w:tcPr>
            <w:tcW w:type="dxa" w:w="3766"/>
          </w:tcPr>
          <w:p>
            <w:pPr>
              <w:pStyle w:val="Compact"/>
              <w:spacing w:line="240" w:lineRule="auto" w:before="20" w:after="20"/>
              <w:jc w:val="left"/>
            </w:pPr>
            <w:r>
              <w:rPr>
                <w:rFonts w:ascii="Arial" w:hAnsi="Arial"/>
                <w:sz w:val="20"/>
              </w:rPr>
              <w:t xml:space="preserve">Electrocardiographic</w:t>
            </w:r>
          </w:p>
        </w:tc>
        <w:tc>
          <w:tcPr>
            <w:tcW w:type="dxa" w:w="1440"/>
          </w:tcPr>
          <w:p>
            <w:pPr>
              <w:rPr>
                <w:sz w:val="20"/>
              </w:rPr>
              <w:pStyle w:val="Compact"/>
              <w:spacing w:line="240" w:lineRule="auto" w:before="20" w:after="20"/>
            </w:pPr>
          </w:p>
        </w:tc>
        <w:tc>
          <w:tcPr>
            <w:tcW w:type="dxa" w:w="2880"/>
          </w:tcPr>
          <w:p>
            <w:pPr>
              <w:rPr>
                <w:sz w:val="20"/>
              </w:rPr>
              <w:pStyle w:val="Compact"/>
              <w:spacing w:line="240" w:lineRule="auto" w:before="20" w:after="20"/>
            </w:pPr>
          </w:p>
        </w:tc>
        <w:tc>
          <w:tcPr>
            <w:tcW w:type="dxa" w:w="2215"/>
          </w:tcPr>
          <w:p>
            <w:pPr>
              <w:rPr>
                <w:sz w:val="20"/>
              </w:rPr>
              <w:pStyle w:val="Compact"/>
              <w:spacing w:line="240" w:lineRule="auto" w:before="20" w:after="20"/>
            </w:pPr>
          </w:p>
        </w:tc>
        <w:tc>
          <w:tcPr>
            <w:tcW w:type="dxa" w:w="1660"/>
          </w:tcPr>
          <w:p>
            <w:pPr>
              <w:rPr>
                <w:sz w:val="20"/>
              </w:rPr>
              <w:pStyle w:val="Compact"/>
              <w:spacing w:line="240" w:lineRule="auto" w:before="20" w:after="20"/>
            </w:pPr>
          </w:p>
        </w:tc>
        <w:tc>
          <w:tcPr>
            <w:tcW w:type="dxa" w:w="1993"/>
          </w:tcPr>
          <w:p>
            <w:pPr>
              <w:rPr>
                <w:sz w:val="20"/>
              </w:rPr>
              <w:pStyle w:val="Compact"/>
              <w:spacing w:line="240" w:lineRule="auto" w:before="20" w:after="20"/>
            </w:pPr>
          </w:p>
        </w:tc>
      </w:tr>
      <w:tr>
        <w:tc>
          <w:tcPr>
            <w:tcW w:type="dxa" w:w="3766"/>
          </w:tcPr>
          <w:p>
            <w:pPr>
              <w:pStyle w:val="Compact"/>
              <w:spacing w:line="240" w:lineRule="auto" w:before="20" w:after="20"/>
              <w:jc w:val="left"/>
            </w:pPr>
            <w:r>
              <w:rPr>
                <w:rFonts w:ascii="Arial" w:hAnsi="Arial"/>
                <w:sz w:val="20"/>
              </w:rPr>
              <w:t xml:space="preserve">Heart rate, mean (SD), bpm</w:t>
            </w:r>
          </w:p>
        </w:tc>
        <w:tc>
          <w:tcPr>
            <w:tcW w:type="dxa" w:w="1440"/>
          </w:tcPr>
          <w:p>
            <w:pPr>
              <w:pStyle w:val="Compact"/>
              <w:spacing w:line="240" w:lineRule="auto" w:before="20" w:after="20"/>
              <w:jc w:val="left"/>
            </w:pPr>
            <w:r>
              <w:rPr>
                <w:rFonts w:ascii="Arial" w:hAnsi="Arial"/>
                <w:sz w:val="20"/>
              </w:rPr>
              <w:t xml:space="preserve">79.9 (18.2)</w:t>
            </w:r>
          </w:p>
        </w:tc>
        <w:tc>
          <w:tcPr>
            <w:tcW w:type="dxa" w:w="2880"/>
          </w:tcPr>
          <w:p>
            <w:pPr>
              <w:pStyle w:val="Compact"/>
              <w:spacing w:line="240" w:lineRule="auto" w:before="20" w:after="20"/>
              <w:jc w:val="left"/>
            </w:pPr>
            <w:r>
              <w:rPr>
                <w:rFonts w:ascii="Arial" w:hAnsi="Arial"/>
                <w:sz w:val="20"/>
              </w:rPr>
              <w:t xml:space="preserve">81.5 (17.9)</w:t>
            </w:r>
          </w:p>
        </w:tc>
        <w:tc>
          <w:tcPr>
            <w:tcW w:type="dxa" w:w="2215"/>
          </w:tcPr>
          <w:p>
            <w:pPr>
              <w:pStyle w:val="Compact"/>
              <w:spacing w:line="240" w:lineRule="auto" w:before="20" w:after="20"/>
              <w:jc w:val="left"/>
            </w:pPr>
            <w:r>
              <w:rPr>
                <w:rFonts w:ascii="Arial" w:hAnsi="Arial"/>
                <w:sz w:val="20"/>
              </w:rPr>
              <w:t xml:space="preserve">79.7 (18.2)</w:t>
            </w:r>
          </w:p>
        </w:tc>
        <w:tc>
          <w:tcPr>
            <w:tcW w:type="dxa" w:w="1660"/>
          </w:tcPr>
          <w:p>
            <w:pPr>
              <w:pStyle w:val="Compact"/>
              <w:spacing w:line="240" w:lineRule="auto" w:before="20" w:after="20"/>
              <w:jc w:val="left"/>
            </w:pPr>
            <w:r>
              <w:rPr>
                <w:rFonts w:ascii="Arial" w:hAnsi="Arial"/>
                <w:sz w:val="20"/>
              </w:rPr>
              <w:t xml:space="preserve">0.103</w:t>
            </w:r>
          </w:p>
        </w:tc>
        <w:tc>
          <w:tcPr>
            <w:tcW w:type="dxa" w:w="1993"/>
          </w:tcPr>
          <w:p>
            <w:pPr>
              <w:pStyle w:val="Compact"/>
              <w:spacing w:line="240" w:lineRule="auto" w:before="20" w:after="20"/>
              <w:jc w:val="left"/>
            </w:pPr>
            <w:r>
              <w:rPr>
                <w:rFonts w:ascii="Arial" w:hAnsi="Arial"/>
                <w:sz w:val="20"/>
              </w:rPr>
              <w:t xml:space="preserve">0.003</w:t>
            </w:r>
          </w:p>
        </w:tc>
      </w:tr>
      <w:tr>
        <w:tc>
          <w:tcPr>
            <w:tcW w:type="dxa" w:w="3766"/>
          </w:tcPr>
          <w:p>
            <w:pPr>
              <w:pStyle w:val="Compact"/>
              <w:spacing w:line="240" w:lineRule="auto" w:before="20" w:after="20"/>
              <w:jc w:val="left"/>
            </w:pPr>
            <w:r>
              <w:rPr>
                <w:rFonts w:ascii="Arial" w:hAnsi="Arial"/>
                <w:sz w:val="20"/>
              </w:rPr>
              <w:t xml:space="preserve">QRS duration, mean (SD), ms</w:t>
            </w:r>
          </w:p>
        </w:tc>
        <w:tc>
          <w:tcPr>
            <w:tcW w:type="dxa" w:w="1440"/>
          </w:tcPr>
          <w:p>
            <w:pPr>
              <w:pStyle w:val="Compact"/>
              <w:spacing w:line="240" w:lineRule="auto" w:before="20" w:after="20"/>
              <w:jc w:val="left"/>
            </w:pPr>
            <w:r>
              <w:rPr>
                <w:rFonts w:ascii="Arial" w:hAnsi="Arial"/>
                <w:sz w:val="20"/>
              </w:rPr>
              <w:t xml:space="preserve">106.7 (25.6)</w:t>
            </w:r>
          </w:p>
        </w:tc>
        <w:tc>
          <w:tcPr>
            <w:tcW w:type="dxa" w:w="2880"/>
          </w:tcPr>
          <w:p>
            <w:pPr>
              <w:pStyle w:val="Compact"/>
              <w:spacing w:line="240" w:lineRule="auto" w:before="20" w:after="20"/>
              <w:jc w:val="left"/>
            </w:pPr>
            <w:r>
              <w:rPr>
                <w:rFonts w:ascii="Arial" w:hAnsi="Arial"/>
                <w:sz w:val="20"/>
              </w:rPr>
              <w:t xml:space="preserve">108.9 (26.2)</w:t>
            </w:r>
          </w:p>
        </w:tc>
        <w:tc>
          <w:tcPr>
            <w:tcW w:type="dxa" w:w="2215"/>
          </w:tcPr>
          <w:p>
            <w:pPr>
              <w:pStyle w:val="Compact"/>
              <w:spacing w:line="240" w:lineRule="auto" w:before="20" w:after="20"/>
              <w:jc w:val="left"/>
            </w:pPr>
            <w:r>
              <w:rPr>
                <w:rFonts w:ascii="Arial" w:hAnsi="Arial"/>
                <w:sz w:val="20"/>
              </w:rPr>
              <w:t xml:space="preserve">106.4 (25.5)</w:t>
            </w:r>
          </w:p>
        </w:tc>
        <w:tc>
          <w:tcPr>
            <w:tcW w:type="dxa" w:w="1660"/>
          </w:tcPr>
          <w:p>
            <w:pPr>
              <w:pStyle w:val="Compact"/>
              <w:spacing w:line="240" w:lineRule="auto" w:before="20" w:after="20"/>
              <w:jc w:val="left"/>
            </w:pPr>
            <w:r>
              <w:rPr>
                <w:rFonts w:ascii="Arial" w:hAnsi="Arial"/>
                <w:sz w:val="20"/>
              </w:rPr>
              <w:t xml:space="preserve">0.096</w:t>
            </w:r>
          </w:p>
        </w:tc>
        <w:tc>
          <w:tcPr>
            <w:tcW w:type="dxa" w:w="1993"/>
          </w:tcPr>
          <w:p>
            <w:pPr>
              <w:pStyle w:val="Compact"/>
              <w:spacing w:line="240" w:lineRule="auto" w:before="20" w:after="20"/>
              <w:jc w:val="left"/>
            </w:pPr>
            <w:r>
              <w:rPr>
                <w:rFonts w:ascii="Arial" w:hAnsi="Arial"/>
                <w:sz w:val="20"/>
              </w:rPr>
              <w:t xml:space="preserve">0.012</w:t>
            </w:r>
          </w:p>
        </w:tc>
      </w:tr>
      <w:tr>
        <w:tc>
          <w:tcPr>
            <w:tcW w:type="dxa" w:w="3766"/>
          </w:tcPr>
          <w:p>
            <w:pPr>
              <w:pStyle w:val="Compact"/>
              <w:spacing w:line="240" w:lineRule="auto" w:before="20" w:after="20"/>
              <w:jc w:val="left"/>
            </w:pPr>
            <w:r>
              <w:rPr>
                <w:rFonts w:ascii="Arial" w:hAnsi="Arial"/>
                <w:sz w:val="20"/>
              </w:rPr>
              <w:t xml:space="preserve">QTc interval, mean (SD), ms</w:t>
            </w:r>
          </w:p>
        </w:tc>
        <w:tc>
          <w:tcPr>
            <w:tcW w:type="dxa" w:w="1440"/>
          </w:tcPr>
          <w:p>
            <w:pPr>
              <w:pStyle w:val="Compact"/>
              <w:spacing w:line="240" w:lineRule="auto" w:before="20" w:after="20"/>
              <w:jc w:val="left"/>
            </w:pPr>
            <w:r>
              <w:rPr>
                <w:rFonts w:ascii="Arial" w:hAnsi="Arial"/>
                <w:sz w:val="20"/>
              </w:rPr>
              <w:t xml:space="preserve">458.7 (29.6)</w:t>
            </w:r>
          </w:p>
        </w:tc>
        <w:tc>
          <w:tcPr>
            <w:tcW w:type="dxa" w:w="2880"/>
          </w:tcPr>
          <w:p>
            <w:pPr>
              <w:pStyle w:val="Compact"/>
              <w:spacing w:line="240" w:lineRule="auto" w:before="20" w:after="20"/>
              <w:jc w:val="left"/>
            </w:pPr>
            <w:r>
              <w:rPr>
                <w:rFonts w:ascii="Arial" w:hAnsi="Arial"/>
                <w:sz w:val="20"/>
              </w:rPr>
              <w:t xml:space="preserve">463.5 (28.2)</w:t>
            </w:r>
          </w:p>
        </w:tc>
        <w:tc>
          <w:tcPr>
            <w:tcW w:type="dxa" w:w="2215"/>
          </w:tcPr>
          <w:p>
            <w:pPr>
              <w:pStyle w:val="Compact"/>
              <w:spacing w:line="240" w:lineRule="auto" w:before="20" w:after="20"/>
              <w:jc w:val="left"/>
            </w:pPr>
            <w:r>
              <w:rPr>
                <w:rFonts w:ascii="Arial" w:hAnsi="Arial"/>
                <w:sz w:val="20"/>
              </w:rPr>
              <w:t xml:space="preserve">458.1 (29.7)</w:t>
            </w:r>
          </w:p>
        </w:tc>
        <w:tc>
          <w:tcPr>
            <w:tcW w:type="dxa" w:w="1660"/>
          </w:tcPr>
          <w:p>
            <w:pPr>
              <w:pStyle w:val="Compact"/>
              <w:spacing w:line="240" w:lineRule="auto" w:before="20" w:after="20"/>
              <w:jc w:val="left"/>
            </w:pPr>
            <w:r>
              <w:rPr>
                <w:rFonts w:ascii="Arial" w:hAnsi="Arial"/>
                <w:sz w:val="20"/>
              </w:rPr>
              <w:t xml:space="preserve">0.189</w:t>
            </w:r>
          </w:p>
        </w:tc>
        <w:tc>
          <w:tcPr>
            <w:tcW w:type="dxa" w:w="1993"/>
          </w:tcPr>
          <w:p>
            <w:pPr>
              <w:pStyle w:val="Compact"/>
              <w:spacing w:line="240" w:lineRule="auto" w:before="20" w:after="20"/>
              <w:jc w:val="left"/>
            </w:pPr>
            <w:r>
              <w:rPr>
                <w:rFonts w:ascii="Arial" w:hAnsi="Arial"/>
                <w:sz w:val="20"/>
              </w:rPr>
              <w:t xml:space="preserve">0.005</w:t>
            </w:r>
          </w:p>
        </w:tc>
      </w:tr>
      <w:tr>
        <w:tc>
          <w:tcPr>
            <w:tcW w:type="dxa" w:w="3766"/>
          </w:tcPr>
          <w:p>
            <w:pPr>
              <w:pStyle w:val="Compact"/>
              <w:spacing w:line="240" w:lineRule="auto" w:before="20" w:after="20"/>
              <w:jc w:val="left"/>
            </w:pPr>
            <w:r>
              <w:rPr>
                <w:rFonts w:ascii="Arial" w:hAnsi="Arial"/>
                <w:sz w:val="20"/>
              </w:rPr>
              <w:t xml:space="preserve">Atrial fibrillation, No. (%)</w:t>
            </w:r>
          </w:p>
        </w:tc>
        <w:tc>
          <w:tcPr>
            <w:tcW w:type="dxa" w:w="1440"/>
          </w:tcPr>
          <w:p>
            <w:pPr>
              <w:pStyle w:val="Compact"/>
              <w:spacing w:line="240" w:lineRule="auto" w:before="20" w:after="20"/>
              <w:jc w:val="left"/>
            </w:pPr>
            <w:r>
              <w:rPr>
                <w:rFonts w:ascii="Arial" w:hAnsi="Arial"/>
                <w:sz w:val="20"/>
              </w:rPr>
              <w:t xml:space="preserve">4836 (32.9)</w:t>
            </w:r>
          </w:p>
        </w:tc>
        <w:tc>
          <w:tcPr>
            <w:tcW w:type="dxa" w:w="2880"/>
          </w:tcPr>
          <w:p>
            <w:pPr>
              <w:pStyle w:val="Compact"/>
              <w:spacing w:line="240" w:lineRule="auto" w:before="20" w:after="20"/>
              <w:jc w:val="left"/>
            </w:pPr>
            <w:r>
              <w:rPr>
                <w:rFonts w:ascii="Arial" w:hAnsi="Arial"/>
                <w:sz w:val="20"/>
              </w:rPr>
              <w:t xml:space="preserve">684 (38.6)</w:t>
            </w:r>
          </w:p>
        </w:tc>
        <w:tc>
          <w:tcPr>
            <w:tcW w:type="dxa" w:w="2215"/>
          </w:tcPr>
          <w:p>
            <w:pPr>
              <w:pStyle w:val="Compact"/>
              <w:spacing w:line="240" w:lineRule="auto" w:before="20" w:after="20"/>
              <w:jc w:val="left"/>
            </w:pPr>
            <w:r>
              <w:rPr>
                <w:rFonts w:ascii="Arial" w:hAnsi="Arial"/>
                <w:sz w:val="20"/>
              </w:rPr>
              <w:t xml:space="preserve">4152 (32.2)</w:t>
            </w:r>
          </w:p>
        </w:tc>
        <w:tc>
          <w:tcPr>
            <w:tcW w:type="dxa" w:w="1660"/>
          </w:tcPr>
          <w:p>
            <w:pPr>
              <w:pStyle w:val="Compact"/>
              <w:spacing w:line="240" w:lineRule="auto" w:before="20" w:after="20"/>
              <w:jc w:val="left"/>
            </w:pPr>
            <w:r>
              <w:rPr>
                <w:rFonts w:ascii="Arial" w:hAnsi="Arial"/>
                <w:sz w:val="20"/>
              </w:rPr>
              <w:t xml:space="preserve">0.135</w:t>
            </w:r>
          </w:p>
        </w:tc>
        <w:tc>
          <w:tcPr>
            <w:tcW w:type="dxa" w:w="1993"/>
          </w:tcPr>
          <w:p>
            <w:pPr>
              <w:pStyle w:val="Compact"/>
              <w:spacing w:line="240" w:lineRule="auto" w:before="20" w:after="20"/>
              <w:jc w:val="left"/>
            </w:pPr>
            <w:r>
              <w:rPr>
                <w:rFonts w:ascii="Arial" w:hAnsi="Arial"/>
                <w:sz w:val="20"/>
              </w:rPr>
              <w:t xml:space="preserve">0.017</w:t>
            </w:r>
          </w:p>
        </w:tc>
      </w:tr>
      <w:tr>
        <w:tc>
          <w:tcPr>
            <w:tcW w:type="dxa" w:w="3766"/>
          </w:tcPr>
          <w:p>
            <w:pPr>
              <w:pStyle w:val="Compact"/>
              <w:spacing w:line="240" w:lineRule="auto" w:before="20" w:after="20"/>
              <w:jc w:val="left"/>
            </w:pPr>
            <w:r>
              <w:rPr>
                <w:rFonts w:ascii="Arial" w:hAnsi="Arial"/>
                <w:sz w:val="20"/>
              </w:rPr>
              <w:t xml:space="preserve">Left bundle branch block, No. (%)</w:t>
            </w:r>
          </w:p>
        </w:tc>
        <w:tc>
          <w:tcPr>
            <w:tcW w:type="dxa" w:w="1440"/>
          </w:tcPr>
          <w:p>
            <w:pPr>
              <w:pStyle w:val="Compact"/>
              <w:spacing w:line="240" w:lineRule="auto" w:before="20" w:after="20"/>
              <w:jc w:val="left"/>
            </w:pPr>
            <w:r>
              <w:rPr>
                <w:rFonts w:ascii="Arial" w:hAnsi="Arial"/>
                <w:sz w:val="20"/>
              </w:rPr>
              <w:t xml:space="preserve">1060 (7.2)</w:t>
            </w:r>
          </w:p>
        </w:tc>
        <w:tc>
          <w:tcPr>
            <w:tcW w:type="dxa" w:w="2880"/>
          </w:tcPr>
          <w:p>
            <w:pPr>
              <w:pStyle w:val="Compact"/>
              <w:spacing w:line="240" w:lineRule="auto" w:before="20" w:after="20"/>
              <w:jc w:val="left"/>
            </w:pPr>
            <w:r>
              <w:rPr>
                <w:rFonts w:ascii="Arial" w:hAnsi="Arial"/>
                <w:sz w:val="20"/>
              </w:rPr>
              <w:t xml:space="preserve">160 (9.0)</w:t>
            </w:r>
          </w:p>
        </w:tc>
        <w:tc>
          <w:tcPr>
            <w:tcW w:type="dxa" w:w="2215"/>
          </w:tcPr>
          <w:p>
            <w:pPr>
              <w:pStyle w:val="Compact"/>
              <w:spacing w:line="240" w:lineRule="auto" w:before="20" w:after="20"/>
              <w:jc w:val="left"/>
            </w:pPr>
            <w:r>
              <w:rPr>
                <w:rFonts w:ascii="Arial" w:hAnsi="Arial"/>
                <w:sz w:val="20"/>
              </w:rPr>
              <w:t xml:space="preserve">900 (7.0)</w:t>
            </w:r>
          </w:p>
        </w:tc>
        <w:tc>
          <w:tcPr>
            <w:tcW w:type="dxa" w:w="1660"/>
          </w:tcPr>
          <w:p>
            <w:pPr>
              <w:pStyle w:val="Compact"/>
              <w:spacing w:line="240" w:lineRule="auto" w:before="20" w:after="20"/>
              <w:jc w:val="left"/>
            </w:pPr>
            <w:r>
              <w:rPr>
                <w:rFonts w:ascii="Arial" w:hAnsi="Arial"/>
                <w:sz w:val="20"/>
              </w:rPr>
              <w:t xml:space="preserve">0.076</w:t>
            </w:r>
          </w:p>
        </w:tc>
        <w:tc>
          <w:tcPr>
            <w:tcW w:type="dxa" w:w="1993"/>
          </w:tcPr>
          <w:p>
            <w:pPr>
              <w:pStyle w:val="Compact"/>
              <w:spacing w:line="240" w:lineRule="auto" w:before="20" w:after="20"/>
              <w:jc w:val="left"/>
            </w:pPr>
            <w:r>
              <w:rPr>
                <w:rFonts w:ascii="Arial" w:hAnsi="Arial"/>
                <w:sz w:val="20"/>
              </w:rPr>
              <w:t xml:space="preserve">0.010</w:t>
            </w:r>
          </w:p>
        </w:tc>
      </w:tr>
      <w:tr>
        <w:tc>
          <w:tcPr>
            <w:tcW w:type="dxa" w:w="3766"/>
          </w:tcPr>
          <w:p>
            <w:pPr>
              <w:pStyle w:val="Compact"/>
              <w:spacing w:line="240" w:lineRule="auto" w:before="20" w:after="20"/>
              <w:jc w:val="left"/>
            </w:pPr>
            <w:r>
              <w:rPr>
                <w:rFonts w:ascii="Arial" w:hAnsi="Arial"/>
                <w:sz w:val="20"/>
              </w:rPr>
              <w:t xml:space="preserve">Prolonged QTc, No. (%)</w:t>
            </w:r>
          </w:p>
        </w:tc>
        <w:tc>
          <w:tcPr>
            <w:tcW w:type="dxa" w:w="1440"/>
          </w:tcPr>
          <w:p>
            <w:pPr>
              <w:pStyle w:val="Compact"/>
              <w:spacing w:line="240" w:lineRule="auto" w:before="20" w:after="20"/>
              <w:jc w:val="left"/>
            </w:pPr>
            <w:r>
              <w:rPr>
                <w:rFonts w:ascii="Arial" w:hAnsi="Arial"/>
                <w:sz w:val="20"/>
              </w:rPr>
              <w:t xml:space="preserve">5660 (38.6)</w:t>
            </w:r>
          </w:p>
        </w:tc>
        <w:tc>
          <w:tcPr>
            <w:tcW w:type="dxa" w:w="2880"/>
          </w:tcPr>
          <w:p>
            <w:pPr>
              <w:pStyle w:val="Compact"/>
              <w:spacing w:line="240" w:lineRule="auto" w:before="20" w:after="20"/>
              <w:jc w:val="left"/>
            </w:pPr>
            <w:r>
              <w:rPr>
                <w:rFonts w:ascii="Arial" w:hAnsi="Arial"/>
                <w:sz w:val="20"/>
              </w:rPr>
              <w:t xml:space="preserve">811 (45.8)</w:t>
            </w:r>
          </w:p>
        </w:tc>
        <w:tc>
          <w:tcPr>
            <w:tcW w:type="dxa" w:w="2215"/>
          </w:tcPr>
          <w:p>
            <w:pPr>
              <w:pStyle w:val="Compact"/>
              <w:spacing w:line="240" w:lineRule="auto" w:before="20" w:after="20"/>
              <w:jc w:val="left"/>
            </w:pPr>
            <w:r>
              <w:rPr>
                <w:rFonts w:ascii="Arial" w:hAnsi="Arial"/>
                <w:sz w:val="20"/>
              </w:rPr>
              <w:t xml:space="preserve">4849 (37.6)</w:t>
            </w:r>
          </w:p>
        </w:tc>
        <w:tc>
          <w:tcPr>
            <w:tcW w:type="dxa" w:w="1660"/>
          </w:tcPr>
          <w:p>
            <w:pPr>
              <w:pStyle w:val="Compact"/>
              <w:spacing w:line="240" w:lineRule="auto" w:before="20" w:after="20"/>
              <w:jc w:val="left"/>
            </w:pPr>
            <w:r>
              <w:rPr>
                <w:rFonts w:ascii="Arial" w:hAnsi="Arial"/>
                <w:sz w:val="20"/>
              </w:rPr>
              <w:t xml:space="preserve">0.167</w:t>
            </w:r>
          </w:p>
        </w:tc>
        <w:tc>
          <w:tcPr>
            <w:tcW w:type="dxa" w:w="1993"/>
          </w:tcPr>
          <w:p>
            <w:pPr>
              <w:pStyle w:val="Compact"/>
              <w:spacing w:line="240" w:lineRule="auto" w:before="20" w:after="20"/>
              <w:jc w:val="left"/>
            </w:pPr>
            <w:r>
              <w:rPr>
                <w:rFonts w:ascii="Arial" w:hAnsi="Arial"/>
                <w:sz w:val="20"/>
              </w:rPr>
              <w:t xml:space="preserve">0.011</w:t>
            </w:r>
          </w:p>
        </w:tc>
      </w:tr>
      <w:tr>
        <w:tc>
          <w:tcPr>
            <w:tcW w:type="dxa" w:w="3766"/>
          </w:tcPr>
          <w:p>
            <w:pPr>
              <w:pStyle w:val="Compact"/>
              <w:spacing w:line="240" w:lineRule="auto" w:before="20" w:after="20"/>
              <w:jc w:val="left"/>
            </w:pPr>
            <w:r>
              <w:rPr>
                <w:rFonts w:ascii="Arial" w:hAnsi="Arial"/>
                <w:sz w:val="20"/>
              </w:rPr>
              <w:t xml:space="preserve">Wide QRS (≥120 ms), No. (%)</w:t>
            </w:r>
          </w:p>
        </w:tc>
        <w:tc>
          <w:tcPr>
            <w:tcW w:type="dxa" w:w="1440"/>
          </w:tcPr>
          <w:p>
            <w:pPr>
              <w:pStyle w:val="Compact"/>
              <w:spacing w:line="240" w:lineRule="auto" w:before="20" w:after="20"/>
              <w:jc w:val="left"/>
            </w:pPr>
            <w:r>
              <w:rPr>
                <w:rFonts w:ascii="Arial" w:hAnsi="Arial"/>
                <w:sz w:val="20"/>
              </w:rPr>
              <w:t xml:space="preserve">3806 (26.0)</w:t>
            </w:r>
          </w:p>
        </w:tc>
        <w:tc>
          <w:tcPr>
            <w:tcW w:type="dxa" w:w="2880"/>
          </w:tcPr>
          <w:p>
            <w:pPr>
              <w:pStyle w:val="Compact"/>
              <w:spacing w:line="240" w:lineRule="auto" w:before="20" w:after="20"/>
              <w:jc w:val="left"/>
            </w:pPr>
            <w:r>
              <w:rPr>
                <w:rFonts w:ascii="Arial" w:hAnsi="Arial"/>
                <w:sz w:val="20"/>
              </w:rPr>
              <w:t xml:space="preserve">488 (27.6)</w:t>
            </w:r>
          </w:p>
        </w:tc>
        <w:tc>
          <w:tcPr>
            <w:tcW w:type="dxa" w:w="2215"/>
          </w:tcPr>
          <w:p>
            <w:pPr>
              <w:pStyle w:val="Compact"/>
              <w:spacing w:line="240" w:lineRule="auto" w:before="20" w:after="20"/>
              <w:jc w:val="left"/>
            </w:pPr>
            <w:r>
              <w:rPr>
                <w:rFonts w:ascii="Arial" w:hAnsi="Arial"/>
                <w:sz w:val="20"/>
              </w:rPr>
              <w:t xml:space="preserve">3318 (25.7)</w:t>
            </w:r>
          </w:p>
        </w:tc>
        <w:tc>
          <w:tcPr>
            <w:tcW w:type="dxa" w:w="1660"/>
          </w:tcPr>
          <w:p>
            <w:pPr>
              <w:pStyle w:val="Compact"/>
              <w:spacing w:line="240" w:lineRule="auto" w:before="20" w:after="20"/>
              <w:jc w:val="left"/>
            </w:pPr>
            <w:r>
              <w:rPr>
                <w:rFonts w:ascii="Arial" w:hAnsi="Arial"/>
                <w:sz w:val="20"/>
              </w:rPr>
              <w:t xml:space="preserve">0.041</w:t>
            </w:r>
          </w:p>
        </w:tc>
        <w:tc>
          <w:tcPr>
            <w:tcW w:type="dxa" w:w="1993"/>
          </w:tcPr>
          <w:p>
            <w:pPr>
              <w:pStyle w:val="Compact"/>
              <w:spacing w:line="240" w:lineRule="auto" w:before="20" w:after="20"/>
              <w:jc w:val="left"/>
            </w:pPr>
            <w:r>
              <w:rPr>
                <w:rFonts w:ascii="Arial" w:hAnsi="Arial"/>
                <w:sz w:val="20"/>
              </w:rPr>
              <w:t xml:space="preserve">0.008</w:t>
            </w:r>
          </w:p>
        </w:tc>
      </w:tr>
      <w:tr>
        <w:tc>
          <w:tcPr>
            <w:tcW w:type="dxa" w:w="3766"/>
          </w:tcPr>
          <w:p>
            <w:pPr>
              <w:pStyle w:val="Compact"/>
              <w:spacing w:line="240" w:lineRule="auto" w:before="20" w:after="20"/>
              <w:jc w:val="left"/>
            </w:pPr>
            <w:r>
              <w:rPr>
                <w:rFonts w:ascii="Arial" w:hAnsi="Arial"/>
                <w:sz w:val="20"/>
              </w:rPr>
              <w:t xml:space="preserve">Laboratory</w:t>
            </w:r>
          </w:p>
        </w:tc>
        <w:tc>
          <w:tcPr>
            <w:tcW w:type="dxa" w:w="1440"/>
          </w:tcPr>
          <w:p>
            <w:pPr>
              <w:rPr>
                <w:sz w:val="20"/>
              </w:rPr>
              <w:pStyle w:val="Compact"/>
              <w:spacing w:line="240" w:lineRule="auto" w:before="20" w:after="20"/>
            </w:pPr>
          </w:p>
        </w:tc>
        <w:tc>
          <w:tcPr>
            <w:tcW w:type="dxa" w:w="2880"/>
          </w:tcPr>
          <w:p>
            <w:pPr>
              <w:rPr>
                <w:sz w:val="20"/>
              </w:rPr>
              <w:pStyle w:val="Compact"/>
              <w:spacing w:line="240" w:lineRule="auto" w:before="20" w:after="20"/>
            </w:pPr>
          </w:p>
        </w:tc>
        <w:tc>
          <w:tcPr>
            <w:tcW w:type="dxa" w:w="2215"/>
          </w:tcPr>
          <w:p>
            <w:pPr>
              <w:rPr>
                <w:sz w:val="20"/>
              </w:rPr>
              <w:pStyle w:val="Compact"/>
              <w:spacing w:line="240" w:lineRule="auto" w:before="20" w:after="20"/>
            </w:pPr>
          </w:p>
        </w:tc>
        <w:tc>
          <w:tcPr>
            <w:tcW w:type="dxa" w:w="1660"/>
          </w:tcPr>
          <w:p>
            <w:pPr>
              <w:rPr>
                <w:sz w:val="20"/>
              </w:rPr>
              <w:pStyle w:val="Compact"/>
              <w:spacing w:line="240" w:lineRule="auto" w:before="20" w:after="20"/>
            </w:pPr>
          </w:p>
        </w:tc>
        <w:tc>
          <w:tcPr>
            <w:tcW w:type="dxa" w:w="1993"/>
          </w:tcPr>
          <w:p>
            <w:pPr>
              <w:rPr>
                <w:sz w:val="20"/>
              </w:rPr>
              <w:pStyle w:val="Compact"/>
              <w:spacing w:line="240" w:lineRule="auto" w:before="20" w:after="20"/>
            </w:pPr>
          </w:p>
        </w:tc>
      </w:tr>
      <w:tr>
        <w:tc>
          <w:tcPr>
            <w:tcW w:type="dxa" w:w="3766"/>
          </w:tcPr>
          <w:p>
            <w:pPr>
              <w:pStyle w:val="Compact"/>
              <w:spacing w:line="240" w:lineRule="auto" w:before="20" w:after="20"/>
              <w:jc w:val="left"/>
            </w:pPr>
            <w:r>
              <w:rPr>
                <w:rFonts w:ascii="Arial" w:hAnsi="Arial"/>
                <w:sz w:val="20"/>
              </w:rPr>
              <w:t xml:space="preserve">Creatinine, mean (SD), mg/dL</w:t>
            </w:r>
          </w:p>
        </w:tc>
        <w:tc>
          <w:tcPr>
            <w:tcW w:type="dxa" w:w="1440"/>
          </w:tcPr>
          <w:p>
            <w:pPr>
              <w:pStyle w:val="Compact"/>
              <w:spacing w:line="240" w:lineRule="auto" w:before="20" w:after="20"/>
              <w:jc w:val="left"/>
            </w:pPr>
            <w:r>
              <w:rPr>
                <w:rFonts w:ascii="Arial" w:hAnsi="Arial"/>
                <w:sz w:val="20"/>
              </w:rPr>
              <w:t xml:space="preserve">1.5 (1.4)</w:t>
            </w:r>
          </w:p>
        </w:tc>
        <w:tc>
          <w:tcPr>
            <w:tcW w:type="dxa" w:w="2880"/>
          </w:tcPr>
          <w:p>
            <w:pPr>
              <w:pStyle w:val="Compact"/>
              <w:spacing w:line="240" w:lineRule="auto" w:before="20" w:after="20"/>
              <w:jc w:val="left"/>
            </w:pPr>
            <w:r>
              <w:rPr>
                <w:rFonts w:ascii="Arial" w:hAnsi="Arial"/>
                <w:sz w:val="20"/>
              </w:rPr>
              <w:t xml:space="preserve">1.7 (1.6)</w:t>
            </w:r>
          </w:p>
        </w:tc>
        <w:tc>
          <w:tcPr>
            <w:tcW w:type="dxa" w:w="2215"/>
          </w:tcPr>
          <w:p>
            <w:pPr>
              <w:pStyle w:val="Compact"/>
              <w:spacing w:line="240" w:lineRule="auto" w:before="20" w:after="20"/>
              <w:jc w:val="left"/>
            </w:pPr>
            <w:r>
              <w:rPr>
                <w:rFonts w:ascii="Arial" w:hAnsi="Arial"/>
                <w:sz w:val="20"/>
              </w:rPr>
              <w:t xml:space="preserve">1.5 (1.4)</w:t>
            </w:r>
          </w:p>
        </w:tc>
        <w:tc>
          <w:tcPr>
            <w:tcW w:type="dxa" w:w="1660"/>
          </w:tcPr>
          <w:p>
            <w:pPr>
              <w:pStyle w:val="Compact"/>
              <w:spacing w:line="240" w:lineRule="auto" w:before="20" w:after="20"/>
              <w:jc w:val="left"/>
            </w:pPr>
            <w:r>
              <w:rPr>
                <w:rFonts w:ascii="Arial" w:hAnsi="Arial"/>
                <w:sz w:val="20"/>
              </w:rPr>
              <w:t xml:space="preserve">0.142</w:t>
            </w:r>
          </w:p>
        </w:tc>
        <w:tc>
          <w:tcPr>
            <w:tcW w:type="dxa" w:w="1993"/>
          </w:tcPr>
          <w:p>
            <w:pPr>
              <w:pStyle w:val="Compact"/>
              <w:spacing w:line="240" w:lineRule="auto" w:before="20" w:after="20"/>
              <w:jc w:val="left"/>
            </w:pPr>
            <w:r>
              <w:rPr>
                <w:rFonts w:ascii="Arial" w:hAnsi="Arial"/>
                <w:sz w:val="20"/>
              </w:rPr>
              <w:t xml:space="preserve">0.012</w:t>
            </w:r>
          </w:p>
        </w:tc>
      </w:tr>
      <w:tr>
        <w:tc>
          <w:tcPr>
            <w:tcW w:type="dxa" w:w="3766"/>
          </w:tcPr>
          <w:p>
            <w:pPr>
              <w:pStyle w:val="Compact"/>
              <w:spacing w:line="240" w:lineRule="auto" w:before="20" w:after="20"/>
              <w:jc w:val="left"/>
            </w:pPr>
            <w:r>
              <w:rPr>
                <w:rFonts w:ascii="Arial" w:hAnsi="Arial"/>
                <w:sz w:val="20"/>
              </w:rPr>
              <w:t xml:space="preserve">eGFR, mean (SD), mL/min/1.73 m²</w:t>
            </w:r>
          </w:p>
        </w:tc>
        <w:tc>
          <w:tcPr>
            <w:tcW w:type="dxa" w:w="1440"/>
          </w:tcPr>
          <w:p>
            <w:pPr>
              <w:pStyle w:val="Compact"/>
              <w:spacing w:line="240" w:lineRule="auto" w:before="20" w:after="20"/>
              <w:jc w:val="left"/>
            </w:pPr>
            <w:r>
              <w:rPr>
                <w:rFonts w:ascii="Arial" w:hAnsi="Arial"/>
                <w:sz w:val="20"/>
              </w:rPr>
              <w:t xml:space="preserve">59.9 (28.3)</w:t>
            </w:r>
          </w:p>
        </w:tc>
        <w:tc>
          <w:tcPr>
            <w:tcW w:type="dxa" w:w="2880"/>
          </w:tcPr>
          <w:p>
            <w:pPr>
              <w:pStyle w:val="Compact"/>
              <w:spacing w:line="240" w:lineRule="auto" w:before="20" w:after="20"/>
              <w:jc w:val="left"/>
            </w:pPr>
            <w:r>
              <w:rPr>
                <w:rFonts w:ascii="Arial" w:hAnsi="Arial"/>
                <w:sz w:val="20"/>
              </w:rPr>
              <w:t xml:space="preserve">56.4 (28.0)</w:t>
            </w:r>
          </w:p>
        </w:tc>
        <w:tc>
          <w:tcPr>
            <w:tcW w:type="dxa" w:w="2215"/>
          </w:tcPr>
          <w:p>
            <w:pPr>
              <w:pStyle w:val="Compact"/>
              <w:spacing w:line="240" w:lineRule="auto" w:before="20" w:after="20"/>
              <w:jc w:val="left"/>
            </w:pPr>
            <w:r>
              <w:rPr>
                <w:rFonts w:ascii="Arial" w:hAnsi="Arial"/>
                <w:sz w:val="20"/>
              </w:rPr>
              <w:t xml:space="preserve">60.4 (28.4)</w:t>
            </w:r>
          </w:p>
        </w:tc>
        <w:tc>
          <w:tcPr>
            <w:tcW w:type="dxa" w:w="1660"/>
          </w:tcPr>
          <w:p>
            <w:pPr>
              <w:pStyle w:val="Compact"/>
              <w:spacing w:line="240" w:lineRule="auto" w:before="20" w:after="20"/>
              <w:jc w:val="left"/>
            </w:pPr>
            <w:r>
              <w:rPr>
                <w:rFonts w:ascii="Arial" w:hAnsi="Arial"/>
                <w:sz w:val="20"/>
              </w:rPr>
              <w:t xml:space="preserve">0.142</w:t>
            </w:r>
          </w:p>
        </w:tc>
        <w:tc>
          <w:tcPr>
            <w:tcW w:type="dxa" w:w="1993"/>
          </w:tcPr>
          <w:p>
            <w:pPr>
              <w:pStyle w:val="Compact"/>
              <w:spacing w:line="240" w:lineRule="auto" w:before="20" w:after="20"/>
              <w:jc w:val="left"/>
            </w:pPr>
            <w:r>
              <w:rPr>
                <w:rFonts w:ascii="Arial" w:hAnsi="Arial"/>
                <w:sz w:val="20"/>
              </w:rPr>
              <w:t xml:space="preserve">-0.016</w:t>
            </w:r>
          </w:p>
        </w:tc>
      </w:tr>
      <w:tr>
        <w:tc>
          <w:tcPr>
            <w:tcW w:type="dxa" w:w="3766"/>
          </w:tcPr>
          <w:p>
            <w:pPr>
              <w:pStyle w:val="Compact"/>
              <w:spacing w:line="240" w:lineRule="auto" w:before="20" w:after="20"/>
              <w:jc w:val="left"/>
            </w:pPr>
            <w:r>
              <w:rPr>
                <w:rFonts w:ascii="Arial" w:hAnsi="Arial"/>
                <w:sz w:val="20"/>
              </w:rPr>
              <w:t xml:space="preserve">Hemoglobin, mean (SD), g/dL</w:t>
            </w:r>
          </w:p>
        </w:tc>
        <w:tc>
          <w:tcPr>
            <w:tcW w:type="dxa" w:w="1440"/>
          </w:tcPr>
          <w:p>
            <w:pPr>
              <w:pStyle w:val="Compact"/>
              <w:spacing w:line="240" w:lineRule="auto" w:before="20" w:after="20"/>
              <w:jc w:val="left"/>
            </w:pPr>
            <w:r>
              <w:rPr>
                <w:rFonts w:ascii="Arial" w:hAnsi="Arial"/>
                <w:sz w:val="20"/>
              </w:rPr>
              <w:t xml:space="preserve">10.8 (1.9)</w:t>
            </w:r>
          </w:p>
        </w:tc>
        <w:tc>
          <w:tcPr>
            <w:tcW w:type="dxa" w:w="2880"/>
          </w:tcPr>
          <w:p>
            <w:pPr>
              <w:pStyle w:val="Compact"/>
              <w:spacing w:line="240" w:lineRule="auto" w:before="20" w:after="20"/>
              <w:jc w:val="left"/>
            </w:pPr>
            <w:r>
              <w:rPr>
                <w:rFonts w:ascii="Arial" w:hAnsi="Arial"/>
                <w:sz w:val="20"/>
              </w:rPr>
              <w:t xml:space="preserve">11.1 (2.0)</w:t>
            </w:r>
          </w:p>
        </w:tc>
        <w:tc>
          <w:tcPr>
            <w:tcW w:type="dxa" w:w="2215"/>
          </w:tcPr>
          <w:p>
            <w:pPr>
              <w:pStyle w:val="Compact"/>
              <w:spacing w:line="240" w:lineRule="auto" w:before="20" w:after="20"/>
              <w:jc w:val="left"/>
            </w:pPr>
            <w:r>
              <w:rPr>
                <w:rFonts w:ascii="Arial" w:hAnsi="Arial"/>
                <w:sz w:val="20"/>
              </w:rPr>
              <w:t xml:space="preserve">10.8 (1.9)</w:t>
            </w:r>
          </w:p>
        </w:tc>
        <w:tc>
          <w:tcPr>
            <w:tcW w:type="dxa" w:w="1660"/>
          </w:tcPr>
          <w:p>
            <w:pPr>
              <w:pStyle w:val="Compact"/>
              <w:spacing w:line="240" w:lineRule="auto" w:before="20" w:after="20"/>
              <w:jc w:val="left"/>
            </w:pPr>
            <w:r>
              <w:rPr>
                <w:rFonts w:ascii="Arial" w:hAnsi="Arial"/>
                <w:sz w:val="20"/>
              </w:rPr>
              <w:t xml:space="preserve">0.199</w:t>
            </w:r>
          </w:p>
        </w:tc>
        <w:tc>
          <w:tcPr>
            <w:tcW w:type="dxa" w:w="1993"/>
          </w:tcPr>
          <w:p>
            <w:pPr>
              <w:pStyle w:val="Compact"/>
              <w:spacing w:line="240" w:lineRule="auto" w:before="20" w:after="20"/>
              <w:jc w:val="left"/>
            </w:pPr>
            <w:r>
              <w:rPr>
                <w:rFonts w:ascii="Arial" w:hAnsi="Arial"/>
                <w:sz w:val="20"/>
              </w:rPr>
              <w:t xml:space="preserve">-0.010</w:t>
            </w:r>
          </w:p>
        </w:tc>
      </w:tr>
      <w:tr>
        <w:tc>
          <w:tcPr>
            <w:tcW w:type="dxa" w:w="3766"/>
          </w:tcPr>
          <w:p>
            <w:pPr>
              <w:pStyle w:val="Compact"/>
              <w:spacing w:line="240" w:lineRule="auto" w:before="20" w:after="20"/>
              <w:jc w:val="left"/>
            </w:pPr>
            <w:r>
              <w:rPr>
                <w:rFonts w:ascii="Arial" w:hAnsi="Arial"/>
                <w:sz w:val="20"/>
              </w:rPr>
              <w:t xml:space="preserve">Chloride, mean (SD), mEq/L</w:t>
            </w:r>
          </w:p>
        </w:tc>
        <w:tc>
          <w:tcPr>
            <w:tcW w:type="dxa" w:w="1440"/>
          </w:tcPr>
          <w:p>
            <w:pPr>
              <w:pStyle w:val="Compact"/>
              <w:spacing w:line="240" w:lineRule="auto" w:before="20" w:after="20"/>
              <w:jc w:val="left"/>
            </w:pPr>
            <w:r>
              <w:rPr>
                <w:rFonts w:ascii="Arial" w:hAnsi="Arial"/>
                <w:sz w:val="20"/>
              </w:rPr>
              <w:t xml:space="preserve">102.1 (4.6)</w:t>
            </w:r>
          </w:p>
        </w:tc>
        <w:tc>
          <w:tcPr>
            <w:tcW w:type="dxa" w:w="2880"/>
          </w:tcPr>
          <w:p>
            <w:pPr>
              <w:pStyle w:val="Compact"/>
              <w:spacing w:line="240" w:lineRule="auto" w:before="20" w:after="20"/>
              <w:jc w:val="left"/>
            </w:pPr>
            <w:r>
              <w:rPr>
                <w:rFonts w:ascii="Arial" w:hAnsi="Arial"/>
                <w:sz w:val="20"/>
              </w:rPr>
              <w:t xml:space="preserve">101.6 (4.7)</w:t>
            </w:r>
          </w:p>
        </w:tc>
        <w:tc>
          <w:tcPr>
            <w:tcW w:type="dxa" w:w="2215"/>
          </w:tcPr>
          <w:p>
            <w:pPr>
              <w:pStyle w:val="Compact"/>
              <w:spacing w:line="240" w:lineRule="auto" w:before="20" w:after="20"/>
              <w:jc w:val="left"/>
            </w:pPr>
            <w:r>
              <w:rPr>
                <w:rFonts w:ascii="Arial" w:hAnsi="Arial"/>
                <w:sz w:val="20"/>
              </w:rPr>
              <w:t xml:space="preserve">102.1 (4.6)</w:t>
            </w:r>
          </w:p>
        </w:tc>
        <w:tc>
          <w:tcPr>
            <w:tcW w:type="dxa" w:w="1660"/>
          </w:tcPr>
          <w:p>
            <w:pPr>
              <w:pStyle w:val="Compact"/>
              <w:spacing w:line="240" w:lineRule="auto" w:before="20" w:after="20"/>
              <w:jc w:val="left"/>
            </w:pPr>
            <w:r>
              <w:rPr>
                <w:rFonts w:ascii="Arial" w:hAnsi="Arial"/>
                <w:sz w:val="20"/>
              </w:rPr>
              <w:t xml:space="preserve">0.103</w:t>
            </w:r>
          </w:p>
        </w:tc>
        <w:tc>
          <w:tcPr>
            <w:tcW w:type="dxa" w:w="1993"/>
          </w:tcPr>
          <w:p>
            <w:pPr>
              <w:pStyle w:val="Compact"/>
              <w:spacing w:line="240" w:lineRule="auto" w:before="20" w:after="20"/>
              <w:jc w:val="left"/>
            </w:pPr>
            <w:r>
              <w:rPr>
                <w:rFonts w:ascii="Arial" w:hAnsi="Arial"/>
                <w:sz w:val="20"/>
              </w:rPr>
              <w:t xml:space="preserve">-0.019</w:t>
            </w:r>
          </w:p>
        </w:tc>
      </w:tr>
      <w:tr>
        <w:tc>
          <w:tcPr>
            <w:tcW w:type="dxa" w:w="3766"/>
          </w:tcPr>
          <w:p>
            <w:pPr>
              <w:pStyle w:val="Compact"/>
              <w:spacing w:line="240" w:lineRule="auto" w:before="20" w:after="20"/>
              <w:jc w:val="left"/>
            </w:pPr>
            <w:r>
              <w:rPr>
                <w:rFonts w:ascii="Arial" w:hAnsi="Arial"/>
                <w:sz w:val="20"/>
              </w:rPr>
              <w:t xml:space="preserve">Potassium, mean (SD), mEq/L</w:t>
            </w:r>
          </w:p>
        </w:tc>
        <w:tc>
          <w:tcPr>
            <w:tcW w:type="dxa" w:w="1440"/>
          </w:tcPr>
          <w:p>
            <w:pPr>
              <w:pStyle w:val="Compact"/>
              <w:spacing w:line="240" w:lineRule="auto" w:before="20" w:after="20"/>
              <w:jc w:val="left"/>
            </w:pPr>
            <w:r>
              <w:rPr>
                <w:rFonts w:ascii="Arial" w:hAnsi="Arial"/>
                <w:sz w:val="20"/>
              </w:rPr>
              <w:t xml:space="preserve">4.2 (0.6)</w:t>
            </w:r>
          </w:p>
        </w:tc>
        <w:tc>
          <w:tcPr>
            <w:tcW w:type="dxa" w:w="2880"/>
          </w:tcPr>
          <w:p>
            <w:pPr>
              <w:pStyle w:val="Compact"/>
              <w:spacing w:line="240" w:lineRule="auto" w:before="20" w:after="20"/>
              <w:jc w:val="left"/>
            </w:pPr>
            <w:r>
              <w:rPr>
                <w:rFonts w:ascii="Arial" w:hAnsi="Arial"/>
                <w:sz w:val="20"/>
              </w:rPr>
              <w:t xml:space="preserve">4.3 (0.7)</w:t>
            </w:r>
          </w:p>
        </w:tc>
        <w:tc>
          <w:tcPr>
            <w:tcW w:type="dxa" w:w="2215"/>
          </w:tcPr>
          <w:p>
            <w:pPr>
              <w:pStyle w:val="Compact"/>
              <w:spacing w:line="240" w:lineRule="auto" w:before="20" w:after="20"/>
              <w:jc w:val="left"/>
            </w:pPr>
            <w:r>
              <w:rPr>
                <w:rFonts w:ascii="Arial" w:hAnsi="Arial"/>
                <w:sz w:val="20"/>
              </w:rPr>
              <w:t xml:space="preserve">4.2 (0.6)</w:t>
            </w:r>
          </w:p>
        </w:tc>
        <w:tc>
          <w:tcPr>
            <w:tcW w:type="dxa" w:w="1660"/>
          </w:tcPr>
          <w:p>
            <w:pPr>
              <w:pStyle w:val="Compact"/>
              <w:spacing w:line="240" w:lineRule="auto" w:before="20" w:after="20"/>
              <w:jc w:val="left"/>
            </w:pPr>
            <w:r>
              <w:rPr>
                <w:rFonts w:ascii="Arial" w:hAnsi="Arial"/>
                <w:sz w:val="20"/>
              </w:rPr>
              <w:t xml:space="preserve">0.142</w:t>
            </w:r>
          </w:p>
        </w:tc>
        <w:tc>
          <w:tcPr>
            <w:tcW w:type="dxa" w:w="1993"/>
          </w:tcPr>
          <w:p>
            <w:pPr>
              <w:pStyle w:val="Compact"/>
              <w:spacing w:line="240" w:lineRule="auto" w:before="20" w:after="20"/>
              <w:jc w:val="left"/>
            </w:pPr>
            <w:r>
              <w:rPr>
                <w:rFonts w:ascii="Arial" w:hAnsi="Arial"/>
                <w:sz w:val="20"/>
              </w:rPr>
              <w:t xml:space="preserve">-0.009</w:t>
            </w:r>
          </w:p>
        </w:tc>
      </w:tr>
      <w:tr>
        <w:tc>
          <w:tcPr>
            <w:tcW w:type="dxa" w:w="3766"/>
          </w:tcPr>
          <w:p>
            <w:pPr>
              <w:pStyle w:val="Compact"/>
              <w:spacing w:line="240" w:lineRule="auto" w:before="20" w:after="20"/>
              <w:jc w:val="left"/>
            </w:pPr>
            <w:r>
              <w:rPr>
                <w:rFonts w:ascii="Arial" w:hAnsi="Arial"/>
                <w:sz w:val="20"/>
              </w:rPr>
              <w:t xml:space="preserve">eGFR &lt;60 mL/min/1.73 m², No. (%)</w:t>
            </w:r>
          </w:p>
        </w:tc>
        <w:tc>
          <w:tcPr>
            <w:tcW w:type="dxa" w:w="1440"/>
          </w:tcPr>
          <w:p>
            <w:pPr>
              <w:pStyle w:val="Compact"/>
              <w:spacing w:line="240" w:lineRule="auto" w:before="20" w:after="20"/>
              <w:jc w:val="left"/>
            </w:pPr>
            <w:r>
              <w:rPr>
                <w:rFonts w:ascii="Arial" w:hAnsi="Arial"/>
                <w:sz w:val="20"/>
              </w:rPr>
              <w:t xml:space="preserve">7156 (50.4)</w:t>
            </w:r>
          </w:p>
        </w:tc>
        <w:tc>
          <w:tcPr>
            <w:tcW w:type="dxa" w:w="2880"/>
          </w:tcPr>
          <w:p>
            <w:pPr>
              <w:pStyle w:val="Compact"/>
              <w:spacing w:line="240" w:lineRule="auto" w:before="20" w:after="20"/>
              <w:jc w:val="left"/>
            </w:pPr>
            <w:r>
              <w:rPr>
                <w:rFonts w:ascii="Arial" w:hAnsi="Arial"/>
                <w:sz w:val="20"/>
              </w:rPr>
              <w:t xml:space="preserve">975 (55.4)</w:t>
            </w:r>
          </w:p>
        </w:tc>
        <w:tc>
          <w:tcPr>
            <w:tcW w:type="dxa" w:w="2215"/>
          </w:tcPr>
          <w:p>
            <w:pPr>
              <w:pStyle w:val="Compact"/>
              <w:spacing w:line="240" w:lineRule="auto" w:before="20" w:after="20"/>
              <w:jc w:val="left"/>
            </w:pPr>
            <w:r>
              <w:rPr>
                <w:rFonts w:ascii="Arial" w:hAnsi="Arial"/>
                <w:sz w:val="20"/>
              </w:rPr>
              <w:t xml:space="preserve">6181 (49.7)</w:t>
            </w:r>
          </w:p>
        </w:tc>
        <w:tc>
          <w:tcPr>
            <w:tcW w:type="dxa" w:w="1660"/>
          </w:tcPr>
          <w:p>
            <w:pPr>
              <w:pStyle w:val="Compact"/>
              <w:spacing w:line="240" w:lineRule="auto" w:before="20" w:after="20"/>
              <w:jc w:val="left"/>
            </w:pPr>
            <w:r>
              <w:rPr>
                <w:rFonts w:ascii="Arial" w:hAnsi="Arial"/>
                <w:sz w:val="20"/>
              </w:rPr>
              <w:t xml:space="preserve">0.114</w:t>
            </w:r>
          </w:p>
        </w:tc>
        <w:tc>
          <w:tcPr>
            <w:tcW w:type="dxa" w:w="1993"/>
          </w:tcPr>
          <w:p>
            <w:pPr>
              <w:pStyle w:val="Compact"/>
              <w:spacing w:line="240" w:lineRule="auto" w:before="20" w:after="20"/>
              <w:jc w:val="left"/>
            </w:pPr>
            <w:r>
              <w:rPr>
                <w:rFonts w:ascii="Arial" w:hAnsi="Arial"/>
                <w:sz w:val="20"/>
              </w:rPr>
              <w:t xml:space="preserve">0.028</w:t>
            </w:r>
          </w:p>
        </w:tc>
      </w:tr>
    </w:tbl>
    <w:bookmarkEnd w:id="34"/>
    <w:bookmarkStart w:id="35" w:name="Xc187370189f06b4cee9de346a9f27984c092706"/>
    <w:p>
      <w:pPr>
        <w:pStyle w:val="Heading2"/>
      </w:pPr>
      <w:r>
        <w:rPr>
          <w:rFonts w:ascii="Arial" w:hAnsi="Arial" w:eastAsia="Arial" w:cs="Arial"/>
          <w:b/>
          <w:sz w:val="24"/>
        </w:rPr>
        <w:t xml:space="preserve">eTable 16. Adherence to the TARGET guideline for the case-study emulations</w:t>
      </w:r>
    </w:p>
    <w:p>
      <w:pPr>
        <w:pStyle w:val="FirstParagraph"/>
      </w:pPr>
      <w:r>
        <w:t xml:space="preserve">The case study was designed against the TARGET checklist (Transparent Reporting of Observational Studies Emulating a Target Trial; Cashin et al., JAMA 2025). Its 21 items are listed below, with item 6, the target trial specification, expanded into its eight core components 6a through 6h. The second column states what the item asks for in an ideal trial and the third records how this study met it. The two case-study questions share one cohort, one grace period, and one estimator unless a row states otherwise.</w:t>
      </w:r>
    </w:p>
    <w:tbl>
      <w:tblPr>
        <w:tblStyle w:val="Table"/>
        <w:tblW w:type="dxa" w:w="13954"/>
        <w:tblInd w:w="0" w:type="dxa"/>
        <w:tblLayout w:type="fixed"/>
        <w:tblCellMar>
          <w:left w:w="72" w:type="dxa"/>
          <w:right w:w="72" w:type="dxa"/>
          <w:top w:w="20" w:type="dxa"/>
          <w:bottom w:w="20" w:type="dxa"/>
        </w:tblCellMar>
        <w:tblLook w:firstRow="1" w:lastRow="0" w:firstColumn="0" w:lastColumn="0" w:noHBand="0" w:noVBand="0" w:val="0020"/>
      </w:tblPr>
      <w:tblGrid>
        <w:gridCol w:w="1725"/>
        <w:gridCol w:w="5611"/>
        <w:gridCol w:w="6618"/>
      </w:tblGrid>
      <w:tr>
        <w:trPr>
          <w:tblHeader w:val="on"/>
        </w:trPr>
        <w:tc>
          <w:tcPr>
            <w:tcW w:type="dxa" w:w="1725"/>
          </w:tcPr>
          <w:p>
            <w:pPr>
              <w:pStyle w:val="Compact"/>
              <w:spacing w:line="240" w:lineRule="auto" w:before="20" w:after="20"/>
            </w:pPr>
            <w:r>
              <w:rPr>
                <w:rFonts w:ascii="Arial" w:hAnsi="Arial"/>
                <w:sz w:val="20"/>
              </w:rPr>
              <w:t xml:space="preserve">TARGET item</w:t>
            </w:r>
          </w:p>
        </w:tc>
        <w:tc>
          <w:tcPr>
            <w:tcW w:type="dxa" w:w="5611"/>
          </w:tcPr>
          <w:p>
            <w:pPr>
              <w:pStyle w:val="Compact"/>
              <w:spacing w:line="240" w:lineRule="auto" w:before="20" w:after="20"/>
            </w:pPr>
            <w:r>
              <w:rPr>
                <w:rFonts w:ascii="Arial" w:hAnsi="Arial"/>
                <w:sz w:val="20"/>
              </w:rPr>
              <w:t xml:space="preserve">Ideal-trial specification</w:t>
            </w:r>
          </w:p>
        </w:tc>
        <w:tc>
          <w:tcPr>
            <w:tcW w:type="dxa" w:w="6618"/>
          </w:tcPr>
          <w:p>
            <w:pPr>
              <w:pStyle w:val="Compact"/>
              <w:spacing w:line="240" w:lineRule="auto" w:before="20" w:after="20"/>
            </w:pPr>
            <w:r>
              <w:rPr>
                <w:rFonts w:ascii="Arial" w:hAnsi="Arial"/>
                <w:sz w:val="20"/>
              </w:rPr>
              <w:t xml:space="preserve">Observational emulation in this study</w:t>
            </w:r>
          </w:p>
        </w:tc>
      </w:tr>
      <w:tr>
        <w:tc>
          <w:tcPr>
            <w:tcW w:type="dxa" w:w="1725"/>
          </w:tcPr>
          <w:p>
            <w:pPr>
              <w:pStyle w:val="Compact"/>
              <w:spacing w:line="240" w:lineRule="auto" w:before="20" w:after="20"/>
            </w:pPr>
            <w:r>
              <w:rPr>
                <w:rFonts w:ascii="Arial" w:hAnsi="Arial"/>
                <w:b/>
                <w:bCs/>
                <w:sz w:val="20"/>
              </w:rPr>
              <w:t xml:space="preserve">Abstract</w:t>
            </w:r>
          </w:p>
        </w:tc>
        <w:tc>
          <w:tcPr>
            <w:tcW w:type="dxa" w:w="5611"/>
          </w:tcPr>
          <w:p>
            <w:pPr>
              <w:rPr>
                <w:sz w:val="20"/>
              </w:rPr>
              <w:pStyle w:val="Compact"/>
              <w:spacing w:line="240" w:lineRule="auto" w:before="20" w:after="20"/>
            </w:pPr>
          </w:p>
        </w:tc>
        <w:tc>
          <w:tcPr>
            <w:tcW w:type="dxa" w:w="6618"/>
          </w:tcPr>
          <w:p>
            <w:pPr>
              <w:rPr>
                <w:sz w:val="20"/>
              </w:rPr>
              <w:pStyle w:val="Compact"/>
              <w:spacing w:line="240" w:lineRule="auto" w:before="20" w:after="20"/>
            </w:pPr>
          </w:p>
        </w:tc>
      </w:tr>
      <w:tr>
        <w:tc>
          <w:tcPr>
            <w:tcW w:type="dxa" w:w="1725"/>
          </w:tcPr>
          <w:p>
            <w:pPr>
              <w:pStyle w:val="Compact"/>
              <w:spacing w:line="240" w:lineRule="auto" w:before="20" w:after="20"/>
            </w:pPr>
            <w:r>
              <w:rPr>
                <w:rFonts w:ascii="Arial" w:hAnsi="Arial"/>
                <w:sz w:val="20"/>
              </w:rPr>
              <w:t xml:space="preserve">1. Abstract (1a-1c)</w:t>
            </w:r>
          </w:p>
        </w:tc>
        <w:tc>
          <w:tcPr>
            <w:tcW w:type="dxa" w:w="5611"/>
          </w:tcPr>
          <w:p>
            <w:pPr>
              <w:pStyle w:val="Compact"/>
              <w:spacing w:line="240" w:lineRule="auto" w:before="20" w:after="20"/>
            </w:pPr>
            <w:r>
              <w:rPr>
                <w:rFonts w:ascii="Arial" w:hAnsi="Arial"/>
                <w:sz w:val="20"/>
              </w:rPr>
              <w:t xml:space="preserve">State that observational data are used to emulate a target trial, name the data sources, and summarize the assumptions, methods, findings, and conclusions.</w:t>
            </w:r>
          </w:p>
        </w:tc>
        <w:tc>
          <w:tcPr>
            <w:tcW w:type="dxa" w:w="6618"/>
          </w:tcPr>
          <w:p>
            <w:pPr>
              <w:pStyle w:val="Compact"/>
              <w:spacing w:line="240" w:lineRule="auto" w:before="20" w:after="20"/>
            </w:pPr>
            <w:r>
              <w:rPr>
                <w:rFonts w:ascii="Arial" w:hAnsi="Arial"/>
                <w:sz w:val="20"/>
              </w:rPr>
              <w:t xml:space="preserve">The abstract states that MIMIC-IV observational data were used to emulate a target trial. Data source: MIMIC-IV linked to MIMIC-IV-ECG, 14,677 patients. Methods: targeted maximum likelihood estimation with a Super Learner, calibrated against 12 negative controls. Findings: uncalibrated relative risks of 0.83 and 0.68 calibrating to 0.98 and 0.81, the first question bias-dominated and the second in the mixed zone with no usable finding.</w:t>
            </w:r>
          </w:p>
        </w:tc>
      </w:tr>
      <w:tr>
        <w:tc>
          <w:tcPr>
            <w:tcW w:type="dxa" w:w="1725"/>
          </w:tcPr>
          <w:p>
            <w:pPr>
              <w:pStyle w:val="Compact"/>
              <w:spacing w:line="240" w:lineRule="auto" w:before="20" w:after="20"/>
            </w:pPr>
            <w:r>
              <w:rPr>
                <w:rFonts w:ascii="Arial" w:hAnsi="Arial"/>
                <w:b/>
                <w:bCs/>
                <w:sz w:val="20"/>
              </w:rPr>
              <w:t xml:space="preserve">Introduction</w:t>
            </w:r>
          </w:p>
        </w:tc>
        <w:tc>
          <w:tcPr>
            <w:tcW w:type="dxa" w:w="5611"/>
          </w:tcPr>
          <w:p>
            <w:pPr>
              <w:rPr>
                <w:sz w:val="20"/>
              </w:rPr>
              <w:pStyle w:val="Compact"/>
              <w:spacing w:line="240" w:lineRule="auto" w:before="20" w:after="20"/>
            </w:pPr>
          </w:p>
        </w:tc>
        <w:tc>
          <w:tcPr>
            <w:tcW w:type="dxa" w:w="6618"/>
          </w:tcPr>
          <w:p>
            <w:pPr>
              <w:rPr>
                <w:sz w:val="20"/>
              </w:rPr>
              <w:pStyle w:val="Compact"/>
              <w:spacing w:line="240" w:lineRule="auto" w:before="20" w:after="20"/>
            </w:pPr>
          </w:p>
        </w:tc>
      </w:tr>
      <w:tr>
        <w:tc>
          <w:tcPr>
            <w:tcW w:type="dxa" w:w="1725"/>
          </w:tcPr>
          <w:p>
            <w:pPr>
              <w:pStyle w:val="Compact"/>
              <w:spacing w:line="240" w:lineRule="auto" w:before="20" w:after="20"/>
            </w:pPr>
            <w:r>
              <w:rPr>
                <w:rFonts w:ascii="Arial" w:hAnsi="Arial"/>
                <w:sz w:val="20"/>
              </w:rPr>
              <w:t xml:space="preserve">2. Background</w:t>
            </w:r>
          </w:p>
        </w:tc>
        <w:tc>
          <w:tcPr>
            <w:tcW w:type="dxa" w:w="5611"/>
          </w:tcPr>
          <w:p>
            <w:pPr>
              <w:pStyle w:val="Compact"/>
              <w:spacing w:line="240" w:lineRule="auto" w:before="20" w:after="20"/>
            </w:pPr>
            <w:r>
              <w:rPr>
                <w:rFonts w:ascii="Arial" w:hAnsi="Arial"/>
                <w:sz w:val="20"/>
              </w:rPr>
              <w:t xml:space="preserve">Describe the scientific background and the knowledge gap.</w:t>
            </w:r>
          </w:p>
        </w:tc>
        <w:tc>
          <w:tcPr>
            <w:tcW w:type="dxa" w:w="6618"/>
          </w:tcPr>
          <w:p>
            <w:pPr>
              <w:pStyle w:val="Compact"/>
              <w:spacing w:line="240" w:lineRule="auto" w:before="20" w:after="20"/>
            </w:pPr>
            <w:r>
              <w:rPr>
                <w:rFonts w:ascii="Arial" w:hAnsi="Arial"/>
                <w:sz w:val="20"/>
              </w:rPr>
              <w:t xml:space="preserve">Beta-blockers and guideline-directed medical therapy are the foundation of heart failure treatment, yet observational estimates of their benefit are inflated by the healthy adherer effect. Empirical calibration reports whether a signal survives but not how much of it is bias, which is the gap the Bias Attribution Fraction fills. Both questions share this background.</w:t>
            </w:r>
          </w:p>
        </w:tc>
      </w:tr>
      <w:tr>
        <w:tc>
          <w:tcPr>
            <w:tcW w:type="dxa" w:w="1725"/>
          </w:tcPr>
          <w:p>
            <w:pPr>
              <w:pStyle w:val="Compact"/>
              <w:spacing w:line="240" w:lineRule="auto" w:before="20" w:after="20"/>
            </w:pPr>
            <w:r>
              <w:rPr>
                <w:rFonts w:ascii="Arial" w:hAnsi="Arial"/>
                <w:sz w:val="20"/>
              </w:rPr>
              <w:t xml:space="preserve">3. Causal question</w:t>
            </w:r>
          </w:p>
        </w:tc>
        <w:tc>
          <w:tcPr>
            <w:tcW w:type="dxa" w:w="5611"/>
          </w:tcPr>
          <w:p>
            <w:pPr>
              <w:pStyle w:val="Compact"/>
              <w:spacing w:line="240" w:lineRule="auto" w:before="20" w:after="20"/>
            </w:pPr>
            <w:r>
              <w:rPr>
                <w:rFonts w:ascii="Arial" w:hAnsi="Arial"/>
                <w:sz w:val="20"/>
              </w:rPr>
              <w:t xml:space="preserve">State the causal question.</w:t>
            </w:r>
          </w:p>
        </w:tc>
        <w:tc>
          <w:tcPr>
            <w:tcW w:type="dxa" w:w="6618"/>
          </w:tcPr>
          <w:p>
            <w:pPr>
              <w:pStyle w:val="Compact"/>
              <w:spacing w:line="240" w:lineRule="auto" w:before="20" w:after="20"/>
            </w:pPr>
            <w:r>
              <w:rPr>
                <w:rFonts w:ascii="Arial" w:hAnsi="Arial"/>
                <w:sz w:val="20"/>
              </w:rPr>
              <w:t xml:space="preserve">Among adults hospitalized for heart failure who were new users of beta-blockers, does reaching at least 50% of the guideline target dose, or a guideline-directed medical therapy score of at least 2 of 3 drug classes, lower one-year all-cause mortality?</w:t>
            </w:r>
          </w:p>
        </w:tc>
      </w:tr>
      <w:tr>
        <w:tc>
          <w:tcPr>
            <w:tcW w:type="dxa" w:w="1725"/>
          </w:tcPr>
          <w:p>
            <w:pPr>
              <w:pStyle w:val="Compact"/>
              <w:spacing w:line="240" w:lineRule="auto" w:before="20" w:after="20"/>
            </w:pPr>
            <w:r>
              <w:rPr>
                <w:rFonts w:ascii="Arial" w:hAnsi="Arial"/>
                <w:sz w:val="20"/>
              </w:rPr>
              <w:t xml:space="preserve">4. Rationale</w:t>
            </w:r>
          </w:p>
        </w:tc>
        <w:tc>
          <w:tcPr>
            <w:tcW w:type="dxa" w:w="5611"/>
          </w:tcPr>
          <w:p>
            <w:pPr>
              <w:pStyle w:val="Compact"/>
              <w:spacing w:line="240" w:lineRule="auto" w:before="20" w:after="20"/>
            </w:pPr>
            <w:r>
              <w:rPr>
                <w:rFonts w:ascii="Arial" w:hAnsi="Arial"/>
                <w:sz w:val="20"/>
              </w:rPr>
              <w:t xml:space="preserve">Explain why the available data can be used to emulate a target trial, and cite the relevant randomized trials.</w:t>
            </w:r>
          </w:p>
        </w:tc>
        <w:tc>
          <w:tcPr>
            <w:tcW w:type="dxa" w:w="6618"/>
          </w:tcPr>
          <w:p>
            <w:pPr>
              <w:pStyle w:val="Compact"/>
              <w:spacing w:line="240" w:lineRule="auto" w:before="20" w:after="20"/>
            </w:pPr>
            <w:r>
              <w:rPr>
                <w:rFonts w:ascii="Arial" w:hAnsi="Arial"/>
                <w:sz w:val="20"/>
              </w:rPr>
              <w:t xml:space="preserve">Emulating a target trial expresses the observational analysis as a randomized comparison, so its result speaks directly to trials such as CHAMP-HF; negative controls are estimated alongside it to diagnose the systematic bias that unmeasured confounding produces. Both questions share this rationale.</w:t>
            </w:r>
          </w:p>
        </w:tc>
      </w:tr>
      <w:tr>
        <w:tc>
          <w:tcPr>
            <w:tcW w:type="dxa" w:w="1725"/>
          </w:tcPr>
          <w:p>
            <w:pPr>
              <w:pStyle w:val="Compact"/>
              <w:spacing w:line="240" w:lineRule="auto" w:before="20" w:after="20"/>
            </w:pPr>
            <w:r>
              <w:rPr>
                <w:rFonts w:ascii="Arial" w:hAnsi="Arial"/>
                <w:b/>
                <w:bCs/>
                <w:sz w:val="20"/>
              </w:rPr>
              <w:t xml:space="preserve">Methods</w:t>
            </w:r>
          </w:p>
        </w:tc>
        <w:tc>
          <w:tcPr>
            <w:tcW w:type="dxa" w:w="5611"/>
          </w:tcPr>
          <w:p>
            <w:pPr>
              <w:rPr>
                <w:sz w:val="20"/>
              </w:rPr>
              <w:pStyle w:val="Compact"/>
              <w:spacing w:line="240" w:lineRule="auto" w:before="20" w:after="20"/>
            </w:pPr>
          </w:p>
        </w:tc>
        <w:tc>
          <w:tcPr>
            <w:tcW w:type="dxa" w:w="6618"/>
          </w:tcPr>
          <w:p>
            <w:pPr>
              <w:rPr>
                <w:sz w:val="20"/>
              </w:rPr>
              <w:pStyle w:val="Compact"/>
              <w:spacing w:line="240" w:lineRule="auto" w:before="20" w:after="20"/>
            </w:pPr>
          </w:p>
        </w:tc>
      </w:tr>
      <w:tr>
        <w:tc>
          <w:tcPr>
            <w:tcW w:type="dxa" w:w="1725"/>
          </w:tcPr>
          <w:p>
            <w:pPr>
              <w:pStyle w:val="Compact"/>
              <w:spacing w:line="240" w:lineRule="auto" w:before="20" w:after="20"/>
            </w:pPr>
            <w:r>
              <w:rPr>
                <w:rFonts w:ascii="Arial" w:hAnsi="Arial"/>
                <w:sz w:val="20"/>
              </w:rPr>
              <w:t xml:space="preserve">5. Data sources</w:t>
            </w:r>
          </w:p>
        </w:tc>
        <w:tc>
          <w:tcPr>
            <w:tcW w:type="dxa" w:w="5611"/>
          </w:tcPr>
          <w:p>
            <w:pPr>
              <w:pStyle w:val="Compact"/>
              <w:spacing w:line="240" w:lineRule="auto" w:before="20" w:after="20"/>
            </w:pPr>
            <w:r>
              <w:rPr>
                <w:rFonts w:ascii="Arial" w:hAnsi="Arial"/>
                <w:sz w:val="20"/>
              </w:rPr>
              <w:t xml:space="preserve">List each data source and describe its original purpose, type, geographic setting, and period, and state how the sources are linked or merged.</w:t>
            </w:r>
          </w:p>
        </w:tc>
        <w:tc>
          <w:tcPr>
            <w:tcW w:type="dxa" w:w="6618"/>
          </w:tcPr>
          <w:p>
            <w:pPr>
              <w:pStyle w:val="Compact"/>
              <w:spacing w:line="240" w:lineRule="auto" w:before="20" w:after="20"/>
            </w:pPr>
            <w:r>
              <w:rPr>
                <w:rFonts w:ascii="Arial" w:hAnsi="Arial"/>
                <w:sz w:val="20"/>
              </w:rPr>
              <w:t xml:space="preserve">MIMIC-IV (version 2.2) linked at the stay level to MIMIC-IV-ECG (version 1.0.1); intensive care unit admissions at a single US teaching hospital, 2008 to 2019; a de-identified database released to credentialed users. Both questions share this source.</w:t>
            </w:r>
          </w:p>
        </w:tc>
      </w:tr>
      <w:tr>
        <w:tc>
          <w:tcPr>
            <w:tcW w:type="dxa" w:w="1725"/>
          </w:tcPr>
          <w:p>
            <w:pPr>
              <w:pStyle w:val="Compact"/>
              <w:spacing w:line="240" w:lineRule="auto" w:before="20" w:after="20"/>
            </w:pPr>
            <w:r>
              <w:rPr>
                <w:rFonts w:ascii="Arial" w:hAnsi="Arial"/>
                <w:sz w:val="20"/>
              </w:rPr>
              <w:t xml:space="preserve">6. Target trial specification</w:t>
            </w:r>
          </w:p>
        </w:tc>
        <w:tc>
          <w:tcPr>
            <w:tcW w:type="dxa" w:w="5611"/>
          </w:tcPr>
          <w:p>
            <w:pPr>
              <w:pStyle w:val="Compact"/>
              <w:spacing w:line="240" w:lineRule="auto" w:before="20" w:after="20"/>
            </w:pPr>
            <w:r>
              <w:rPr>
                <w:rFonts w:ascii="Arial" w:hAnsi="Arial"/>
                <w:sz w:val="20"/>
              </w:rPr>
              <w:t xml:space="preserve">State the components of the target trial protocol that address the causal question. Components 6a through 6h follow.</w:t>
            </w:r>
          </w:p>
        </w:tc>
        <w:tc>
          <w:tcPr>
            <w:tcW w:type="dxa" w:w="6618"/>
          </w:tcPr>
          <w:p>
            <w:pPr>
              <w:pStyle w:val="Compact"/>
              <w:spacing w:line="240" w:lineRule="auto" w:before="20" w:after="20"/>
            </w:pPr>
            <w:r>
              <w:rPr>
                <w:rFonts w:ascii="Arial" w:hAnsi="Arial"/>
                <w:sz w:val="20"/>
              </w:rPr>
              <w:t xml:space="preserve">Every component is anchored in the observational data, as rows 6a through 6h and item 7 record.</w:t>
            </w:r>
          </w:p>
        </w:tc>
      </w:tr>
      <w:tr>
        <w:tc>
          <w:tcPr>
            <w:tcW w:type="dxa" w:w="1725"/>
          </w:tcPr>
          <w:p>
            <w:pPr>
              <w:pStyle w:val="Compact"/>
              <w:spacing w:line="240" w:lineRule="auto" w:before="20" w:after="20"/>
            </w:pPr>
            <w:r>
              <w:rPr>
                <w:rFonts w:ascii="Arial" w:hAnsi="Arial"/>
                <w:sz w:val="20"/>
              </w:rPr>
              <w:t xml:space="preserve">6a. Eligibility criteria</w:t>
            </w:r>
          </w:p>
        </w:tc>
        <w:tc>
          <w:tcPr>
            <w:tcW w:type="dxa" w:w="5611"/>
          </w:tcPr>
          <w:p>
            <w:pPr>
              <w:pStyle w:val="Compact"/>
              <w:spacing w:line="240" w:lineRule="auto" w:before="20" w:after="20"/>
            </w:pPr>
            <w:r>
              <w:rPr>
                <w:rFonts w:ascii="Arial" w:hAnsi="Arial"/>
                <w:sz w:val="20"/>
              </w:rPr>
              <w:t xml:space="preserve">Describe the criteria under which a participant could be assigned to either strategy in the ideal trial.</w:t>
            </w:r>
          </w:p>
        </w:tc>
        <w:tc>
          <w:tcPr>
            <w:tcW w:type="dxa" w:w="6618"/>
          </w:tcPr>
          <w:p>
            <w:pPr>
              <w:pStyle w:val="Compact"/>
              <w:spacing w:line="240" w:lineRule="auto" w:before="20" w:after="20"/>
            </w:pPr>
            <w:r>
              <w:rPr>
                <w:rFonts w:ascii="Arial" w:hAnsi="Arial"/>
                <w:sz w:val="20"/>
              </w:rPr>
              <w:t xml:space="preserve">Adults hospitalized for heart failure with a first intensive care unit stay, at least 24 hours of continuous monitoring, and a 12-lead electrocardiogram during the index stay; new users of beta-blockers, defined as no qualifying medication in the 90 days before time zero, which removes prevalent-user and immortal time bias; survivors of the grace period with one year of follow-up available. Both questions use the same 14,677 patients.</w:t>
            </w:r>
          </w:p>
        </w:tc>
      </w:tr>
      <w:tr>
        <w:tc>
          <w:tcPr>
            <w:tcW w:type="dxa" w:w="1725"/>
          </w:tcPr>
          <w:p>
            <w:pPr>
              <w:pStyle w:val="Compact"/>
              <w:spacing w:line="240" w:lineRule="auto" w:before="20" w:after="20"/>
            </w:pPr>
            <w:r>
              <w:rPr>
                <w:rFonts w:ascii="Arial" w:hAnsi="Arial"/>
                <w:sz w:val="20"/>
              </w:rPr>
              <w:t xml:space="preserve">6b. Treatment strategies</w:t>
            </w:r>
          </w:p>
        </w:tc>
        <w:tc>
          <w:tcPr>
            <w:tcW w:type="dxa" w:w="5611"/>
          </w:tcPr>
          <w:p>
            <w:pPr>
              <w:pStyle w:val="Compact"/>
              <w:spacing w:line="240" w:lineRule="auto" w:before="20" w:after="20"/>
            </w:pPr>
            <w:r>
              <w:rPr>
                <w:rFonts w:ascii="Arial" w:hAnsi="Arial"/>
                <w:sz w:val="20"/>
              </w:rPr>
              <w:t xml:space="preserve">Describe the two predefined static strategies.</w:t>
            </w:r>
          </w:p>
        </w:tc>
        <w:tc>
          <w:tcPr>
            <w:tcW w:type="dxa" w:w="6618"/>
          </w:tcPr>
          <w:p>
            <w:pPr>
              <w:pStyle w:val="Compact"/>
              <w:spacing w:line="240" w:lineRule="auto" w:before="20" w:after="20"/>
            </w:pPr>
            <w:r>
              <w:rPr>
                <w:rFonts w:ascii="Arial" w:hAnsi="Arial"/>
                <w:sz w:val="20"/>
              </w:rPr>
              <w:t xml:space="preserve">Question 1 compared reaching at least 50% of the guideline target daily dose at discharge with failing to reach it; the qualifying agents were carvedilol 50 mg, metoprolol succinate 200 mg, and bisoprolol 10 mg. Question 2 compared a guideline-directed medical therapy score of at least 2 of 3 classes, namely a renin-angiotensin system inhibitor, a mineralocorticoid receptor antagonist, and a beta-blocker each at 50% of target dose, with a lower score. Sodium-glucose cotransporter 2 inhibitors were not counted, a definition predating their recommendation in heart failure. Both exposures are fixed at time zero and do not change over follow-up.</w:t>
            </w:r>
          </w:p>
        </w:tc>
      </w:tr>
      <w:tr>
        <w:tc>
          <w:tcPr>
            <w:tcW w:type="dxa" w:w="1725"/>
          </w:tcPr>
          <w:p>
            <w:pPr>
              <w:pStyle w:val="Compact"/>
              <w:spacing w:line="240" w:lineRule="auto" w:before="20" w:after="20"/>
            </w:pPr>
            <w:r>
              <w:rPr>
                <w:rFonts w:ascii="Arial" w:hAnsi="Arial"/>
                <w:sz w:val="20"/>
              </w:rPr>
              <w:t xml:space="preserve">6c. Assignment procedure and timing</w:t>
            </w:r>
          </w:p>
        </w:tc>
        <w:tc>
          <w:tcPr>
            <w:tcW w:type="dxa" w:w="5611"/>
          </w:tcPr>
          <w:p>
            <w:pPr>
              <w:pStyle w:val="Compact"/>
              <w:spacing w:line="240" w:lineRule="auto" w:before="20" w:after="20"/>
            </w:pPr>
            <w:r>
              <w:rPr>
                <w:rFonts w:ascii="Arial" w:hAnsi="Arial"/>
                <w:sz w:val="20"/>
              </w:rPr>
              <w:t xml:space="preserve">Assign participants randomly at time zero (baseline).</w:t>
            </w:r>
          </w:p>
        </w:tc>
        <w:tc>
          <w:tcPr>
            <w:tcW w:type="dxa" w:w="6618"/>
          </w:tcPr>
          <w:p>
            <w:pPr>
              <w:pStyle w:val="Compact"/>
              <w:spacing w:line="240" w:lineRule="auto" w:before="20" w:after="20"/>
            </w:pPr>
            <w:r>
              <w:rPr>
                <w:rFonts w:ascii="Arial" w:hAnsi="Arial"/>
                <w:sz w:val="20"/>
              </w:rPr>
              <w:t xml:space="preserve">Time zero is the end of the 7-day grace period for both questions, and exposure status is measured at that point. The new-user design guarantees no exposure before time zero, so immortal time bias cannot arise. Assignment is not random, but it is anchored to an explicitly defined date.</w:t>
            </w:r>
          </w:p>
        </w:tc>
      </w:tr>
      <w:tr>
        <w:tc>
          <w:tcPr>
            <w:tcW w:type="dxa" w:w="1725"/>
          </w:tcPr>
          <w:p>
            <w:pPr>
              <w:pStyle w:val="Compact"/>
              <w:spacing w:line="240" w:lineRule="auto" w:before="20" w:after="20"/>
            </w:pPr>
            <w:r>
              <w:rPr>
                <w:rFonts w:ascii="Arial" w:hAnsi="Arial"/>
                <w:sz w:val="20"/>
              </w:rPr>
              <w:t xml:space="preserve">6d. Follow-up period</w:t>
            </w:r>
          </w:p>
        </w:tc>
        <w:tc>
          <w:tcPr>
            <w:tcW w:type="dxa" w:w="5611"/>
          </w:tcPr>
          <w:p>
            <w:pPr>
              <w:pStyle w:val="Compact"/>
              <w:spacing w:line="240" w:lineRule="auto" w:before="20" w:after="20"/>
            </w:pPr>
            <w:r>
              <w:rPr>
                <w:rFonts w:ascii="Arial" w:hAnsi="Arial"/>
                <w:sz w:val="20"/>
              </w:rPr>
              <w:t xml:space="preserve">Follow participants from assignment to the prespecified endpoint (one year) or to the outcome.</w:t>
            </w:r>
          </w:p>
        </w:tc>
        <w:tc>
          <w:tcPr>
            <w:tcW w:type="dxa" w:w="6618"/>
          </w:tcPr>
          <w:p>
            <w:pPr>
              <w:pStyle w:val="Compact"/>
              <w:spacing w:line="240" w:lineRule="auto" w:before="20" w:after="20"/>
            </w:pPr>
            <w:r>
              <w:rPr>
                <w:rFonts w:ascii="Arial" w:hAnsi="Arial"/>
                <w:sz w:val="20"/>
              </w:rPr>
              <w:t xml:space="preserve">Follow-up runs from time zero to one year after discharge for both questions. A 7-day grace period accommodates discharge prescribing and dose titration, so the outcome is measured from one common origin and the start of follow-up cannot be misdated.</w:t>
            </w:r>
          </w:p>
        </w:tc>
      </w:tr>
      <w:tr>
        <w:tc>
          <w:tcPr>
            <w:tcW w:type="dxa" w:w="1725"/>
          </w:tcPr>
          <w:p>
            <w:pPr>
              <w:pStyle w:val="Compact"/>
              <w:spacing w:line="240" w:lineRule="auto" w:before="20" w:after="20"/>
            </w:pPr>
            <w:r>
              <w:rPr>
                <w:rFonts w:ascii="Arial" w:hAnsi="Arial"/>
                <w:sz w:val="20"/>
              </w:rPr>
              <w:t xml:space="preserve">6e. Outcome</w:t>
            </w:r>
          </w:p>
        </w:tc>
        <w:tc>
          <w:tcPr>
            <w:tcW w:type="dxa" w:w="5611"/>
          </w:tcPr>
          <w:p>
            <w:pPr>
              <w:pStyle w:val="Compact"/>
              <w:spacing w:line="240" w:lineRule="auto" w:before="20" w:after="20"/>
            </w:pPr>
            <w:r>
              <w:rPr>
                <w:rFonts w:ascii="Arial" w:hAnsi="Arial"/>
                <w:sz w:val="20"/>
              </w:rPr>
              <w:t xml:space="preserve">Describe the prespecified hard endpoints, adjudicated without knowledge of exposure to limit misclassification.</w:t>
            </w:r>
          </w:p>
        </w:tc>
        <w:tc>
          <w:tcPr>
            <w:tcW w:type="dxa" w:w="6618"/>
          </w:tcPr>
          <w:p>
            <w:pPr>
              <w:pStyle w:val="Compact"/>
              <w:spacing w:line="240" w:lineRule="auto" w:before="20" w:after="20"/>
            </w:pPr>
            <w:r>
              <w:rPr>
                <w:rFonts w:ascii="Arial" w:hAnsi="Arial"/>
                <w:sz w:val="20"/>
              </w:rPr>
              <w:t xml:space="preserve">The primary outcome is one-year all-cause mortality, the endpoint recorded most completely in this database. Death is captured administratively rather than adjudicated, but MIMIC-IV death records extend beyond discharge, so the one-year follow-up is complete. Both questions use the same outcome.</w:t>
            </w:r>
          </w:p>
        </w:tc>
      </w:tr>
      <w:tr>
        <w:tc>
          <w:tcPr>
            <w:tcW w:type="dxa" w:w="1725"/>
          </w:tcPr>
          <w:p>
            <w:pPr>
              <w:pStyle w:val="Compact"/>
              <w:spacing w:line="240" w:lineRule="auto" w:before="20" w:after="20"/>
            </w:pPr>
            <w:r>
              <w:rPr>
                <w:rFonts w:ascii="Arial" w:hAnsi="Arial"/>
                <w:sz w:val="20"/>
              </w:rPr>
              <w:t xml:space="preserve">6f. Causal contrast</w:t>
            </w:r>
          </w:p>
        </w:tc>
        <w:tc>
          <w:tcPr>
            <w:tcW w:type="dxa" w:w="5611"/>
          </w:tcPr>
          <w:p>
            <w:pPr>
              <w:pStyle w:val="Compact"/>
              <w:spacing w:line="240" w:lineRule="auto" w:before="20" w:after="20"/>
            </w:pPr>
            <w:r>
              <w:rPr>
                <w:rFonts w:ascii="Arial" w:hAnsi="Arial"/>
                <w:sz w:val="20"/>
              </w:rPr>
              <w:t xml:space="preserve">Describe the causal contrasts of interest, including the effect measure.</w:t>
            </w:r>
          </w:p>
        </w:tc>
        <w:tc>
          <w:tcPr>
            <w:tcW w:type="dxa" w:w="6618"/>
          </w:tcPr>
          <w:p>
            <w:pPr>
              <w:pStyle w:val="Compact"/>
              <w:spacing w:line="240" w:lineRule="auto" w:before="20" w:after="20"/>
            </w:pPr>
            <w:r>
              <w:rPr>
                <w:rFonts w:ascii="Arial" w:hAnsi="Arial"/>
                <w:sz w:val="20"/>
              </w:rPr>
              <w:t xml:space="preserve">Both questions estimate the average treatment effect on the log relative-risk scale, the one-year mortality log relative risk comparing the higher-exposure strategy with the lower. This is the contrast most exposed to the healthy adherer effect, because exposure is driven by adherence, which is itself associated with unmeasured health status. The design estimates a baseline-strategy contrast, not the effect of sustained adherence.</w:t>
            </w:r>
          </w:p>
        </w:tc>
      </w:tr>
      <w:tr>
        <w:tc>
          <w:tcPr>
            <w:tcW w:type="dxa" w:w="1725"/>
          </w:tcPr>
          <w:p>
            <w:pPr>
              <w:pStyle w:val="Compact"/>
              <w:spacing w:line="240" w:lineRule="auto" w:before="20" w:after="20"/>
            </w:pPr>
            <w:r>
              <w:rPr>
                <w:rFonts w:ascii="Arial" w:hAnsi="Arial"/>
                <w:sz w:val="20"/>
              </w:rPr>
              <w:t xml:space="preserve">6g. Identifying assumptions</w:t>
            </w:r>
          </w:p>
        </w:tc>
        <w:tc>
          <w:tcPr>
            <w:tcW w:type="dxa" w:w="5611"/>
          </w:tcPr>
          <w:p>
            <w:pPr>
              <w:pStyle w:val="Compact"/>
              <w:spacing w:line="240" w:lineRule="auto" w:before="20" w:after="20"/>
            </w:pPr>
            <w:r>
              <w:rPr>
                <w:rFonts w:ascii="Arial" w:hAnsi="Arial"/>
                <w:sz w:val="20"/>
              </w:rPr>
              <w:t xml:space="preserve">Describe the assumptions needed to identify each causal estimand, including any baseline confounding assumption arising from the absence of randomization, and the variables involved.</w:t>
            </w:r>
          </w:p>
        </w:tc>
        <w:tc>
          <w:tcPr>
            <w:tcW w:type="dxa" w:w="6618"/>
          </w:tcPr>
          <w:p>
            <w:pPr>
              <w:pStyle w:val="Compact"/>
              <w:spacing w:line="240" w:lineRule="auto" w:before="20" w:after="20"/>
            </w:pPr>
            <w:r>
              <w:rPr>
                <w:rFonts w:ascii="Arial" w:hAnsi="Arial"/>
                <w:sz w:val="20"/>
              </w:rPr>
              <w:t xml:space="preserve">Three assumptions: no unmeasured confounding, with 10 baseline covariates adjusted for; positivity, so that both strategies have non-zero probability at every covariate combination; and consistency, so that the strategies as defined correspond to the potential outcomes. Negative controls test the measurable direction of confounding and the bias fraction quantifies the part that is not measurable. Both questions rest on the same assumptions.</w:t>
            </w:r>
          </w:p>
        </w:tc>
      </w:tr>
      <w:tr>
        <w:tc>
          <w:tcPr>
            <w:tcW w:type="dxa" w:w="1725"/>
          </w:tcPr>
          <w:p>
            <w:pPr>
              <w:pStyle w:val="Compact"/>
              <w:spacing w:line="240" w:lineRule="auto" w:before="20" w:after="20"/>
            </w:pPr>
            <w:r>
              <w:rPr>
                <w:rFonts w:ascii="Arial" w:hAnsi="Arial"/>
                <w:sz w:val="20"/>
              </w:rPr>
              <w:t xml:space="preserve">6h. Data analysis</w:t>
            </w:r>
          </w:p>
        </w:tc>
        <w:tc>
          <w:tcPr>
            <w:tcW w:type="dxa" w:w="5611"/>
          </w:tcPr>
          <w:p>
            <w:pPr>
              <w:pStyle w:val="Compact"/>
              <w:spacing w:line="240" w:lineRule="auto" w:before="20" w:after="20"/>
            </w:pPr>
            <w:r>
              <w:rPr>
                <w:rFonts w:ascii="Arial" w:hAnsi="Arial"/>
                <w:sz w:val="20"/>
              </w:rPr>
              <w:t xml:space="preserve">Describe the analysis of each estimand, the modeling assumptions, and the handling of missing data.</w:t>
            </w:r>
          </w:p>
        </w:tc>
        <w:tc>
          <w:tcPr>
            <w:tcW w:type="dxa" w:w="6618"/>
          </w:tcPr>
          <w:p>
            <w:pPr>
              <w:pStyle w:val="Compact"/>
              <w:spacing w:line="240" w:lineRule="auto" w:before="20" w:after="20"/>
            </w:pPr>
            <w:r>
              <w:rPr>
                <w:rFonts w:ascii="Arial" w:hAnsi="Arial"/>
                <w:sz w:val="20"/>
              </w:rPr>
              <w:t xml:space="preserve">Both questions use targeted maximum likelihood estimation, a doubly robust and semiparametrically efficient estimator, with the nuisance models fitted by a Super Learner over 10 baseline covariates, followed by empirical calibration against 12 negative controls and the bias fraction diagnostic. The reasoning behind this combination appears in eMethods.</w:t>
            </w:r>
          </w:p>
        </w:tc>
      </w:tr>
      <w:tr>
        <w:tc>
          <w:tcPr>
            <w:tcW w:type="dxa" w:w="1725"/>
          </w:tcPr>
          <w:p>
            <w:pPr>
              <w:pStyle w:val="Compact"/>
              <w:spacing w:line="240" w:lineRule="auto" w:before="20" w:after="20"/>
            </w:pPr>
            <w:r>
              <w:rPr>
                <w:rFonts w:ascii="Arial" w:hAnsi="Arial"/>
                <w:sz w:val="20"/>
              </w:rPr>
              <w:t xml:space="preserve">7. Target trial emulation</w:t>
            </w:r>
          </w:p>
        </w:tc>
        <w:tc>
          <w:tcPr>
            <w:tcW w:type="dxa" w:w="5611"/>
          </w:tcPr>
          <w:p>
            <w:pPr>
              <w:pStyle w:val="Compact"/>
              <w:spacing w:line="240" w:lineRule="auto" w:before="20" w:after="20"/>
            </w:pPr>
            <w:r>
              <w:rPr>
                <w:rFonts w:ascii="Arial" w:hAnsi="Arial"/>
                <w:sz w:val="20"/>
              </w:rPr>
              <w:t xml:space="preserve">Describe how each component is operationalized in the observational data, including how every variable is measured or ascertained.</w:t>
            </w:r>
          </w:p>
        </w:tc>
        <w:tc>
          <w:tcPr>
            <w:tcW w:type="dxa" w:w="6618"/>
          </w:tcPr>
          <w:p>
            <w:pPr>
              <w:pStyle w:val="Compact"/>
              <w:spacing w:line="240" w:lineRule="auto" w:before="20" w:after="20"/>
            </w:pPr>
            <w:r>
              <w:rPr>
                <w:rFonts w:ascii="Arial" w:hAnsi="Arial"/>
                <w:sz w:val="20"/>
              </w:rPr>
              <w:t xml:space="preserve">Every variable is operationalizable: the exposure from the discharge prescription record expressed as a percentage of the drug target dose, the outcome from MIMIC-IV death records, and the covariates from measurements taken before time zero. This avoids misdating the start of follow-up and misclassifying exposure. Both questions share the same operationalization.</w:t>
            </w:r>
          </w:p>
        </w:tc>
      </w:tr>
      <w:tr>
        <w:tc>
          <w:tcPr>
            <w:tcW w:type="dxa" w:w="1725"/>
          </w:tcPr>
          <w:p>
            <w:pPr>
              <w:pStyle w:val="Compact"/>
              <w:spacing w:line="240" w:lineRule="auto" w:before="20" w:after="20"/>
            </w:pPr>
            <w:r>
              <w:rPr>
                <w:rFonts w:ascii="Arial" w:hAnsi="Arial"/>
                <w:b/>
                <w:bCs/>
                <w:sz w:val="20"/>
              </w:rPr>
              <w:t xml:space="preserve">Results</w:t>
            </w:r>
          </w:p>
        </w:tc>
        <w:tc>
          <w:tcPr>
            <w:tcW w:type="dxa" w:w="5611"/>
          </w:tcPr>
          <w:p>
            <w:pPr>
              <w:rPr>
                <w:sz w:val="20"/>
              </w:rPr>
              <w:pStyle w:val="Compact"/>
              <w:spacing w:line="240" w:lineRule="auto" w:before="20" w:after="20"/>
            </w:pPr>
          </w:p>
        </w:tc>
        <w:tc>
          <w:tcPr>
            <w:tcW w:type="dxa" w:w="6618"/>
          </w:tcPr>
          <w:p>
            <w:pPr>
              <w:rPr>
                <w:sz w:val="20"/>
              </w:rPr>
              <w:pStyle w:val="Compact"/>
              <w:spacing w:line="240" w:lineRule="auto" w:before="20" w:after="20"/>
            </w:pPr>
          </w:p>
        </w:tc>
      </w:tr>
      <w:tr>
        <w:tc>
          <w:tcPr>
            <w:tcW w:type="dxa" w:w="1725"/>
          </w:tcPr>
          <w:p>
            <w:pPr>
              <w:pStyle w:val="Compact"/>
              <w:spacing w:line="240" w:lineRule="auto" w:before="20" w:after="20"/>
            </w:pPr>
            <w:r>
              <w:rPr>
                <w:rFonts w:ascii="Arial" w:hAnsi="Arial"/>
                <w:sz w:val="20"/>
              </w:rPr>
              <w:t xml:space="preserve">8. Participant selection</w:t>
            </w:r>
          </w:p>
        </w:tc>
        <w:tc>
          <w:tcPr>
            <w:tcW w:type="dxa" w:w="5611"/>
          </w:tcPr>
          <w:p>
            <w:pPr>
              <w:pStyle w:val="Compact"/>
              <w:spacing w:line="240" w:lineRule="auto" w:before="20" w:after="20"/>
            </w:pPr>
            <w:r>
              <w:rPr>
                <w:rFonts w:ascii="Arial" w:hAnsi="Arial"/>
                <w:sz w:val="20"/>
              </w:rPr>
              <w:t xml:space="preserve">Report the numbers assessed for eligibility, found eligible, and assigned to each strategy. A flow diagram is strongly recommended.</w:t>
            </w:r>
          </w:p>
        </w:tc>
        <w:tc>
          <w:tcPr>
            <w:tcW w:type="dxa" w:w="6618"/>
          </w:tcPr>
          <w:p>
            <w:pPr>
              <w:pStyle w:val="Compact"/>
              <w:spacing w:line="240" w:lineRule="auto" w:before="20" w:after="20"/>
            </w:pPr>
            <w:r>
              <w:rPr>
                <w:rFonts w:ascii="Arial" w:hAnsi="Arial"/>
                <w:sz w:val="20"/>
              </w:rPr>
              <w:t xml:space="preserve">Of 15,053 heart-failure hospitalizations assessed, 376 did not survive the 7-day grace period, leaving 14,677. For question 1, 1,772 patients reached at least 50% of the target dose and 12,905 did not; question 2 uses the same cohort. The flow diagram is eFigure 2.</w:t>
            </w:r>
          </w:p>
        </w:tc>
      </w:tr>
      <w:tr>
        <w:tc>
          <w:tcPr>
            <w:tcW w:type="dxa" w:w="1725"/>
          </w:tcPr>
          <w:p>
            <w:pPr>
              <w:pStyle w:val="Compact"/>
              <w:spacing w:line="240" w:lineRule="auto" w:before="20" w:after="20"/>
            </w:pPr>
            <w:r>
              <w:rPr>
                <w:rFonts w:ascii="Arial" w:hAnsi="Arial"/>
                <w:sz w:val="20"/>
              </w:rPr>
              <w:t xml:space="preserve">9. Baseline data</w:t>
            </w:r>
          </w:p>
        </w:tc>
        <w:tc>
          <w:tcPr>
            <w:tcW w:type="dxa" w:w="5611"/>
          </w:tcPr>
          <w:p>
            <w:pPr>
              <w:pStyle w:val="Compact"/>
              <w:spacing w:line="240" w:lineRule="auto" w:before="20" w:after="20"/>
            </w:pPr>
            <w:r>
              <w:rPr>
                <w:rFonts w:ascii="Arial" w:hAnsi="Arial"/>
                <w:sz w:val="20"/>
              </w:rPr>
              <w:t xml:space="preserve">Describe the distribution of baseline characteristics in each strategy group.</w:t>
            </w:r>
          </w:p>
        </w:tc>
        <w:tc>
          <w:tcPr>
            <w:tcW w:type="dxa" w:w="6618"/>
          </w:tcPr>
          <w:p>
            <w:pPr>
              <w:pStyle w:val="Compact"/>
              <w:spacing w:line="240" w:lineRule="auto" w:before="20" w:after="20"/>
            </w:pPr>
            <w:r>
              <w:rPr>
                <w:rFonts w:ascii="Arial" w:hAnsi="Arial"/>
                <w:sz w:val="20"/>
              </w:rPr>
              <w:t xml:space="preserve">eTable 15 and eTable 7 report each characteristic by strategy for the two questions, with absolute standardized mean differences before and after inverse probability of treatment weighting. Mean age was 71.3 (SD, 13.6) years and 6,702 patients (45.7%) were female; the higher-exposure group carried the healthier adherer profile. Both questions draw on one cohort and therefore one baseline table.</w:t>
            </w:r>
          </w:p>
        </w:tc>
      </w:tr>
      <w:tr>
        <w:tc>
          <w:tcPr>
            <w:tcW w:type="dxa" w:w="1725"/>
          </w:tcPr>
          <w:p>
            <w:pPr>
              <w:pStyle w:val="Compact"/>
              <w:spacing w:line="240" w:lineRule="auto" w:before="20" w:after="20"/>
            </w:pPr>
            <w:r>
              <w:rPr>
                <w:rFonts w:ascii="Arial" w:hAnsi="Arial"/>
                <w:sz w:val="20"/>
              </w:rPr>
              <w:t xml:space="preserve">10. Follow-up</w:t>
            </w:r>
          </w:p>
        </w:tc>
        <w:tc>
          <w:tcPr>
            <w:tcW w:type="dxa" w:w="5611"/>
          </w:tcPr>
          <w:p>
            <w:pPr>
              <w:pStyle w:val="Compact"/>
              <w:spacing w:line="240" w:lineRule="auto" w:before="20" w:after="20"/>
            </w:pPr>
            <w:r>
              <w:rPr>
                <w:rFonts w:ascii="Arial" w:hAnsi="Arial"/>
                <w:sz w:val="20"/>
              </w:rPr>
              <w:t xml:space="preserve">Summarize the duration of follow-up and describe why follow-up ended in each group and contrast.</w:t>
            </w:r>
          </w:p>
        </w:tc>
        <w:tc>
          <w:tcPr>
            <w:tcW w:type="dxa" w:w="6618"/>
          </w:tcPr>
          <w:p>
            <w:pPr>
              <w:pStyle w:val="Compact"/>
              <w:spacing w:line="240" w:lineRule="auto" w:before="20" w:after="20"/>
            </w:pPr>
            <w:r>
              <w:rPr>
                <w:rFonts w:ascii="Arial" w:hAnsi="Arial"/>
                <w:sz w:val="20"/>
              </w:rPr>
              <w:t xml:space="preserve">Follow-up ran to one year from time zero for both questions. Because the window is fixed and identical for every participant and death is recorded beyond discharge, follow-up duration does not differ systematically between the strategy groups.</w:t>
            </w:r>
          </w:p>
        </w:tc>
      </w:tr>
      <w:tr>
        <w:tc>
          <w:tcPr>
            <w:tcW w:type="dxa" w:w="1725"/>
          </w:tcPr>
          <w:p>
            <w:pPr>
              <w:pStyle w:val="Compact"/>
              <w:spacing w:line="240" w:lineRule="auto" w:before="20" w:after="20"/>
            </w:pPr>
            <w:r>
              <w:rPr>
                <w:rFonts w:ascii="Arial" w:hAnsi="Arial"/>
                <w:sz w:val="20"/>
              </w:rPr>
              <w:t xml:space="preserve">11. Missing data</w:t>
            </w:r>
          </w:p>
        </w:tc>
        <w:tc>
          <w:tcPr>
            <w:tcW w:type="dxa" w:w="5611"/>
          </w:tcPr>
          <w:p>
            <w:pPr>
              <w:pStyle w:val="Compact"/>
              <w:spacing w:line="240" w:lineRule="auto" w:before="20" w:after="20"/>
            </w:pPr>
            <w:r>
              <w:rPr>
                <w:rFonts w:ascii="Arial" w:hAnsi="Arial"/>
                <w:sz w:val="20"/>
              </w:rPr>
              <w:t xml:space="preserve">Describe the frequency of missing data for each variable, by strategy.</w:t>
            </w:r>
          </w:p>
        </w:tc>
        <w:tc>
          <w:tcPr>
            <w:tcW w:type="dxa" w:w="6618"/>
          </w:tcPr>
          <w:p>
            <w:pPr>
              <w:pStyle w:val="Compact"/>
              <w:spacing w:line="240" w:lineRule="auto" w:before="20" w:after="20"/>
            </w:pPr>
            <w:r>
              <w:rPr>
                <w:rFonts w:ascii="Arial" w:hAnsi="Arial"/>
                <w:sz w:val="20"/>
              </w:rPr>
              <w:t xml:space="preserve">One-year all-cause mortality was complete. Exposure-derived variables were not imputed: the 3,494 patients (23.8%) with an indeterminate guideline-directed medical therapy score were classified as not optimized, the most favorable of four conventions examined, none of which produced a usable determination (eTable 10). Dose construction and the handling of implausible dose values appear in eMethods.</w:t>
            </w:r>
          </w:p>
        </w:tc>
      </w:tr>
      <w:tr>
        <w:tc>
          <w:tcPr>
            <w:tcW w:type="dxa" w:w="1725"/>
          </w:tcPr>
          <w:p>
            <w:pPr>
              <w:pStyle w:val="Compact"/>
              <w:spacing w:line="240" w:lineRule="auto" w:before="20" w:after="20"/>
            </w:pPr>
            <w:r>
              <w:rPr>
                <w:rFonts w:ascii="Arial" w:hAnsi="Arial"/>
                <w:sz w:val="20"/>
              </w:rPr>
              <w:t xml:space="preserve">12. Outcomes</w:t>
            </w:r>
          </w:p>
        </w:tc>
        <w:tc>
          <w:tcPr>
            <w:tcW w:type="dxa" w:w="5611"/>
          </w:tcPr>
          <w:p>
            <w:pPr>
              <w:pStyle w:val="Compact"/>
              <w:spacing w:line="240" w:lineRule="auto" w:before="20" w:after="20"/>
            </w:pPr>
            <w:r>
              <w:rPr>
                <w:rFonts w:ascii="Arial" w:hAnsi="Arial"/>
                <w:sz w:val="20"/>
              </w:rPr>
              <w:t xml:space="preserve">Describe the frequency or distribution of the outcomes in each strategy group.</w:t>
            </w:r>
          </w:p>
        </w:tc>
        <w:tc>
          <w:tcPr>
            <w:tcW w:type="dxa" w:w="6618"/>
          </w:tcPr>
          <w:p>
            <w:pPr>
              <w:pStyle w:val="Compact"/>
              <w:spacing w:line="240" w:lineRule="auto" w:before="20" w:after="20"/>
            </w:pPr>
            <w:r>
              <w:rPr>
                <w:rFonts w:ascii="Arial" w:hAnsi="Arial"/>
                <w:sz w:val="20"/>
              </w:rPr>
              <w:t xml:space="preserve">Question 1: uncalibrated relative risk 0.83, calibrating to 0.98 (P = .89). Question 2: 0.68, calibrating to 0.81 (P = .10). After calibration neither protective association was distinguishable from the empirical null, and neither question passed layer 1.</w:t>
            </w:r>
          </w:p>
        </w:tc>
      </w:tr>
      <w:tr>
        <w:tc>
          <w:tcPr>
            <w:tcW w:type="dxa" w:w="1725"/>
          </w:tcPr>
          <w:p>
            <w:pPr>
              <w:pStyle w:val="Compact"/>
              <w:spacing w:line="240" w:lineRule="auto" w:before="20" w:after="20"/>
            </w:pPr>
            <w:r>
              <w:rPr>
                <w:rFonts w:ascii="Arial" w:hAnsi="Arial"/>
                <w:sz w:val="20"/>
              </w:rPr>
              <w:t xml:space="preserve">13. Effect estimates</w:t>
            </w:r>
          </w:p>
        </w:tc>
        <w:tc>
          <w:tcPr>
            <w:tcW w:type="dxa" w:w="5611"/>
          </w:tcPr>
          <w:p>
            <w:pPr>
              <w:pStyle w:val="Compact"/>
              <w:spacing w:line="240" w:lineRule="auto" w:before="20" w:after="20"/>
            </w:pPr>
            <w:r>
              <w:rPr>
                <w:rFonts w:ascii="Arial" w:hAnsi="Arial"/>
                <w:sz w:val="20"/>
              </w:rPr>
              <w:t xml:space="preserve">Report the effect estimate and its precision for each causal contrast, on relative and absolute scales.</w:t>
            </w:r>
          </w:p>
        </w:tc>
        <w:tc>
          <w:tcPr>
            <w:tcW w:type="dxa" w:w="6618"/>
          </w:tcPr>
          <w:p>
            <w:pPr>
              <w:pStyle w:val="Compact"/>
              <w:spacing w:line="240" w:lineRule="auto" w:before="20" w:after="20"/>
            </w:pPr>
            <w:r>
              <w:rPr>
                <w:rFonts w:ascii="Arial" w:hAnsi="Arial"/>
                <w:sz w:val="20"/>
              </w:rPr>
              <w:t xml:space="preserve">Each contrast is reported as an uncalibrated and a calibrated relative risk, the calibrated P value, and the bias fraction with its 95% credible interval (eTable 5). The estimand is the log relative risk, and no absolute-scale estimate was produced.</w:t>
            </w:r>
          </w:p>
        </w:tc>
      </w:tr>
      <w:tr>
        <w:tc>
          <w:tcPr>
            <w:tcW w:type="dxa" w:w="1725"/>
          </w:tcPr>
          <w:p>
            <w:pPr>
              <w:pStyle w:val="Compact"/>
              <w:spacing w:line="240" w:lineRule="auto" w:before="20" w:after="20"/>
            </w:pPr>
            <w:r>
              <w:rPr>
                <w:rFonts w:ascii="Arial" w:hAnsi="Arial"/>
                <w:sz w:val="20"/>
              </w:rPr>
              <w:t xml:space="preserve">14. Additional analyses</w:t>
            </w:r>
          </w:p>
        </w:tc>
        <w:tc>
          <w:tcPr>
            <w:tcW w:type="dxa" w:w="5611"/>
          </w:tcPr>
          <w:p>
            <w:pPr>
              <w:pStyle w:val="Compact"/>
              <w:spacing w:line="240" w:lineRule="auto" w:before="20" w:after="20"/>
            </w:pPr>
            <w:r>
              <w:rPr>
                <w:rFonts w:ascii="Arial" w:hAnsi="Arial"/>
                <w:sz w:val="20"/>
              </w:rPr>
              <w:t xml:space="preserve">Report every analysis that examines how sensitive the estimate is to the operationalization, the assumptions, and the analytic choices.</w:t>
            </w:r>
          </w:p>
        </w:tc>
        <w:tc>
          <w:tcPr>
            <w:tcW w:type="dxa" w:w="6618"/>
          </w:tcPr>
          <w:p>
            <w:pPr>
              <w:pStyle w:val="Compact"/>
              <w:spacing w:line="240" w:lineRule="auto" w:before="20" w:after="20"/>
            </w:pPr>
            <w:r>
              <w:rPr>
                <w:rFonts w:ascii="Arial" w:hAnsi="Arial"/>
                <w:sz w:val="20"/>
              </w:rPr>
              <w:t xml:space="preserve">Question 1 was re-estimated under leave-one-out resampling of the negative control panel, three alternative Super Learner libraries, and a Gaussian-process perturbation of the propensity-score model, with the bias fraction interval obtained by bootstrap resampling (eTable 4). An ejection-fraction proxy tested whether cohort heterogeneity drives the result (eTable 12), four conventions for the indeterminate question-2 exposure were compared (eTable 10), and question 2 served as a positive control for overcorrection. No analysis changed either determination.</w:t>
            </w:r>
          </w:p>
        </w:tc>
      </w:tr>
      <w:tr>
        <w:tc>
          <w:tcPr>
            <w:tcW w:type="dxa" w:w="1725"/>
          </w:tcPr>
          <w:p>
            <w:pPr>
              <w:pStyle w:val="Compact"/>
              <w:spacing w:line="240" w:lineRule="auto" w:before="20" w:after="20"/>
            </w:pPr>
            <w:r>
              <w:rPr>
                <w:rFonts w:ascii="Arial" w:hAnsi="Arial"/>
                <w:sz w:val="20"/>
              </w:rPr>
              <w:t xml:space="preserve">15. Interpretation</w:t>
            </w:r>
          </w:p>
        </w:tc>
        <w:tc>
          <w:tcPr>
            <w:tcW w:type="dxa" w:w="5611"/>
          </w:tcPr>
          <w:p>
            <w:pPr>
              <w:pStyle w:val="Compact"/>
              <w:spacing w:line="240" w:lineRule="auto" w:before="20" w:after="20"/>
            </w:pPr>
            <w:r>
              <w:rPr>
                <w:rFonts w:ascii="Arial" w:hAnsi="Arial"/>
                <w:sz w:val="20"/>
              </w:rPr>
              <w:t xml:space="preserve">Give an interpretation of the key findings.</w:t>
            </w:r>
          </w:p>
        </w:tc>
        <w:tc>
          <w:tcPr>
            <w:tcW w:type="dxa" w:w="6618"/>
          </w:tcPr>
          <w:p>
            <w:pPr>
              <w:pStyle w:val="Compact"/>
              <w:spacing w:line="240" w:lineRule="auto" w:before="20" w:after="20"/>
            </w:pPr>
            <w:r>
              <w:rPr>
                <w:rFonts w:ascii="Arial" w:hAnsi="Arial"/>
                <w:sz w:val="20"/>
              </w:rPr>
              <w:t xml:space="preserve">After calibration the beta-blocker target-dose association was indistinguishable from the empirical null, so bias dominated that estimate, whereas guideline-directed medical therapy retained a protective association that was nevertheless unseparated from the null. The bias fraction states how much of each calibrated signal is attributable to bias and, read with the negative control pattern, supplies what the calibrated P value alone does not.</w:t>
            </w:r>
          </w:p>
        </w:tc>
      </w:tr>
      <w:tr>
        <w:tc>
          <w:tcPr>
            <w:tcW w:type="dxa" w:w="1725"/>
          </w:tcPr>
          <w:p>
            <w:pPr>
              <w:pStyle w:val="Compact"/>
              <w:spacing w:line="240" w:lineRule="auto" w:before="20" w:after="20"/>
            </w:pPr>
            <w:r>
              <w:rPr>
                <w:rFonts w:ascii="Arial" w:hAnsi="Arial"/>
                <w:sz w:val="20"/>
              </w:rPr>
              <w:t xml:space="preserve">16. Limitations</w:t>
            </w:r>
          </w:p>
        </w:tc>
        <w:tc>
          <w:tcPr>
            <w:tcW w:type="dxa" w:w="5611"/>
          </w:tcPr>
          <w:p>
            <w:pPr>
              <w:pStyle w:val="Compact"/>
              <w:spacing w:line="240" w:lineRule="auto" w:before="20" w:after="20"/>
            </w:pPr>
            <w:r>
              <w:rPr>
                <w:rFonts w:ascii="Arial" w:hAnsi="Arial"/>
                <w:sz w:val="20"/>
              </w:rPr>
              <w:t xml:space="preserve">Discuss the limitations, including differences between the target trial and its emulation and the plausibility of the assumptions, in particular baseline confounding.</w:t>
            </w:r>
          </w:p>
        </w:tc>
        <w:tc>
          <w:tcPr>
            <w:tcW w:type="dxa" w:w="6618"/>
          </w:tcPr>
          <w:p>
            <w:pPr>
              <w:pStyle w:val="Compact"/>
              <w:spacing w:line="240" w:lineRule="auto" w:before="20" w:after="20"/>
            </w:pPr>
            <w:r>
              <w:rPr>
                <w:rFonts w:ascii="Arial" w:hAnsi="Arial"/>
                <w:sz w:val="20"/>
              </w:rPr>
              <w:t xml:space="preserve">Negative controls test only the measurable direction of confounding, and unmeasured confounding is left to the bias fraction; the static strategies approximate sustained treatment rather than reproducing it; MIMIC-IV is single-center, which limits the generalizability of the clinical findings but not of the metric; and the emulation departs from the ideal trial because assignment is not random and the cohort mixes reduced with preserved systolic function. Both questions share these limitations.</w:t>
            </w:r>
          </w:p>
        </w:tc>
      </w:tr>
      <w:tr>
        <w:tc>
          <w:tcPr>
            <w:tcW w:type="dxa" w:w="1725"/>
          </w:tcPr>
          <w:p>
            <w:pPr>
              <w:pStyle w:val="Compact"/>
              <w:spacing w:line="240" w:lineRule="auto" w:before="20" w:after="20"/>
            </w:pPr>
            <w:r>
              <w:rPr>
                <w:rFonts w:ascii="Arial" w:hAnsi="Arial"/>
                <w:b/>
                <w:bCs/>
                <w:sz w:val="20"/>
              </w:rPr>
              <w:t xml:space="preserve">Other information</w:t>
            </w:r>
          </w:p>
        </w:tc>
        <w:tc>
          <w:tcPr>
            <w:tcW w:type="dxa" w:w="5611"/>
          </w:tcPr>
          <w:p>
            <w:pPr>
              <w:rPr>
                <w:sz w:val="20"/>
              </w:rPr>
              <w:pStyle w:val="Compact"/>
              <w:spacing w:line="240" w:lineRule="auto" w:before="20" w:after="20"/>
            </w:pPr>
          </w:p>
        </w:tc>
        <w:tc>
          <w:tcPr>
            <w:tcW w:type="dxa" w:w="6618"/>
          </w:tcPr>
          <w:p>
            <w:pPr>
              <w:rPr>
                <w:sz w:val="20"/>
              </w:rPr>
              <w:pStyle w:val="Compact"/>
              <w:spacing w:line="240" w:lineRule="auto" w:before="20" w:after="20"/>
            </w:pPr>
          </w:p>
        </w:tc>
      </w:tr>
      <w:tr>
        <w:tc>
          <w:tcPr>
            <w:tcW w:type="dxa" w:w="1725"/>
          </w:tcPr>
          <w:p>
            <w:pPr>
              <w:pStyle w:val="Compact"/>
              <w:spacing w:line="240" w:lineRule="auto" w:before="20" w:after="20"/>
            </w:pPr>
            <w:r>
              <w:rPr>
                <w:rFonts w:ascii="Arial" w:hAnsi="Arial"/>
                <w:sz w:val="20"/>
              </w:rPr>
              <w:t xml:space="preserve">17. Ethics</w:t>
            </w:r>
          </w:p>
        </w:tc>
        <w:tc>
          <w:tcPr>
            <w:tcW w:type="dxa" w:w="5611"/>
          </w:tcPr>
          <w:p>
            <w:pPr>
              <w:pStyle w:val="Compact"/>
              <w:spacing w:line="240" w:lineRule="auto" w:before="20" w:after="20"/>
            </w:pPr>
            <w:r>
              <w:rPr>
                <w:rFonts w:ascii="Arial" w:hAnsi="Arial"/>
                <w:sz w:val="20"/>
              </w:rPr>
              <w:t xml:space="preserve">Provide the ethics committee approval and its reference number, where applicable.</w:t>
            </w:r>
          </w:p>
        </w:tc>
        <w:tc>
          <w:tcPr>
            <w:tcW w:type="dxa" w:w="6618"/>
          </w:tcPr>
          <w:p>
            <w:pPr>
              <w:pStyle w:val="Compact"/>
              <w:spacing w:line="240" w:lineRule="auto" w:before="20" w:after="20"/>
            </w:pPr>
            <w:r>
              <w:rPr>
                <w:rFonts w:ascii="Arial" w:hAnsi="Arial"/>
                <w:sz w:val="20"/>
              </w:rPr>
              <w:t xml:space="preserve">The institutional review boards approved the study with a waiver of informed consent. MIMIC-IV and MIMIC-IV-ECG are de-identified databases released to credentialed users under a data use agreement. Both questions fall under the same approval.</w:t>
            </w:r>
          </w:p>
        </w:tc>
      </w:tr>
      <w:tr>
        <w:tc>
          <w:tcPr>
            <w:tcW w:type="dxa" w:w="1725"/>
          </w:tcPr>
          <w:p>
            <w:pPr>
              <w:pStyle w:val="Compact"/>
              <w:spacing w:line="240" w:lineRule="auto" w:before="20" w:after="20"/>
            </w:pPr>
            <w:r>
              <w:rPr>
                <w:rFonts w:ascii="Arial" w:hAnsi="Arial"/>
                <w:sz w:val="20"/>
              </w:rPr>
              <w:t xml:space="preserve">18. Registration</w:t>
            </w:r>
          </w:p>
        </w:tc>
        <w:tc>
          <w:tcPr>
            <w:tcW w:type="dxa" w:w="5611"/>
          </w:tcPr>
          <w:p>
            <w:pPr>
              <w:pStyle w:val="Compact"/>
              <w:spacing w:line="240" w:lineRule="auto" w:before="20" w:after="20"/>
            </w:pPr>
            <w:r>
              <w:rPr>
                <w:rFonts w:ascii="Arial" w:hAnsi="Arial"/>
                <w:sz w:val="20"/>
              </w:rPr>
              <w:t xml:space="preserve">State whether, when, and where the study protocol was registered.</w:t>
            </w:r>
          </w:p>
        </w:tc>
        <w:tc>
          <w:tcPr>
            <w:tcW w:type="dxa" w:w="6618"/>
          </w:tcPr>
          <w:p>
            <w:pPr>
              <w:pStyle w:val="Compact"/>
              <w:spacing w:line="240" w:lineRule="auto" w:before="20" w:after="20"/>
            </w:pPr>
            <w:r>
              <w:rPr>
                <w:rFonts w:ascii="Arial" w:hAnsi="Arial"/>
                <w:sz w:val="20"/>
              </w:rPr>
              <w:t xml:space="preserve">Not registered. The study analyses an existing credentialed public database and is neither a prospectively registered trial nor a registered review, so no registration applies.</w:t>
            </w:r>
          </w:p>
        </w:tc>
      </w:tr>
      <w:tr>
        <w:tc>
          <w:tcPr>
            <w:tcW w:type="dxa" w:w="1725"/>
          </w:tcPr>
          <w:p>
            <w:pPr>
              <w:pStyle w:val="Compact"/>
              <w:spacing w:line="240" w:lineRule="auto" w:before="20" w:after="20"/>
            </w:pPr>
            <w:r>
              <w:rPr>
                <w:rFonts w:ascii="Arial" w:hAnsi="Arial"/>
                <w:sz w:val="20"/>
              </w:rPr>
              <w:t xml:space="preserve">19. Data and code sharing</w:t>
            </w:r>
          </w:p>
        </w:tc>
        <w:tc>
          <w:tcPr>
            <w:tcW w:type="dxa" w:w="5611"/>
          </w:tcPr>
          <w:p>
            <w:pPr>
              <w:pStyle w:val="Compact"/>
              <w:spacing w:line="240" w:lineRule="auto" w:before="20" w:after="20"/>
            </w:pPr>
            <w:r>
              <w:rPr>
                <w:rFonts w:ascii="Arial" w:hAnsi="Arial"/>
                <w:sz w:val="20"/>
              </w:rPr>
              <w:t xml:space="preserve">State whether, where, and how the data, code, and other materials can be accessed.</w:t>
            </w:r>
          </w:p>
        </w:tc>
        <w:tc>
          <w:tcPr>
            <w:tcW w:type="dxa" w:w="6618"/>
          </w:tcPr>
          <w:p>
            <w:pPr>
              <w:pStyle w:val="Compact"/>
              <w:spacing w:line="240" w:lineRule="auto" w:before="20" w:after="20"/>
            </w:pPr>
            <w:r>
              <w:rPr>
                <w:rFonts w:ascii="Arial" w:hAnsi="Arial"/>
                <w:sz w:val="20"/>
              </w:rPr>
              <w:t xml:space="preserve">MIMIC-IV (version 2.2) and MIMIC-IV-ECG (version 1.0.1) are available from PhysioNet to credentialed users. All analysis code, covering the simulation, the case-study estimation pipeline, and the bias fraction computation, is at https://github.com/zengzhechun/bias-fraction; the bafratio R package (version 0.4.0, commit af47a0e, MIT license) is at https://github.com/zengzhechun/bafratio. Both questions share these resources.</w:t>
            </w:r>
          </w:p>
        </w:tc>
      </w:tr>
      <w:tr>
        <w:tc>
          <w:tcPr>
            <w:tcW w:type="dxa" w:w="1725"/>
          </w:tcPr>
          <w:p>
            <w:pPr>
              <w:pStyle w:val="Compact"/>
              <w:spacing w:line="240" w:lineRule="auto" w:before="20" w:after="20"/>
            </w:pPr>
            <w:r>
              <w:rPr>
                <w:rFonts w:ascii="Arial" w:hAnsi="Arial"/>
                <w:sz w:val="20"/>
              </w:rPr>
              <w:t xml:space="preserve">20. Funding</w:t>
            </w:r>
          </w:p>
        </w:tc>
        <w:tc>
          <w:tcPr>
            <w:tcW w:type="dxa" w:w="5611"/>
          </w:tcPr>
          <w:p>
            <w:pPr>
              <w:pStyle w:val="Compact"/>
              <w:spacing w:line="240" w:lineRule="auto" w:before="20" w:after="20"/>
            </w:pPr>
            <w:r>
              <w:rPr>
                <w:rFonts w:ascii="Arial" w:hAnsi="Arial"/>
                <w:sz w:val="20"/>
              </w:rPr>
              <w:t xml:space="preserve">Provide the source of funding and the role of the funder.</w:t>
            </w:r>
          </w:p>
        </w:tc>
        <w:tc>
          <w:tcPr>
            <w:tcW w:type="dxa" w:w="6618"/>
          </w:tcPr>
          <w:p>
            <w:pPr>
              <w:pStyle w:val="Compact"/>
              <w:spacing w:line="240" w:lineRule="auto" w:before="20" w:after="20"/>
            </w:pPr>
            <w:r>
              <w:rPr>
                <w:rFonts w:ascii="Arial" w:hAnsi="Arial"/>
                <w:sz w:val="20"/>
              </w:rPr>
              <w:t xml:space="preserve">The research received no specific grant from any funding agency in the public, commercial, or not-for-profit sectors, so no funder had a role in the design, analysis, or reporting. This is stated in the Article Information.</w:t>
            </w:r>
          </w:p>
        </w:tc>
      </w:tr>
      <w:tr>
        <w:tc>
          <w:tcPr>
            <w:tcW w:type="dxa" w:w="1725"/>
          </w:tcPr>
          <w:p>
            <w:pPr>
              <w:pStyle w:val="Compact"/>
              <w:spacing w:line="240" w:lineRule="auto" w:before="20" w:after="20"/>
            </w:pPr>
            <w:r>
              <w:rPr>
                <w:rFonts w:ascii="Arial" w:hAnsi="Arial"/>
                <w:sz w:val="20"/>
              </w:rPr>
              <w:t xml:space="preserve">21. Conflicts of interest</w:t>
            </w:r>
          </w:p>
        </w:tc>
        <w:tc>
          <w:tcPr>
            <w:tcW w:type="dxa" w:w="5611"/>
          </w:tcPr>
          <w:p>
            <w:pPr>
              <w:pStyle w:val="Compact"/>
              <w:spacing w:line="240" w:lineRule="auto" w:before="20" w:after="20"/>
            </w:pPr>
            <w:r>
              <w:rPr>
                <w:rFonts w:ascii="Arial" w:hAnsi="Arial"/>
                <w:sz w:val="20"/>
              </w:rPr>
              <w:t xml:space="preserve">Declare the conflicts of interest and financial disclosures of all authors.</w:t>
            </w:r>
          </w:p>
        </w:tc>
        <w:tc>
          <w:tcPr>
            <w:tcW w:type="dxa" w:w="6618"/>
          </w:tcPr>
          <w:p>
            <w:pPr>
              <w:pStyle w:val="Compact"/>
              <w:spacing w:line="240" w:lineRule="auto" w:before="20" w:after="20"/>
            </w:pPr>
            <w:r>
              <w:rPr>
                <w:rFonts w:ascii="Arial" w:hAnsi="Arial"/>
                <w:sz w:val="20"/>
              </w:rPr>
              <w:t xml:space="preserve">All authors reported no conflicts of interest. This is stated in the Article Information.</w:t>
            </w:r>
          </w:p>
        </w:tc>
      </w:tr>
    </w:tbl>
    <w:bookmarkEnd w:id="35"/>
    <w:bookmarkStart w:id="42" w:name="figures"/>
    <w:p>
      <w:pPr>
        <w:pStyle w:val="Heading2"/>
      </w:pPr>
      <w:r>
        <w:t xml:space="preserve">Figures</w:t>
      </w:r>
    </w:p>
    <w:p>
      <w:pPr>
        <w:pStyle w:val="FirstParagraph"/>
      </w:pPr>
      <w:r>
        <w:drawing>
          <wp:inline>
            <wp:extent cx="5334000" cy="3942521"/>
            <wp:effectExtent b="0" l="0" r="0" t="0"/>
            <wp:docPr descr="" title="" id="37" name="Picture"/>
            <a:graphic>
              <a:graphicData uri="http://schemas.openxmlformats.org/drawingml/2006/picture">
                <pic:pic>
                  <pic:nvPicPr>
                    <pic:cNvPr descr="../../../output/figures/v40/figP3_direction_roles.jpg" id="38" name="Picture"/>
                    <pic:cNvPicPr>
                      <a:picLocks noChangeArrowheads="1" noChangeAspect="1"/>
                    </pic:cNvPicPr>
                  </pic:nvPicPr>
                  <pic:blipFill>
                    <a:blip r:embed="rId36"/>
                    <a:stretch>
                      <a:fillRect/>
                    </a:stretch>
                  </pic:blipFill>
                  <pic:spPr bwMode="auto">
                    <a:xfrm>
                      <a:off x="0" y="0"/>
                      <a:ext cx="5334000" cy="3942521"/>
                    </a:xfrm>
                    <a:prstGeom prst="rect">
                      <a:avLst/>
                    </a:prstGeom>
                    <a:noFill/>
                    <a:ln w="9525">
                      <a:noFill/>
                      <a:headEnd/>
                      <a:tailEnd/>
                    </a:ln>
                  </pic:spPr>
                </pic:pic>
              </a:graphicData>
            </a:graphic>
          </wp:inline>
        </w:drawing>
      </w:r>
    </w:p>
    <w:p>
      <w:pPr>
        <w:pStyle w:val="BodyText"/>
      </w:pPr>
      <w:r>
        <w:rPr>
          <w:b/>
          <w:bCs/>
        </w:rPr>
        <w:t xml:space="preserve">eFigure 1.</w:t>
      </w:r>
      <w:r>
        <w:t xml:space="preserve"> </w:t>
      </w:r>
      <w:r>
        <w:t xml:space="preserve">Coverage of the 95% credible interval, and performance of the reporting rule R3, when the systematic bias plays each of the four possible roles with respect to the true effect. Panel A gives interval coverage by role, with the nominal 95% level marked; the number beneath each bar is the mean signed error of BAF̂, which stays within 0.069 of zero in every role, so the accuracy of the point estimate carries across roles while the coverage of its interval does not. Panel B gives the share of repetitions R3 declares usable and the share of those that were truly bias-dominated: the rule is at its most permissive where the bias shrinks the effect and at its most dangerous where the bias reverses it, where 100.0% of the estimates it endorses are false endorsements. The figure is drawn from the same summary file that supplies eTable 13 and eTable 14, so the three cannot drift apart. Every other figure appears in the main text (Figures 1 to 3) or in the companion interactive explainer held with the manuscript repository, which renders the argument chain, the empirical null with its negative controls, the interval coverage, the Bland-Altman agreement, the BAF distribution, the two dual-view heatmaps, the calibration curve, the cascade, the ROC curve, the 3 by 3 confusion matrix, the decision flow, and the two case cards. Every panel is generated from the same JSON that supplies the numbers in this supplement, so the explainer and the manuscript cannot drift apart.</w:t>
      </w:r>
    </w:p>
    <w:p>
      <w:pPr>
        <w:pStyle w:val="BodyText"/>
      </w:pPr>
      <w:r>
        <w:drawing>
          <wp:inline>
            <wp:extent cx="8854440" cy="5230818"/>
            <wp:effectExtent b="0" l="0" r="0" t="0"/>
            <wp:docPr descr="" title="" id="40" name="Picture"/>
            <a:graphic>
              <a:graphicData uri="http://schemas.openxmlformats.org/drawingml/2006/picture">
                <pic:pic>
                  <pic:nvPicPr>
                    <pic:cNvPr descr="../../../output/figures/v40/figEF2_enrollment_flow.jpg" id="41" name="Picture"/>
                    <pic:cNvPicPr>
                      <a:picLocks noChangeArrowheads="1" noChangeAspect="1"/>
                    </pic:cNvPicPr>
                  </pic:nvPicPr>
                  <pic:blipFill>
                    <a:blip r:embed="rId39"/>
                    <a:stretch>
                      <a:fillRect/>
                    </a:stretch>
                  </pic:blipFill>
                  <pic:spPr bwMode="auto">
                    <a:xfrm>
                      <a:off x="0" y="0"/>
                      <a:ext cx="8854440" cy="5230818"/>
                    </a:xfrm>
                    <a:prstGeom prst="rect">
                      <a:avLst/>
                    </a:prstGeom>
                    <a:noFill/>
                    <a:ln w="9525">
                      <a:noFill/>
                      <a:headEnd/>
                      <a:tailEnd/>
                    </a:ln>
                  </pic:spPr>
                </pic:pic>
              </a:graphicData>
            </a:graphic>
          </wp:inline>
        </w:drawing>
      </w:r>
    </w:p>
    <w:p>
      <w:pPr>
        <w:pStyle w:val="BodyText"/>
      </w:pPr>
      <w:r>
        <w:rPr>
          <w:b/>
          <w:bCs/>
        </w:rPr>
        <w:t xml:space="preserve">eFigure 2.</w:t>
      </w:r>
      <w:r>
        <w:t xml:space="preserve"> </w:t>
      </w:r>
      <w:r>
        <w:t xml:space="preserve">Enrolment flow of the case-study emulations, reported against TARGET item 8 (participant selection). Of 15,053 heart-failure hospitalizations assessed for eligibility, 376 did not survive the 7-day grace period, leaving an eligible cohort of 14,677 patients, which is the analytic cohort for both questions. For question 1, 1,772 patients (12.1%) reached at least 50% of the guideline-recommended beta-blocker target dose and 12,905 (87.9%) did not. Follow-up ran for one year from time zero, the end of the grace period, and the outcome was one-year all-cause mortality. Question 2 uses the same 14,677 patients, classified by the number of guideline-directed drug classes at adequate dose, and follows an identical enrolment flow.</w:t>
      </w:r>
    </w:p>
    <w:bookmarkEnd w:id="42"/>
    <w:bookmarkStart w:id="43" w:name="references"/>
    <w:p>
      <w:pPr>
        <w:pStyle w:val="Heading2"/>
      </w:pPr>
      <w:r>
        <w:t xml:space="preserve">References</w:t>
      </w:r>
    </w:p>
    <w:p>
      <w:pPr>
        <w:pStyle w:val="Compact"/>
        <w:numPr>
          <w:ilvl w:val="0"/>
          <w:numId w:val="1002"/>
        </w:numPr>
      </w:pPr>
      <w:r>
        <w:t xml:space="preserve">Efron B, Tibshirani RJ. An Introduction to the Bootstrap. Chapman &amp; Hall; 1993.</w:t>
      </w:r>
    </w:p>
    <w:p>
      <w:pPr>
        <w:pStyle w:val="Compact"/>
        <w:numPr>
          <w:ilvl w:val="0"/>
          <w:numId w:val="1002"/>
        </w:numPr>
      </w:pPr>
      <w:r>
        <w:t xml:space="preserve">Rubin DB. The Bayesian Bootstrap. Ann Stat. 1981;9(1):130-134. doi:10.1214/aos/1176345338</w:t>
      </w:r>
    </w:p>
    <w:bookmarkEnd w:id="43"/>
    <w:sectPr>
      <w:footerReference w:type="default" r:id="rId9"/>
      <w:footnotePr>
        <w:numRestart w:val="eachSect"/>
      </w:footnotePr>
      <w:pgSz w:orient="landscape" w:w="16834" w:h="1190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Times New Roman" w:hAnsi="Times New Roman" w:eastAsia="Times New Roman" w:cs="Times New Roman"/>
      <w:sz w:val="20"/>
    </w:rPr>
  </w:style>
  <w:style w:styleId="BodyText" w:type="paragraph">
    <w:name w:val="Body Text"/>
    <w:basedOn w:val="Normal"/>
    <w:link w:val="BodyTextChar"/>
    <w:qFormat/>
    <w:pPr>
      <w:spacing w:after="180" w:before="180" w:line="240" w:lineRule="auto"/>
    </w:pPr>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40" w:lineRule="auto"/>
    </w:pPr>
    <w:rPr>
      <w:rFonts w:ascii="Times New Roman" w:hAnsi="Times New Roman" w:eastAsia="Times New Roman" w:cs="Times New Roman"/>
      <w:sz w:val="20"/>
    </w:rPr>
  </w:style>
  <w:style w:customStyle="1" w:styleId="Compact" w:type="paragraph">
    <w:name w:val="Compact"/>
    <w:basedOn w:val="BodyText"/>
    <w:qFormat/>
    <w:pPr>
      <w:spacing w:after="36" w:before="36" w:line="240" w:lineRule="auto"/>
    </w:pPr>
    <w:rPr>
      <w:rFonts w:ascii="Times New Roman" w:hAnsi="Times New Roman" w:eastAsia="Times New Roman" w:cs="Times New Roman"/>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cs="Times New Roman"/>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Times New Roman" w:hAnsi="Times New Roman" w:eastAsia="Times New Roman" w:cs="Times New Roman"/>
      <w:sz w:val="20"/>
      <w:szCs w:val="24"/>
    </w:rPr>
  </w:style>
  <w:style w:styleId="Date" w:type="paragraph">
    <w:name w:val="Date"/>
    <w:basedOn w:val="Title"/>
    <w:next w:val="BodyText"/>
    <w:qFormat/>
    <w:pPr>
      <w:keepNext/>
      <w:keepLines/>
      <w:spacing w:line="240" w:lineRule="auto"/>
    </w:pPr>
    <w:rPr>
      <w:rFonts w:ascii="Times New Roman" w:hAnsi="Times New Roman" w:eastAsia="Times New Roman" w:cs="Times New Roman"/>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240" w:lineRule="auto"/>
      <w:outlineLvl w:val="0"/>
    </w:pPr>
    <w:rPr>
      <w:rFonts w:asciiTheme="majorHAnsi" w:cstheme="majorBidi" w:eastAsiaTheme="majorEastAsia" w:hAnsiTheme="majorHAnsi" w:ascii="Times New Roman" w:hAnsi="Times New Roman" w:eastAsia="Times New Roman" w:cs="Times New Roman"/>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240" w:lineRule="auto"/>
      <w:outlineLvl w:val="1"/>
    </w:pPr>
    <w:rPr>
      <w:rFonts w:asciiTheme="majorHAnsi" w:cstheme="majorBidi" w:eastAsiaTheme="majorEastAsia" w:hAnsiTheme="majorHAnsi" w:ascii="Times New Roman" w:hAnsi="Times New Roman" w:eastAsia="Times New Roman" w:cs="Times New Roman"/>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40" w:lineRule="auto"/>
      <w:outlineLvl w:val="2"/>
    </w:pPr>
    <w:rPr>
      <w:rFonts w:cstheme="majorBidi" w:eastAsiaTheme="majorEastAsia" w:ascii="Times New Roman" w:hAnsi="Times New Roman" w:eastAsia="Times New Roman" w:cs="Times New Roman"/>
      <w:b/>
      <w:color w:themeColor="accent1" w:themeShade="BF" w:val="0F4761"/>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pPr>
    <w:rPr>
      <w:rFonts w:ascii="Arial" w:hAnsi="Arial" w:eastAsia="Arial" w:cs="Arial"/>
      <w:i/>
      <w:sz w:val="16"/>
    </w:rPr>
  </w:style>
  <w:style w:customStyle="1" w:styleId="TableCaption" w:type="paragraph">
    <w:name w:val="Table Caption"/>
    <w:basedOn w:val="Caption"/>
    <w:pPr>
      <w:keepNext/>
      <w:spacing w:line="240" w:lineRule="auto"/>
    </w:pPr>
    <w:rPr>
      <w:rFonts w:ascii="Arial" w:hAnsi="Arial" w:eastAsia="Arial" w:cs="Arial"/>
      <w:sz w:val="16"/>
    </w:rPr>
  </w:style>
  <w:style w:customStyle="1" w:styleId="ImageCaption" w:type="paragraph">
    <w:name w:val="Image Caption"/>
    <w:basedOn w:val="Caption"/>
    <w:pPr>
      <w:spacing w:line="240" w:lineRule="auto"/>
    </w:pPr>
    <w:rPr>
      <w:rFonts w:ascii="Arial" w:hAnsi="Arial" w:eastAsia="Arial" w:cs="Arial"/>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36" Type="http://schemas.openxmlformats.org/officeDocument/2006/relationships/image" Target="media/rId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Appendix for ‘Quantifying Systematic Bias in Observational Causal Estimates: The Bias Attribution Fraction’</dc:title>
  <dc:creator>Zeng Zhechun; Wang Jinwen; Zuo Huijuan; Shu Lixia</dc:creator>
  <cp:keywords/>
  <dcterms:created xsi:type="dcterms:W3CDTF">2026-09-30T05:30:42Z</dcterms:created>
  <dcterms:modified xsi:type="dcterms:W3CDTF">2026-09-30T05:30:42Z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american-medical-association.csl</vt:lpwstr>
  </property>
  <property fmtid="{D5CDD505-2E9C-101B-9397-08002B2CF9AE}" pid="9" name="date">
    <vt:lpwstr>2026-08-27</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