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Appendix for</w:t>
      </w:r>
      <w:r>
        <w:t xml:space="preserve"> </w:t>
      </w:r>
      <w:r>
        <w:t xml:space="preserve">‘Quantifying Bias in Observational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National Clinical Research Center for Cardiovascular Diseases, Beijing, China</w:t>
      </w:r>
    </w:p>
    <w:p>
      <w:pPr>
        <w:pStyle w:val="BodyText"/>
      </w:pPr>
      <w:r>
        <w:rPr>
          <w:vertAlign w:val="superscript"/>
        </w:rPr>
        <w:t xml:space="preserve">3</w:t>
      </w:r>
      <w:r>
        <w:t xml:space="preserve"> </w:t>
      </w:r>
      <w:r>
        <w:t xml:space="preserve">Beijing Institute of Heart, Lung and Blood Vessel Diseases, Beijing, China</w:t>
      </w:r>
    </w:p>
    <w:p>
      <w:pPr>
        <w:pStyle w:val="BodyText"/>
      </w:pPr>
      <w:r>
        <w:t xml:space="preserve">This appendix provides the extended methods, the full lookup table, subgroup robustness, and case-study sensitivity analyses supporting the main manuscript. All numbers are reproduced from</w:t>
      </w:r>
      <w:r>
        <w:t xml:space="preserve"> </w:t>
      </w:r>
      <w:r>
        <w:rPr>
          <w:rStyle w:val="VerbatimChar"/>
        </w:rPr>
        <w:t xml:space="preserve">output/tables/v40_all_numbers.json</w:t>
      </w:r>
      <w:r>
        <w:t xml:space="preserve">.</w:t>
      </w:r>
    </w:p>
    <w:p>
      <w:r>
        <w:pict>
          <v:rect style="width:0;height:1.5pt" o:hralign="center" o:hrstd="t" o:hr="t"/>
        </w:pict>
      </w:r>
    </w:p>
    <w:bookmarkStart w:id="18" w:name="emethods"/>
    <w:p>
      <w:pPr>
        <w:pStyle w:val="Heading2"/>
      </w:pPr>
      <w:r>
        <w:t xml:space="preserve">eMethods</w:t>
      </w:r>
    </w:p>
    <w:p>
      <w:pPr>
        <w:pStyle w:val="FirstParagraph"/>
      </w:pPr>
      <w:r>
        <w:t xml:space="preserve">The simulation crossed five factors in a full factorial design (960 conditions x 1000 repetitions = 960,000). Factors: true effect ψ (10 levels, -0.40 to -0.01); bias center μ_B (8 levels); standard error of the target estimate, σψ (0.06, 0.1); number of negative controls K (12, 25, 50); exchangeability violation (0, 0.3). This factorial design is the primary grid; a companion grid of identical size, generated with the same procedure and a disjoint random-number stream, flips the sign of the bias center μ_B at every level while holding all other factors fixed, and the two grids are pooled (1920 conditions, 1,920,000 repetitions) for every performance analysis in the main manuscript and in this supplement, with the role-by-role breakdown given under</w:t>
      </w:r>
      <w:r>
        <w:t xml:space="preserve"> </w:t>
      </w:r>
      <w:r>
        <w:t xml:space="preserve">“Directional coverage of the simulation grid”</w:t>
      </w:r>
      <w:r>
        <w:t xml:space="preserve"> </w:t>
      </w:r>
      <w:r>
        <w:t xml:space="preserve">below. Truth composition: 52.5% bias-dominated, 28.7% mixed, 18.8% effect-dominated. The BAF credible interval used M = 300 retained joint posterior draws (400 Gibbs iterations, 100 discarded as warm-up), which is too few to locate the 2.5th and 97.5th percentiles precisely and is therefore itself a source of interval instability. Percentages describing truth composition refer to all 1,920,000 repetitions of the pooled design; all decision-rule percentages state their denominator explicitly (all repetitions, layer-1 passable repetitions, or repetitions declared usable). With this many repetitions, the Monte Carlo standard error of any reported proportion is below 0.07 percentage points. For the case study, 12 negative controls entered the reported panel. They were drawn from 20 candidate outcomes through four prespecified screening levels described under</w:t>
      </w:r>
      <w:r>
        <w:t xml:space="preserve"> </w:t>
      </w:r>
      <w:r>
        <w:t xml:space="preserve">“Negative control selection”</w:t>
      </w:r>
      <w:r>
        <w:t xml:space="preserve"> </w:t>
      </w:r>
      <w:r>
        <w:t xml:space="preserve">below, and their uncalibrated log relative risks range from -0.769 to 0.178 (10 below the null and 2 above it; Shapiro-Wilk p = 0.171), so the panel is predominantly but not exclusively protective.</w:t>
      </w:r>
    </w:p>
    <w:bookmarkStart w:id="9" w:name="X5a92f6622db1b2df2778df1fce855b2e379b281"/>
    <w:p>
      <w:pPr>
        <w:pStyle w:val="Heading3"/>
      </w:pPr>
      <w:r>
        <w:t xml:space="preserve">Construction and calibration of the BAF credible interval</w:t>
      </w:r>
    </w:p>
    <w:p>
      <w:pPr>
        <w:pStyle w:val="FirstParagraph"/>
      </w:pPr>
      <w:r>
        <w:t xml:space="preserve">BAF is a ratio whose denominator is itself the difference between two estimated quantities, so its uncertainty cannot be inherited from a standard error in the usual way. As</w:t>
      </w:r>
      <w:r>
        <w:t xml:space="preserve"> </w:t>
      </w:r>
      <m:oMath>
        <m:acc>
          <m:accPr>
            <m:chr m:val="̃"/>
          </m:accPr>
          <m:e>
            <m:r>
              <m:t>ψ</m:t>
            </m:r>
          </m:e>
        </m:acc>
      </m:oMath>
      <w:r>
        <w:t xml:space="preserve"> </w:t>
      </w:r>
      <w:r>
        <w:t xml:space="preserve">approaches 0 the ratio becomes unstable, and the instability runs in one direction: the denominator shrinks, so BAF is pushed toward 1, while the upper end of the BAF scale is a hard boundary at exactly 1. An interval built on a normal approximation for</w:t>
      </w:r>
      <w:r>
        <w:t xml:space="preserve"> </w:t>
      </w:r>
      <m:oMath>
        <m:acc>
          <m:accPr>
            <m:chr m:val="̂"/>
          </m:accPr>
          <m:e>
            <m:r>
              <m:rPr>
                <m:sty m:val="p"/>
              </m:rPr>
              <m:t>B</m:t>
            </m:r>
            <m:r>
              <m:rPr>
                <m:sty m:val="p"/>
              </m:rPr>
              <m:t>A</m:t>
            </m:r>
            <m:r>
              <m:rPr>
                <m:sty m:val="p"/>
              </m:rPr>
              <m:t>F</m:t>
            </m:r>
          </m:e>
        </m:acc>
      </m:oMath>
      <w:r>
        <w:t xml:space="preserve"> </w:t>
      </w:r>
      <w:r>
        <w:t xml:space="preserve">would be symmetric on a scale that is bounded and asymmetric near its end, and would put mass outside [0, 1]. We therefore propagate uncertainty instead of approximating it.</w:t>
      </w:r>
    </w:p>
    <w:p>
      <w:pPr>
        <w:pStyle w:val="BodyText"/>
      </w:pPr>
      <w:r>
        <w:t xml:space="preserve">A set of draws of</w:t>
      </w:r>
      <w:r>
        <w:t xml:space="preserve"> </w:t>
      </w:r>
      <m:oMath>
        <m:sSub>
          <m:e>
            <m:r>
              <m:t>μ</m:t>
            </m:r>
          </m:e>
          <m:sub>
            <m:r>
              <m:t>B</m:t>
            </m:r>
          </m:sub>
        </m:sSub>
      </m:oMath>
      <w:r>
        <w:t xml:space="preserve"> </w:t>
      </w:r>
      <w:r>
        <w:t xml:space="preserve">is generated and each is passed through the same function,</w:t>
      </w:r>
      <w:r>
        <w:t xml:space="preserve"> </w:t>
      </w:r>
      <m:oMath>
        <m:r>
          <m:rPr>
            <m:sty m:val="p"/>
          </m:rPr>
          <m:t>B</m:t>
        </m:r>
        <m:r>
          <m:rPr>
            <m:sty m:val="p"/>
          </m:rPr>
          <m:t>A</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sty m:val="p"/>
              </m:rPr>
              <m:t>o</m:t>
            </m:r>
            <m:r>
              <m:rPr>
                <m:sty m:val="p"/>
              </m:rPr>
              <m:t>b</m:t>
            </m:r>
            <m:r>
              <m:rPr>
                <m:sty m:val="p"/>
              </m:rPr>
              <m:t>s</m:t>
            </m:r>
          </m:sub>
        </m:sSub>
        <m:r>
          <m:rPr>
            <m:sty m:val="p"/>
          </m:rPr>
          <m:t>−</m:t>
        </m:r>
        <m:sSub>
          <m:e>
            <m:acc>
              <m:accPr>
                <m:chr m:val="̂"/>
              </m:accPr>
              <m:e>
                <m:r>
                  <m:t>μ</m:t>
                </m:r>
              </m:e>
            </m:acc>
          </m:e>
          <m:sub>
            <m:r>
              <m:t>B</m:t>
            </m:r>
          </m:sub>
        </m:sSub>
        <m:r>
          <m:rPr>
            <m:sty m:val="p"/>
          </m:rPr>
          <m:t>|</m:t>
        </m:r>
        <m:r>
          <m:rPr>
            <m:sty m:val="p"/>
          </m:rPr>
          <m:t>)</m:t>
        </m:r>
      </m:oMath>
      <w:r>
        <w:t xml:space="preserve">,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held at its observed value. The interval is the 2.5th to 97.5th percentile of the resulting distribution of BAF, and the point estimate is the median of that same distribution, so an estimate always lies inside the interval reported for it.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is a deliberate choice: the interval answers how much of the calibrated signal is bias given the effect estimate that was obtained, not a joint statement about the effect estimate and the empirical null. In the simulation the number of retained joint posterior draws was deliberately modest, which is too few to locate the 2.5th and 97.5th percentiles precisely and is therefore itself a source of interval instability.</w:t>
      </w:r>
    </w:p>
    <w:p>
      <w:pPr>
        <w:pStyle w:val="BodyText"/>
      </w:pPr>
      <w:r>
        <w:t xml:space="preserve">The draws differ in what they represent. In the simulation they are posterior draws from the systematic error model</w:t>
      </w:r>
      <w:r>
        <w:t xml:space="preserve"> </w:t>
      </w:r>
      <m:oMath>
        <m:sSub>
          <m:e>
            <m:acc>
              <m:accPr>
                <m:chr m:val="̂"/>
              </m:accPr>
              <m:e>
                <m:r>
                  <m:t>γ</m:t>
                </m:r>
              </m:e>
            </m:acc>
          </m:e>
          <m:sub>
            <m:r>
              <m:t>k</m:t>
            </m:r>
          </m:sub>
        </m:sSub>
        <m:r>
          <m:rPr>
            <m:sty m:val="p"/>
          </m:rPr>
          <m:t>∼</m:t>
        </m:r>
        <m:r>
          <m:rPr>
            <m:sty m:val="p"/>
          </m:rPr>
          <m:t>N</m:t>
        </m:r>
        <m:r>
          <m:rPr>
            <m:sty m:val="p"/>
          </m:rPr>
          <m:t>(</m:t>
        </m:r>
        <m:sSub>
          <m:e>
            <m:r>
              <m:t>μ</m:t>
            </m:r>
          </m:e>
          <m:sub>
            <m:r>
              <m:t>B</m:t>
            </m:r>
          </m:sub>
        </m:sSub>
        <m:r>
          <m:rPr>
            <m:sty m:val="p"/>
          </m:rPr>
          <m:t>,</m:t>
        </m:r>
        <m:sSubSup>
          <m:e>
            <m:r>
              <m:t>σ</m:t>
            </m:r>
          </m:e>
          <m:sub>
            <m:r>
              <m:t>B</m:t>
            </m:r>
          </m:sub>
          <m:sup>
            <m:r>
              <m:t>2</m:t>
            </m:r>
          </m:sup>
        </m:sSubSup>
        <m:r>
          <m:rPr>
            <m:sty m:val="p"/>
          </m:rPr>
          <m:t>+</m:t>
        </m:r>
        <m:sSubSup>
          <m:e>
            <m:acc>
              <m:accPr>
                <m:chr m:val="̂"/>
              </m:accPr>
              <m:e>
                <m:r>
                  <m:t>τ</m:t>
                </m:r>
              </m:e>
            </m:acc>
          </m:e>
          <m:sub>
            <m:r>
              <m:t>k</m:t>
            </m:r>
          </m:sub>
          <m:sup>
            <m:r>
              <m:t>2</m:t>
            </m:r>
          </m:sup>
        </m:sSubSup>
        <m:r>
          <m:rPr>
            <m:sty m:val="p"/>
          </m:rPr>
          <m:t>)</m:t>
        </m:r>
      </m:oMath>
      <w:r>
        <w:t xml:space="preserve">, fitted by a Gibbs sampler with priors</w:t>
      </w:r>
      <w:r>
        <w:t xml:space="preserve"> </w:t>
      </w:r>
      <m:oMath>
        <m:sSub>
          <m:e>
            <m:r>
              <m:t>μ</m:t>
            </m:r>
          </m:e>
          <m:sub>
            <m:r>
              <m:t>B</m:t>
            </m:r>
          </m:sub>
        </m:sSub>
        <m:r>
          <m:rPr>
            <m:sty m:val="p"/>
          </m:rPr>
          <m:t>∼</m:t>
        </m:r>
        <m:r>
          <m:rPr>
            <m:sty m:val="p"/>
          </m:rPr>
          <m:t>N</m:t>
        </m:r>
        <m:r>
          <m:rPr>
            <m:sty m:val="p"/>
          </m:rPr>
          <m:t>(</m:t>
        </m:r>
        <m:r>
          <m:t>0</m:t>
        </m:r>
        <m:r>
          <m:rPr>
            <m:sty m:val="p"/>
          </m:rPr>
          <m:t>,</m:t>
        </m:r>
        <m:r>
          <m:t>1</m:t>
        </m:r>
        <m:r>
          <m:rPr>
            <m:sty m:val="p"/>
          </m:rPr>
          <m:t>)</m:t>
        </m:r>
      </m:oMath>
      <w:r>
        <w:t xml:space="preserve"> </w:t>
      </w:r>
      <w:r>
        <w:t xml:space="preserve">and</w:t>
      </w:r>
      <w:r>
        <w:t xml:space="preserve"> </w:t>
      </w:r>
      <m:oMath>
        <m:sSubSup>
          <m:e>
            <m:r>
              <m:t>σ</m:t>
            </m:r>
          </m:e>
          <m:sub>
            <m:r>
              <m:t>B</m:t>
            </m:r>
          </m:sub>
          <m:sup>
            <m:r>
              <m:t>2</m:t>
            </m:r>
          </m:sup>
        </m:sSubSup>
        <m:r>
          <m:rPr>
            <m:sty m:val="p"/>
          </m:rPr>
          <m:t>∼</m:t>
        </m:r>
        <m:r>
          <m:rPr>
            <m:sty m:val="p"/>
          </m:rPr>
          <m:t>I</m:t>
        </m:r>
        <m:r>
          <m:rPr>
            <m:sty m:val="p"/>
          </m:rPr>
          <m:t>n</m:t>
        </m:r>
        <m:r>
          <m:rPr>
            <m:sty m:val="p"/>
          </m:rPr>
          <m:t>v</m:t>
        </m:r>
        <m:r>
          <m:rPr>
            <m:sty m:val="p"/>
          </m:rPr>
          <m:t>e</m:t>
        </m:r>
        <m:r>
          <m:rPr>
            <m:sty m:val="p"/>
          </m:rPr>
          <m:t>r</m:t>
        </m:r>
        <m:r>
          <m:rPr>
            <m:sty m:val="p"/>
          </m:rPr>
          <m:t>s</m:t>
        </m:r>
        <m:r>
          <m:rPr>
            <m:sty m:val="p"/>
          </m:rPr>
          <m:t>e</m:t>
        </m:r>
        <m:r>
          <m:rPr>
            <m:sty m:val="p"/>
          </m:rPr>
          <m:t>G</m:t>
        </m:r>
        <m:r>
          <m:rPr>
            <m:sty m:val="p"/>
          </m:rPr>
          <m:t>a</m:t>
        </m:r>
        <m:r>
          <m:rPr>
            <m:sty m:val="p"/>
          </m:rPr>
          <m:t>m</m:t>
        </m:r>
        <m:r>
          <m:rPr>
            <m:sty m:val="p"/>
          </m:rPr>
          <m:t>m</m:t>
        </m:r>
        <m:r>
          <m:rPr>
            <m:sty m:val="p"/>
          </m:rPr>
          <m:t>a</m:t>
        </m:r>
        <m:r>
          <m:rPr>
            <m:sty m:val="p"/>
          </m:rPr>
          <m:t>(</m:t>
        </m:r>
        <m:r>
          <m:t>0.5</m:t>
        </m:r>
        <m:r>
          <m:rPr>
            <m:sty m:val="p"/>
          </m:rPr>
          <m:t>,</m:t>
        </m:r>
        <m:r>
          <m:t>0.05</m:t>
        </m:r>
        <m:r>
          <m:rPr>
            <m:sty m:val="p"/>
          </m:rPr>
          <m:t>)</m:t>
        </m:r>
      </m:oMath>
      <w:r>
        <w:t xml:space="preserve">,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entering the BAF transform as a fixed constant rather than as a quantity being sampled. In the case study they are nonparametric bootstrap resamples of the negative control panel, with the empirical null refitted within each resample. Both constructions yield a distribution for BAF itself rather than a procedure with a long-run coverage guarantee, and a bootstrap percentile distribution can be read as an approximation to a posterior distribution under an uninformative prior (Efron and Tibshirani 1993; Rubin 1981), so we use one term for both.</w:t>
      </w:r>
    </w:p>
    <w:p>
      <w:pPr>
        <w:pStyle w:val="BodyText"/>
      </w:pPr>
      <w:r>
        <w:t xml:space="preserve">We call the result a credible interval, not a confidence interval, because it is a percentile range of a distribution for the quantity being estimated, not the output of a procedure constructed to cover the true value in 95% of repeated samples. No sampling distribution is inverted and no normal approximation to the sampling distribution of</w:t>
      </w:r>
      <w:r>
        <w:t xml:space="preserve"> </w:t>
      </w:r>
      <m:oMath>
        <m:acc>
          <m:accPr>
            <m:chr m:val="̂"/>
          </m:accPr>
          <m:e>
            <m:r>
              <m:rPr>
                <m:sty m:val="p"/>
              </m:rPr>
              <m:t>B</m:t>
            </m:r>
            <m:r>
              <m:rPr>
                <m:sty m:val="p"/>
              </m:rPr>
              <m:t>A</m:t>
            </m:r>
            <m:r>
              <m:rPr>
                <m:sty m:val="p"/>
              </m:rPr>
              <m:t>F</m:t>
            </m:r>
          </m:e>
        </m:acc>
      </m:oMath>
      <w:r>
        <w:t xml:space="preserve"> </w:t>
      </w:r>
      <w:r>
        <w:t xml:space="preserve">is used, so the interval carries no guarantee of frequentist coverage, and the 95% level is a statement about where BAF lies given these data and this systematic error model, not about how often the procedure captures the truth. The distinction is not terminological. In the simulation, where</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is known by construction, the interval contained it in 55.7% of repetitions, below the nominal 95%, and coverage was lower among narrower intervals (34.4%) than among wider ones (76.9%); the pooled figure averages over the bias roles analysed below, which differ markedly in coverage (71.1% in the primary grid alone, where bias and effect share a sign). One reason is visible in the construction itself: the interval propagates uncertainty from the empirical null while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so it omits the sampling variability of the effect estimate, a second source of error in</w:t>
      </w:r>
      <w:r>
        <w:t xml:space="preserve"> </w:t>
      </w:r>
      <m:oMath>
        <m:acc>
          <m:accPr>
            <m:chr m:val="̂"/>
          </m:accPr>
          <m:e>
            <m:r>
              <m:rPr>
                <m:sty m:val="p"/>
              </m:rPr>
              <m:t>B</m:t>
            </m:r>
            <m:r>
              <m:rPr>
                <m:sty m:val="p"/>
              </m:rPr>
              <m:t>A</m:t>
            </m:r>
            <m:r>
              <m:rPr>
                <m:sty m:val="p"/>
              </m:rPr>
              <m:t>F</m:t>
            </m:r>
          </m:e>
        </m:acc>
      </m:oMath>
      <w:r>
        <w:t xml:space="preserve">. Had the interval been advertised as a confidence interval, that shortfall would be a failure of the method; reported as a credible interval with its coverage stated, it is an honest statement that the propagated distribution is too narrow.</w:t>
      </w:r>
    </w:p>
    <w:p>
      <w:pPr>
        <w:pStyle w:val="BodyText"/>
      </w:pPr>
      <w:r>
        <w:t xml:space="preserve">We summarise each interval by its half-width,</w:t>
      </w:r>
      <w:r>
        <w:t xml:space="preserve"> </w:t>
      </w:r>
      <m:oMath>
        <m:r>
          <m:rPr>
            <m:sty m:val="p"/>
          </m:rPr>
          <m:t>(</m:t>
        </m:r>
        <m:sSub>
          <m:e>
            <m:acc>
              <m:accPr>
                <m:chr m:val="̂"/>
              </m:accPr>
              <m:e>
                <m:r>
                  <m:rPr>
                    <m:sty m:val="p"/>
                  </m:rPr>
                  <m:t>B</m:t>
                </m:r>
                <m:r>
                  <m:rPr>
                    <m:sty m:val="p"/>
                  </m:rPr>
                  <m:t>A</m:t>
                </m:r>
                <m:r>
                  <m:rPr>
                    <m:sty m:val="p"/>
                  </m:rPr>
                  <m:t>F</m:t>
                </m:r>
              </m:e>
            </m:acc>
          </m:e>
          <m:sub>
            <m:r>
              <m:rPr>
                <m:sty m:val="p"/>
              </m:rPr>
              <m:t>h</m:t>
            </m:r>
            <m:r>
              <m:rPr>
                <m:sty m:val="p"/>
              </m:rPr>
              <m:t>i</m:t>
            </m:r>
          </m:sub>
        </m:sSub>
        <m:r>
          <m:rPr>
            <m:sty m:val="p"/>
          </m:rPr>
          <m:t>−</m:t>
        </m:r>
        <m:sSub>
          <m:e>
            <m:acc>
              <m:accPr>
                <m:chr m:val="̂"/>
              </m:accPr>
              <m:e>
                <m:r>
                  <m:rPr>
                    <m:sty m:val="p"/>
                  </m:rPr>
                  <m:t>B</m:t>
                </m:r>
                <m:r>
                  <m:rPr>
                    <m:sty m:val="p"/>
                  </m:rPr>
                  <m:t>A</m:t>
                </m:r>
                <m:r>
                  <m:rPr>
                    <m:sty m:val="p"/>
                  </m:rPr>
                  <m:t>F</m:t>
                </m:r>
              </m:e>
            </m:acc>
          </m:e>
          <m:sub>
            <m:r>
              <m:rPr>
                <m:sty m:val="p"/>
              </m:rPr>
              <m:t>l</m:t>
            </m:r>
            <m:r>
              <m:rPr>
                <m:sty m:val="p"/>
              </m:rPr>
              <m:t>o</m:t>
            </m:r>
          </m:sub>
        </m:sSub>
        <m:r>
          <m:rPr>
            <m:sty m:val="p"/>
          </m:rPr>
          <m:t>)</m:t>
        </m:r>
        <m:r>
          <m:rPr>
            <m:sty m:val="p"/>
          </m:rPr>
          <m:t>/</m:t>
        </m:r>
        <m:r>
          <m:t>2</m:t>
        </m:r>
      </m:oMath>
      <w:r>
        <w:t xml:space="preserve">, and not by its two bounds, for two reasons. First, BAF is bounded, so the bounds are truncated at 0 and 1 and carry information about location as well as precision: an estimate near 0.9 cannot have an upper bound far above 0.9, and reading the bounds alone conflates where the estimate sits with how firmly it sits there. The half-width extracts the precision component, and it does so in BAF units, on the same bounded scale as the estimate itself. Second, that common scale is what lets the two be crossed: the lookup table of Step 2 classifies an estimate jointly by where it falls on the BAF scale and by how wide its interval is, splitting the half-width at its median across the simulation (0.088; interquartile range 0.040 to 0.148) and returning the higher of the two stratum-specific probabilities, so that the verdict is the more conservative of the two readings (eTable 1). The half-width is not a standard error: because the bounds are truncated, it is half the share of the [0, 1] scale that the interval occupies, and near either end of the scale it is attenuated by that truncation.</w:t>
      </w:r>
    </w:p>
    <w:bookmarkEnd w:id="9"/>
    <w:bookmarkStart w:id="10" w:name="X5527de705b38018361576f3f039c5b5918c52ca"/>
    <w:p>
      <w:pPr>
        <w:pStyle w:val="Heading3"/>
      </w:pPr>
      <w:r>
        <w:t xml:space="preserve">Justification of the simulation factor ranges</w:t>
      </w:r>
    </w:p>
    <w:p>
      <w:pPr>
        <w:pStyle w:val="FirstParagraph"/>
      </w:pPr>
      <w:r>
        <w:t xml:space="preserve">Factor levels were not chosen to represent a survey of cardiovascular observational research. Each level was anchored either to a quantity measured in the present case study or to a published estimate of adherence-related bias, as follows.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Factor</w:t>
            </w:r>
          </w:p>
        </w:tc>
        <w:tc>
          <w:tcPr/>
          <w:p>
            <w:pPr>
              <w:pStyle w:val="Compact"/>
            </w:pPr>
            <w:r>
              <w:t xml:space="preserve">Levels</w:t>
            </w:r>
          </w:p>
        </w:tc>
        <w:tc>
          <w:tcPr/>
          <w:p>
            <w:pPr>
              <w:pStyle w:val="Compact"/>
            </w:pPr>
            <w:r>
              <w:t xml:space="preserve">Values</w:t>
            </w:r>
          </w:p>
        </w:tc>
        <w:tc>
          <w:tcPr/>
          <w:p>
            <w:pPr>
              <w:pStyle w:val="Compact"/>
            </w:pPr>
            <w:r>
              <w:t xml:space="preserve">Justification</w:t>
            </w:r>
          </w:p>
        </w:tc>
        <w:tc>
          <w:tcPr/>
          <w:p>
            <w:pPr>
              <w:pStyle w:val="Compact"/>
            </w:pPr>
            <w:r>
              <w:t xml:space="preserve">Source</w:t>
            </w:r>
          </w:p>
        </w:tc>
      </w:tr>
      <w:tr>
        <w:tc>
          <w:tcPr/>
          <w:p>
            <w:pPr>
              <w:pStyle w:val="Compact"/>
            </w:pPr>
            <w:r>
              <w:t xml:space="preserve">True effect, ψ</w:t>
            </w:r>
          </w:p>
        </w:tc>
        <w:tc>
          <w:tcPr/>
          <w:p>
            <w:pPr>
              <w:pStyle w:val="Compact"/>
            </w:pPr>
            <w:r>
              <w:t xml:space="preserve">10</w:t>
            </w:r>
          </w:p>
        </w:tc>
        <w:tc>
          <w:tcPr/>
          <w:p>
            <w:pPr>
              <w:pStyle w:val="Compact"/>
            </w:pPr>
            <w:r>
              <w:t xml:space="preserve">−0.01 to −0.40</w:t>
            </w:r>
          </w:p>
        </w:tc>
        <w:tc>
          <w:tcPr/>
          <w:p>
            <w:pPr>
              <w:pStyle w:val="Compact"/>
            </w:pPr>
            <w:r>
              <w:t xml:space="preserve">Spans marginal to large protective effects on the log relative-risk scale (RR, 0.99 to 0.67) and brackets the beta-blocker estimate observed in the case study (ln RR, −0.18)</w:t>
            </w:r>
          </w:p>
        </w:tc>
        <w:tc>
          <w:tcPr/>
          <w:p>
            <w:pPr>
              <w:pStyle w:val="Compact"/>
            </w:pPr>
            <w:r>
              <w:t xml:space="preserve">Present case study</w:t>
            </w:r>
          </w:p>
        </w:tc>
      </w:tr>
      <w:tr>
        <w:tc>
          <w:tcPr/>
          <w:p>
            <w:pPr>
              <w:pStyle w:val="Compact"/>
            </w:pPr>
            <w:r>
              <w:t xml:space="preserve">Bias center, μB</w:t>
            </w:r>
          </w:p>
        </w:tc>
        <w:tc>
          <w:tcPr/>
          <w:p>
            <w:pPr>
              <w:pStyle w:val="Compact"/>
            </w:pPr>
            <w:r>
              <w:t xml:space="preserve">8</w:t>
            </w:r>
          </w:p>
        </w:tc>
        <w:tc>
          <w:tcPr/>
          <w:p>
            <w:pPr>
              <w:pStyle w:val="Compact"/>
            </w:pPr>
            <w:r>
              <w:t xml:space="preserve">−0.05 to −0.40</w:t>
            </w:r>
          </w:p>
        </w:tc>
        <w:tc>
          <w:tcPr/>
          <w:p>
            <w:pPr>
              <w:pStyle w:val="Compact"/>
            </w:pPr>
            <w:r>
              <w:t xml:space="preserve">(RR, 0.95 to 0.67). Approaches, without reaching, the healthy-adherer effect reported for adherence-related exposures (odds ratio, 0.56; ln, −0.58) and brackets the empirical null fitted to the case-study panel (μ̂B, −0.17)</w:t>
            </w:r>
          </w:p>
        </w:tc>
        <w:tc>
          <w:tcPr/>
          <w:p>
            <w:pPr>
              <w:pStyle w:val="Compact"/>
            </w:pPr>
            <w:r>
              <w:t xml:space="preserve">Simpson 2006; present case study</w:t>
            </w:r>
          </w:p>
        </w:tc>
      </w:tr>
      <w:tr>
        <w:tc>
          <w:tcPr/>
          <w:p>
            <w:pPr>
              <w:pStyle w:val="Compact"/>
            </w:pPr>
            <w:r>
              <w:t xml:space="preserve">Standard error of the target estimate, σψ</w:t>
            </w:r>
          </w:p>
        </w:tc>
        <w:tc>
          <w:tcPr/>
          <w:p>
            <w:pPr>
              <w:pStyle w:val="Compact"/>
            </w:pPr>
            <w:r>
              <w:t xml:space="preserve">2</w:t>
            </w:r>
          </w:p>
        </w:tc>
        <w:tc>
          <w:tcPr/>
          <w:p>
            <w:pPr>
              <w:pStyle w:val="Compact"/>
            </w:pPr>
            <w:r>
              <w:t xml:space="preserve">0.06, 0.10</w:t>
            </w:r>
          </w:p>
        </w:tc>
        <w:tc>
          <w:tcPr/>
          <w:p>
            <w:pPr>
              <w:pStyle w:val="Compact"/>
            </w:pPr>
            <w:r>
              <w:t xml:space="preserve">Closely matches the standard errors of the two case-study estimates (0.056 and 0.068), the smaller falling marginally below the lower grid level</w:t>
            </w:r>
          </w:p>
        </w:tc>
        <w:tc>
          <w:tcPr/>
          <w:p>
            <w:pPr>
              <w:pStyle w:val="Compact"/>
            </w:pPr>
            <w:r>
              <w:t xml:space="preserve">Present case study</w:t>
            </w:r>
          </w:p>
        </w:tc>
      </w:tr>
      <w:tr>
        <w:tc>
          <w:tcPr/>
          <w:p>
            <w:pPr>
              <w:pStyle w:val="Compact"/>
            </w:pPr>
            <w:r>
              <w:t xml:space="preserve">Number of negative controls, K</w:t>
            </w:r>
          </w:p>
        </w:tc>
        <w:tc>
          <w:tcPr/>
          <w:p>
            <w:pPr>
              <w:pStyle w:val="Compact"/>
            </w:pPr>
            <w:r>
              <w:t xml:space="preserve">3</w:t>
            </w:r>
          </w:p>
        </w:tc>
        <w:tc>
          <w:tcPr/>
          <w:p>
            <w:pPr>
              <w:pStyle w:val="Compact"/>
            </w:pPr>
            <w:r>
              <w:t xml:space="preserve">12, 25, 50</w:t>
            </w:r>
          </w:p>
        </w:tc>
        <w:tc>
          <w:tcPr/>
          <w:p>
            <w:pPr>
              <w:pStyle w:val="Compact"/>
            </w:pPr>
            <w:r>
              <w:t xml:space="preserve">12 is the number of controls in the cardiovascular panel available in MIMIC-IV; 25 is a moderately larger panel; 50 tests whether estimator performance keeps improving or plateaus once the panel far exceeds the size typically assembled in practice</w:t>
            </w:r>
          </w:p>
        </w:tc>
        <w:tc>
          <w:tcPr/>
          <w:p>
            <w:pPr>
              <w:pStyle w:val="Compact"/>
            </w:pPr>
            <w:r>
              <w:t xml:space="preserve">Present case study; Schuemie 2018</w:t>
            </w:r>
          </w:p>
        </w:tc>
      </w:tr>
      <w:tr>
        <w:tc>
          <w:tcPr/>
          <w:p>
            <w:pPr>
              <w:pStyle w:val="Compact"/>
            </w:pPr>
            <w:r>
              <w:t xml:space="preserve">Exchangeability violation</w:t>
            </w:r>
          </w:p>
        </w:tc>
        <w:tc>
          <w:tcPr/>
          <w:p>
            <w:pPr>
              <w:pStyle w:val="Compact"/>
            </w:pPr>
            <w:r>
              <w:t xml:space="preserve">2</w:t>
            </w:r>
          </w:p>
        </w:tc>
        <w:tc>
          <w:tcPr/>
          <w:p>
            <w:pPr>
              <w:pStyle w:val="Compact"/>
            </w:pPr>
            <w:r>
              <w:t xml:space="preserve">0, 0.3</w:t>
            </w:r>
          </w:p>
        </w:tc>
        <w:tc>
          <w:tcPr/>
          <w:p>
            <w:pPr>
              <w:pStyle w:val="Compact"/>
            </w:pPr>
            <w:r>
              <w:t xml:space="preserve">0 corresponds to an assumption that holds; 0.3 shifts 30% of controls by +0.15 (RR, 1.16), a deliberately arbitrary perturbation chosen to break the assumption rather than to reproduce any empirical estimate</w:t>
            </w:r>
          </w:p>
        </w:tc>
        <w:tc>
          <w:tcPr/>
          <w:p>
            <w:pPr>
              <w:pStyle w:val="Compact"/>
            </w:pPr>
            <w:r>
              <w:t xml:space="preserve">Design choice</w:t>
            </w:r>
          </w:p>
        </w:tc>
      </w:tr>
    </w:tbl>
    <w:p>
      <w:pPr>
        <w:pStyle w:val="BodyText"/>
      </w:pPr>
      <w:r>
        <w:t xml:space="preserve">Three respects in which the grid does not bracket the case study should be read as limitations of the simulation, all of which make it more favorable to the estimator than the case study itself. First, the between-control standard deviation was held fixed at 0.05, below the 0.068 fitted to the case-study panel. Second, control standard errors were drawn from a uniform distribution on 0.03 to 0.12, whereas the observed controls ranged from 0.025 to 0.302 with 3 controls above 0.24. Third, the guideline-directed medical therapy estimate (ln RR, −0.38) lies between grid levels, within the ψ grid whose most extreme value is −0.40.</w:t>
      </w:r>
    </w:p>
    <w:bookmarkEnd w:id="10"/>
    <w:bookmarkStart w:id="11" w:name="Xb4998b1d72d6ccad351e9ca6a7d161d144a22d7"/>
    <w:p>
      <w:pPr>
        <w:pStyle w:val="Heading3"/>
      </w:pPr>
      <w:r>
        <w:t xml:space="preserve">Directional coverage of the simulation grid</w:t>
      </w:r>
    </w:p>
    <w:p>
      <w:pPr>
        <w:pStyle w:val="FirstParagraph"/>
      </w:pPr>
      <w:r>
        <w:t xml:space="preserve">The BAF definition uses absolute values, which makes the metric indifferent to the direction in which the bias acts, so one BAF value is compatible with bias that inflates the apparent effect, bias that shrinks it toward the null, and bias that reverses its sign. The primary grid sets ψ and μB to the same sign and therefore characterizes only the first of those three roles. To cover the other two, we ran a mirror grid that keeps the ten ψ levels and the eight μB magnitudes of the primary grid but gives μB a positive sign, holding σψ, K, and the exchangeability factor at the same levels, so that the two grids differ in one factor only. Within the mirror grid, the sign of the expected observed effect, ψ + μB, separates the cells into three roles: shrinkage, when μB opposes ψ and is smaller in absolute value; cancellation, when the two are equal in absolute value; and reversal, when μB is larger. The four roles together span 1920 conditions and 1,920,000 repetitions. These are the same repetitions that every performance number in the main manuscript pools; this section disaggregates them by role.</w:t>
      </w:r>
    </w:p>
    <w:p>
      <w:pPr>
        <w:pStyle w:val="BodyText"/>
      </w:pPr>
      <w:r>
        <w:t xml:space="preserve">eTable 13 reports, for each role, the number of conditions it contains, the mean signed difference between BAF̂ and BAF_true, its root mean squared error, the median half-width of the credible interval, and the coverage of that interval. eTable 14 reports, for the same four roles, agreement between the classified zone and the true zone, the share of repetitions that pass layer 1, the yield of the reporting rule R3, the share of the estimates R3 endorses that are in fact bias-dominated, and the share of cells whose true BAF lies above 0.5.</w:t>
      </w:r>
    </w:p>
    <w:p>
      <w:pPr>
        <w:pStyle w:val="BodyText"/>
      </w:pPr>
      <w:r>
        <w:t xml:space="preserve">The point accuracy of the estimator carries across roles. The mean signed error of BAF̂ never exceeded 0.069 in absolute value in any role, and the root mean squared error stayed between 0.089 and 0.155. That is the consequence of a definition that depends on the absolute magnitudes of the bias and of the calibrated effect rather than on their signs.</w:t>
      </w:r>
    </w:p>
    <w:p>
      <w:pPr>
        <w:pStyle w:val="BodyText"/>
      </w:pPr>
      <w:r>
        <w:t xml:space="preserve">Coverage of the credible interval does not carry across roles. It was 71.1% where the bias inflates the apparent effect, 46.9% where it shrinks the effect toward the null, 18.4% where the two cancel, and 36.1% where the bias reverses the sign of the effect, against a nominal 95% in every role. The difference is not a consequence of where the true value falls on the 0 to 1 scale. Restricting attention to cells whose true BAF lies between 0.35 and 0.45 with K = 50 and σψ = 0.06, coverage was 63.5% under inflation and 24.5% under shrinkage. What moves is the width of the reported interval rather than the error of the estimate: in that matched set the mean of the per-condition median half-widths was 1.02 times the mean root mean squared error under inflation and 0.27 times under shrinkage. The reason is arithmetic. A draw of the bias center that is larger in absolute value makes the calibrated effect smaller whenever the two have the same sign, so the numerator and the denominator of the ratio |μ̂B| / |ψ̃| move in opposite directions and the ratio disperses; when the signs are opposed they move together and the ratio is stable. Bias that opposes the effect therefore returns a narrower interval, and an estimate that looks more precise, than the error of that estimate supports.</w:t>
      </w:r>
    </w:p>
    <w:p>
      <w:pPr>
        <w:pStyle w:val="BodyText"/>
      </w:pPr>
      <w:r>
        <w:t xml:space="preserve">The reporting rule R3 reads the upper end of that interval and inherits the shortfall. It endorsed an estimate in 29.8% of repetitions where the bias inflates the effect, 79.9% where it shrinks the effect, 30.3% where the two cancel, and 9.5% where the bias reverses the sign. Zone agreement moves in the opposite direction and is highest in the reversal role, at 84.3%, so the three-zone classification identifies bias dominance even in the role where R3 almost never endorses an estimate; the quantity that governs the safety of the rule is the interval, not the zone. Where the central estimate lies below 0.5, a narrower interval satisfies the condition that the whole interval lie below 0.5 more often, which is one reason the yield of R3 is highest in the shrinkage role and lowest in the reversal role, where the central estimate lies above 0.5 and a narrower interval moves that condition further out of reach. The misuse rate is informative only in the inflation role, where cells of both kinds are present, and there 7.4% of the estimates R3 endorsed were in fact bias-dominated. No cell in the shrinkage or cancellation roles has a true BAF above the 0.5 boundary and every cell in the reversal role does, so in those three roles the misuse rate is fixed by construction rather than estimated. In the reversal role that leaves the 9.5% of repetitions in which R3 endorsed an estimate as false endorsements, every one of them.</w:t>
      </w:r>
    </w:p>
    <w:p>
      <w:pPr>
        <w:pStyle w:val="BodyText"/>
      </w:pPr>
      <w:r>
        <w:t xml:space="preserve">Cancellation is a limiting case rather than a typical one. It arises only when the bias and the true effect are equal in absolute value, which sets the true BAF to exactly 0.5 by identity, and it accounts for 36 of the 1,920 conditions. Because the true value then falls on the boundary that separates the zones, coverage of the interval and agreement of the zone coincide exactly at 18.4% in that role, so neither figure should be read as a typical-case rate.</w:t>
      </w:r>
    </w:p>
    <w:bookmarkEnd w:id="11"/>
    <w:bookmarkStart w:id="12" w:name="held-out-validation-of-the-lookup-table"/>
    <w:p>
      <w:pPr>
        <w:pStyle w:val="Heading3"/>
      </w:pPr>
      <w:r>
        <w:t xml:space="preserve">Held-out validation of the lookup table</w:t>
      </w:r>
    </w:p>
    <w:p>
      <w:pPr>
        <w:pStyle w:val="FirstParagraph"/>
      </w:pPr>
      <w:r>
        <w:t xml:space="preserve">The lookup is built from all 1,920,000 repetitions of the pooled design and then used to score the reporting rules on the same repetitions, so its reported operating characteristics are in-sample. We bounded the resulting optimism by rebuilding the entire lookup, including the bin edges, the median half-width that separates narrow from wide intervals, and the per-bin probabilities, on training data alone, and then applying it unchanged to held-out data. Two schemes were used, each repeated across five folds. In the first, 20% of repetitions were held out within every condition, so that both training and test data span the whole factorial grid; the misuse rate of every rule was then unchanged to two decimal places, which supports the argument that the in-sample optimism is negligible when only repetitions are swapped. In the second, 20% of the 1920 conditions were held out entirely, which additionally tests grid cells that never contributed to the lookup; the share declared usable was essentially unchanged, and the misuse rate of the strictest rule (R4) rose from 2.7% to 2.8%, the largest excursion across the five folds being 4.0% and the largest increase for any rule 0.12 percentage points (eTable 8). Generalisation to unseen cells therefore costs little, but it is not free, and the ordering of the rules is preserved.</w:t>
      </w:r>
    </w:p>
    <w:bookmarkEnd w:id="12"/>
    <w:bookmarkStart w:id="13" w:name="X04759c458d3af05248f6506fc70a732ec83a461"/>
    <w:p>
      <w:pPr>
        <w:pStyle w:val="Heading3"/>
      </w:pPr>
      <w:r>
        <w:t xml:space="preserve">Joint propagation of empirical-null and target-estimate uncertainty</w:t>
      </w:r>
    </w:p>
    <w:p>
      <w:pPr>
        <w:pStyle w:val="FirstParagraph"/>
      </w:pPr>
      <w:r>
        <w:t xml:space="preserve">The reported credible interval propagates draws of the empirical-null mean while holding the observed target estimate fixed, so it omits the sampling variability of that estimate and undercovers. To quantify what this omission costs, we recomputed the interval with the omitted term added, drawing the calibrated target estimate from a normal distribution centred on its observed value with its own standard error. Both intervals were computed within the same repetitions, so the comparison is paired. Across the settings examined, coverage rose from 78.8% to 97.7%, the median half-width widened from 0.132 to 0.222, and the yield of the strictest interval rule fell from 24.3% to 13.2% of repetitions, with 11.2% of repetitions changing that rule’s decision (eTable 9). The undercoverage reported in the main text is therefore attributable specifically to the omitted term. The direction in which that omission propagates to the reporting rules is easy to misstate. R3 declares an estimate usable only when the whole interval lies below 0.5, a condition that a narrower interval satisfies more often, so the reported interval inflates the yield of the rule rather than deflating it; and because the repetitions that cease to qualify once coverage is restored are those with the least evidence against bias dominance, it inflates the misuse rate as well. Restoring nominal coverage accordingly lowered both, the yield from 24.3% to 13.2% and the misuse rate from 5.1% to 0.6%. The yield and the misuse rate reported for R3 in the main text are therefore upper bounds on the values that would obtain at nominal coverage.</w:t>
      </w:r>
    </w:p>
    <w:bookmarkEnd w:id="13"/>
    <w:bookmarkStart w:id="14" w:name="Xf66b460f92e87654cefcb46208e6de891aa7e27"/>
    <w:p>
      <w:pPr>
        <w:pStyle w:val="Heading3"/>
      </w:pPr>
      <w:r>
        <w:t xml:space="preserve">Missing-data handling for the guideline-directed medical therapy exposure</w:t>
      </w:r>
    </w:p>
    <w:p>
      <w:pPr>
        <w:pStyle w:val="FirstParagraph"/>
      </w:pPr>
      <w:r>
        <w:t xml:space="preserve">Of the 14,677 patients in the question-2 cohort, 3,494 (23.8%) had an indeterminate guideline-directed medical therapy score at baseline. The primary analysis classified them as not optimized, which is a design decision rather than a data fact. We therefore repeated the question-2 estimation under four conventions: indeterminate as suboptimal (the published analysis), complete case, indeterminate as optimized, and multiple imputation, in which the exposure was drawn from a logistic model of exposure on the ten baseline covariates and combined across ten imputations by Rubin’s rules. The target estimate moved substantially across conventions (uncalibrated relative risk 0.68 to 0.91), but the calibrated P value never fell below .05 and no convention produced a usable determination; the bias fraction rose from 0.460 under the published convention to between 0.463 and 0.676 under the others, and 2 of the 3 alternative conventions moved the determination to not usable as effect evidence rather than the competitive determination returned by the published convention (eTable 10). The published convention is thus the most favourable of the four, so the qualitative conclusion is not an artefact of it. The negative-control panel is fitted on the guideline-restricted cohort, so it shares the exposure contrast of the target estimates; refitting it changed the empirical null (SD 0.068 under the earlier all-agent panel versus 0.113 here) and moved the question-2 calibrated P value from 0.045 to 0.103, so the layer-1 pass that question 2 would have obtained under the earlier panel was not robust to that realignment; neither question passes layer 1 with the realigned panel, while both determinations are unchanged.</w:t>
      </w:r>
    </w:p>
    <w:bookmarkEnd w:id="14"/>
    <w:bookmarkStart w:id="15" w:name="X6db88556bbc28a0753c6b09e66367f6e1c98d27"/>
    <w:p>
      <w:pPr>
        <w:pStyle w:val="Heading3"/>
      </w:pPr>
      <w:r>
        <w:t xml:space="preserve">Heart failure cohort and the ejection-fraction proxy</w:t>
      </w:r>
    </w:p>
    <w:p>
      <w:pPr>
        <w:pStyle w:val="FirstParagraph"/>
      </w:pPr>
      <w:r>
        <w:t xml:space="preserve">Eligibility was anchored on a heart-failure discharge diagnosis rather than on measured left ventricular function. Heart failure was defined as any ICD-10-CM diagnosis code beginning with I50 or any of the ICD-9-CM codes 428.0, 428.1, 428.20 through 428.23, 428.30 through 428.33, 428.40 through 428.43, and 428.9. Because neither MIMIC-IV nor MIMIC-IV-ECG records left ventricular ejection fraction, no ejection-fraction threshold could be applied, and the cohort mixes reduced with preserved systolic function.</w:t>
      </w:r>
    </w:p>
    <w:p>
      <w:pPr>
        <w:pStyle w:val="BodyText"/>
      </w:pPr>
      <w:r>
        <w:t xml:space="preserve">To test whether that heterogeneity drives the case-study result, we applied a prespecified proxy. Probable heart failure with reduced ejection fraction was defined as a systolic heart failure code (ICD-10-CM I50.2x) or an electrocardiographic pattern of QRS duration of at least 120 ms together with left bundle-branch block, a pattern that would satisfy a criterion for cardiac resynchronization therapy and is therefore typical of reduced ejection fraction. Probable heart failure with preserved ejection fraction was defined as a diastolic code (I50.3x) without a systolic code and without that pattern. The two categories are mutually exclusive and together cover only part of the cohort: of 15,053 hospitalizations, 3,367 (22.4%) were classified as probable reduced and 2,535 (16.8%) as probable preserved, leaving 60.8% that met neither definition.</w:t>
      </w:r>
    </w:p>
    <w:p>
      <w:pPr>
        <w:pStyle w:val="BodyText"/>
      </w:pPr>
      <w:r>
        <w:t xml:space="preserve">Question 1 was then re-estimated within each proxy subgroup under otherwise identical settings. The uncalibrated relative risk was 0.813 in probable reduced ejection fraction versus 0.831 in the full cohort; the bias fraction and its credible interval were 0.841 (0.342 to 0.993) against 0.875 (0.385 to 0.992), and the calibrated P value was 0.807 against 0.894. In probable preserved ejection fraction the corresponding values were 0.896, 0.720 (0.629 to 0.973), and 0.774. No subgroup passed layer 1, and all three remained bias-dominated, so the case-study conclusion does not depend on how the ejection fraction is distributed within the cohort. eTable 12 gives the full comparison.</w:t>
      </w:r>
    </w:p>
    <w:bookmarkEnd w:id="15"/>
    <w:bookmarkStart w:id="16" w:name="X73283ffd010a620f493fe2ac9951034943d0f8d"/>
    <w:p>
      <w:pPr>
        <w:pStyle w:val="Heading3"/>
      </w:pPr>
      <w:r>
        <w:t xml:space="preserve">Beta-blocker exposure and guideline target dose</w:t>
      </w:r>
    </w:p>
    <w:p>
      <w:pPr>
        <w:pStyle w:val="FirstParagraph"/>
      </w:pPr>
      <w:r>
        <w:t xml:space="preserve">For question 1 the exposure was receipt, during the 7 days after the first electrocardiogram, of a beta-blocker with Class I evidence in heart failure at or above 50% of its guideline target dose. Three agents qualified, with these target daily doses: carvedilol 50 mg, metoprolol succinate 200 mg, and bisoprolol 10 mg. Beta-blockers without Class I evidence in this population, namely metoprolol tartrate, atenolol, nebivolol, propranolol, and sotalol, did not count toward exposure, so a patient receiving only one of them is classified as unexposed.</w:t>
      </w:r>
    </w:p>
    <w:p>
      <w:pPr>
        <w:pStyle w:val="BodyText"/>
      </w:pPr>
      <w:r>
        <w:t xml:space="preserve">The daily dose was reconstructed from the hospital prescription record rather than taken from a study-specific instrument. The recorded dose value was multiplied by the recorded number of doses per 24 hours, with a missing or non-positive value of the latter set to once daily; the product was expressed as a percentage of the drug’s target dose, computed separately for each agent; and percentages above 200% were set missing, because a value that extreme reflects a recording unit rather than a plausible dose. Dose was then summarised per patient as the maximum percentage across qualifying prescriptions whose start date fell in the window. A patient was coded as at or above the target dose (level 2) when that maximum reached 50%, as partially exposed (level 1) when a qualifying beta-blocker was recorded below 50%, and as unexposed (level 0) when no qualifying prescription was found. In the analytic cohort the distribution was 10,621 (72.4%) unexposed, 2,284 (15.6%) partially exposed, and 1,772 (12.1%) at or above the target dose; question 1 compares the last group with the two others combined.</w:t>
      </w:r>
    </w:p>
    <w:p>
      <w:pPr>
        <w:pStyle w:val="BodyText"/>
      </w:pPr>
      <w:r>
        <w:t xml:space="preserve">Question 2 used the same dose reconstruction within each of three foundational drug classes rather than for a single agent. The classes were renin-angiotensin system inhibitors (angiotensin-converting enzyme inhibitors, angiotensin receptor blockers, and the angiotensin receptor-neprilysin inhibitor), mineralocorticoid receptor antagonists, and beta-blockers. A class counted toward the score when at least one agent within it reached 50% of its target dose, and the score was the number of classes that counted, so that the exposed group for question 2 was a score of at least 2 of 3. Target daily doses were as given above for beta-blockers and, for the other two classes, were lisinopril 35, enalapril 20, ramipril 10, captopril 150, quinapril 40, trandolapril 4, fosinopril 40, benazepril 40, perindopril 8, moexipril 30, valsartan 320, losartan 150, candesartan 32, irbesartan 300, olmesartan 40, telmisartan 80, and sacubitril with valsartan 400 mg/day for renin-angiotensin system inhibitors, and spironolactone 50 and eplerenone 50 mg/day for mineralocorticoid receptor antagonists.</w:t>
      </w:r>
    </w:p>
    <w:bookmarkEnd w:id="16"/>
    <w:bookmarkStart w:id="17" w:name="negative-control-selection"/>
    <w:p>
      <w:pPr>
        <w:pStyle w:val="Heading3"/>
      </w:pPr>
      <w:r>
        <w:t xml:space="preserve">Negative control selection</w:t>
      </w:r>
    </w:p>
    <w:p>
      <w:pPr>
        <w:pStyle w:val="FirstParagraph"/>
      </w:pPr>
      <w:r>
        <w:t xml:space="preserve">The negative control panel was assembled before any case-study estimate was produced, and no control was added or removed afterwards. A candidate was an outcome with no plausible causal pathway from either treatment strategy and therefore expected to show a null association with it. Screening proceeded in four levels, summarised in eTable 11.</w:t>
      </w:r>
    </w:p>
    <w:p>
      <w:pPr>
        <w:pStyle w:val="BodyText"/>
      </w:pPr>
      <w:r>
        <w:t xml:space="preserve">The candidate list contained 20 outcomes chosen for biological plausibility of a null association and for coverage of distinct clinical domains, spanning infection, gastrointestinal, trauma, ophthalmology, rheumatology, urology, oncology, dental, and vascular disease.</w:t>
      </w:r>
    </w:p>
    <w:p>
      <w:pPr>
        <w:pStyle w:val="BodyText"/>
      </w:pPr>
      <w:r>
        <w:t xml:space="preserve">Four candidates were removed on code feasibility. Fracture, burn, and poisoning are recorded with external-cause codes, and inguinal hernia is recorded surgically; neither family is captured in the MIMIC-IV diagnoses table, and each had no records there. That left 16 candidates with usable code definitions.</w:t>
      </w:r>
    </w:p>
    <w:p>
      <w:pPr>
        <w:pStyle w:val="BodyText"/>
      </w:pPr>
      <w:r>
        <w:t xml:space="preserve">The remaining candidates had to reach at least 50 hospitalizations in the heart-failure cohort, counted as distinct patients carrying the code in the index hospitalization or in any later hospitalization. 2 candidates failed this level, Conjunctivitis and Non-Melanoma Skin Cancer, with 44 and 38 qualifying patients respectively, leaving 14.</w:t>
      </w:r>
    </w:p>
    <w:p>
      <w:pPr>
        <w:pStyle w:val="BodyText"/>
      </w:pPr>
      <w:r>
        <w:t xml:space="preserve">Finally the event count had to reach 50 inside the analysis window itself, which excludes patients who died during the 7-day grace period and counts only events occurring after it. 2 further candidates failed here, Dental Caries and Varicose Veins, with 45 and 36 events in that window, leaving the 12 controls of the reported panel.</w:t>
      </w:r>
    </w:p>
    <w:p>
      <w:pPr>
        <w:pStyle w:val="BodyText"/>
      </w:pPr>
      <w:r>
        <w:t xml:space="preserve">Both quantitative thresholds were fixed before the panel was screened and were applied mechanically, so the panel size was determined by the data source rather than by the results. No candidate was removed on the basis of the strength or the direction of its estimated association, and the panel is not the subset of candidates that happened to appear null: 2 of the 12 retained controls in fact have uncalibrated relative risks above 1.</w:t>
      </w:r>
    </w:p>
    <w:bookmarkEnd w:id="17"/>
    <w:bookmarkEnd w:id="18"/>
    <w:bookmarkStart w:id="19" w:name="etable-1.-full-12-bucket-lookup-table"/>
    <w:p>
      <w:pPr>
        <w:pStyle w:val="Heading2"/>
      </w:pPr>
      <w:r>
        <w:t xml:space="preserve">eTable 1. Full 12-bucket lookup table</w:t>
      </w:r>
    </w:p>
    <w:p>
      <w:pPr>
        <w:pStyle w:val="TableCaption"/>
      </w:pPr>
      <w:r>
        <w:t xml:space="preserve">eTable 1. Twelve-bucket lookup mapping BAFhat x interval width to probability of being bias-dominated.</w:t>
      </w:r>
    </w:p>
    <w:tbl>
      <w:tblPr>
        <w:tblStyle w:val="Table"/>
        <w:tblW w:type="pct" w:w="5000"/>
        <w:tblLayout w:type="fixed"/>
        <w:tblLook w:firstRow="1" w:lastRow="0" w:firstColumn="0" w:lastColumn="0" w:noHBand="0" w:noVBand="0" w:val="0020"/>
        <w:tblCaption w:val="eTable 1. Twelve-bucket lookup mapping BAFhat x interval width to probability of being bias-dominated."/>
      </w:tblPr>
      <w:tblGrid>
        <w:gridCol w:w="348"/>
        <w:gridCol w:w="957"/>
        <w:gridCol w:w="783"/>
        <w:gridCol w:w="609"/>
        <w:gridCol w:w="957"/>
        <w:gridCol w:w="783"/>
        <w:gridCol w:w="870"/>
        <w:gridCol w:w="2610"/>
      </w:tblGrid>
      <w:tr>
        <w:trPr>
          <w:tblHeader w:val="on"/>
        </w:trPr>
        <w:tc>
          <w:tcPr/>
          <w:p>
            <w:pPr>
              <w:pStyle w:val="Compact"/>
              <w:jc w:val="right"/>
            </w:pPr>
            <w:r>
              <w:t xml:space="preserve">Bin</w:t>
            </w:r>
          </w:p>
        </w:tc>
        <w:tc>
          <w:tcPr/>
          <w:p>
            <w:pPr>
              <w:pStyle w:val="Compact"/>
              <w:jc w:val="right"/>
            </w:pPr>
            <w:r>
              <w:t xml:space="preserve">BAF.centre</w:t>
            </w:r>
          </w:p>
        </w:tc>
        <w:tc>
          <w:tcPr/>
          <w:p>
            <w:pPr>
              <w:pStyle w:val="Compact"/>
              <w:jc w:val="right"/>
            </w:pPr>
            <w:r>
              <w:t xml:space="preserve">n.narrow</w:t>
            </w:r>
          </w:p>
        </w:tc>
        <w:tc>
          <w:tcPr/>
          <w:p>
            <w:pPr>
              <w:pStyle w:val="Compact"/>
              <w:jc w:val="right"/>
            </w:pPr>
            <w:r>
              <w:t xml:space="preserve">n.wide</w:t>
            </w:r>
          </w:p>
        </w:tc>
        <w:tc>
          <w:tcPr/>
          <w:p>
            <w:pPr>
              <w:pStyle w:val="Compact"/>
              <w:jc w:val="left"/>
            </w:pPr>
            <w:r>
              <w:t xml:space="preserve">pBD.narrow</w:t>
            </w:r>
          </w:p>
        </w:tc>
        <w:tc>
          <w:tcPr/>
          <w:p>
            <w:pPr>
              <w:pStyle w:val="Compact"/>
              <w:jc w:val="left"/>
            </w:pPr>
            <w:r>
              <w:t xml:space="preserve">pBD.wide</w:t>
            </w:r>
          </w:p>
        </w:tc>
        <w:tc>
          <w:tcPr/>
          <w:p>
            <w:pPr>
              <w:pStyle w:val="Compact"/>
              <w:jc w:val="left"/>
            </w:pPr>
            <w:r>
              <w:t xml:space="preserve">pBD.cons.</w:t>
            </w:r>
          </w:p>
        </w:tc>
        <w:tc>
          <w:tcPr/>
          <w:p>
            <w:pPr>
              <w:pStyle w:val="Compact"/>
              <w:jc w:val="left"/>
            </w:pPr>
            <w:r>
              <w:t xml:space="preserve">Verdict</w:t>
            </w:r>
          </w:p>
        </w:tc>
      </w:tr>
      <w:tr>
        <w:tc>
          <w:tcPr/>
          <w:p>
            <w:pPr>
              <w:pStyle w:val="Compact"/>
              <w:jc w:val="right"/>
            </w:pPr>
            <w:r>
              <w:t xml:space="preserve">1</w:t>
            </w:r>
          </w:p>
        </w:tc>
        <w:tc>
          <w:tcPr/>
          <w:p>
            <w:pPr>
              <w:pStyle w:val="Compact"/>
              <w:jc w:val="right"/>
            </w:pPr>
            <w:r>
              <w:t xml:space="preserve">0.125</w:t>
            </w:r>
          </w:p>
        </w:tc>
        <w:tc>
          <w:tcPr/>
          <w:p>
            <w:pPr>
              <w:pStyle w:val="Compact"/>
              <w:jc w:val="right"/>
            </w:pPr>
            <w:r>
              <w:t xml:space="preserve">46397</w:t>
            </w:r>
          </w:p>
        </w:tc>
        <w:tc>
          <w:tcPr/>
          <w:p>
            <w:pPr>
              <w:pStyle w:val="Compact"/>
              <w:jc w:val="right"/>
            </w:pPr>
            <w:r>
              <w:t xml:space="preserve">113603</w:t>
            </w:r>
          </w:p>
        </w:tc>
        <w:tc>
          <w:tcPr/>
          <w:p>
            <w:pPr>
              <w:pStyle w:val="Compact"/>
              <w:jc w:val="left"/>
            </w:pPr>
            <w:r>
              <w:t xml:space="preserve">0.15%</w:t>
            </w:r>
          </w:p>
        </w:tc>
        <w:tc>
          <w:tcPr/>
          <w:p>
            <w:pPr>
              <w:pStyle w:val="Compact"/>
              <w:jc w:val="left"/>
            </w:pPr>
            <w:r>
              <w:t xml:space="preserve">2.80%</w:t>
            </w:r>
          </w:p>
        </w:tc>
        <w:tc>
          <w:tcPr/>
          <w:p>
            <w:pPr>
              <w:pStyle w:val="Compact"/>
              <w:jc w:val="left"/>
            </w:pPr>
            <w:r>
              <w:t xml:space="preserve">2.80%</w:t>
            </w:r>
          </w:p>
        </w:tc>
        <w:tc>
          <w:tcPr/>
          <w:p>
            <w:pPr>
              <w:pStyle w:val="Compact"/>
              <w:jc w:val="left"/>
            </w:pPr>
            <w:r>
              <w:t xml:space="preserve">usable as effect evidence</w:t>
            </w:r>
          </w:p>
        </w:tc>
      </w:tr>
      <w:tr>
        <w:tc>
          <w:tcPr/>
          <w:p>
            <w:pPr>
              <w:pStyle w:val="Compact"/>
              <w:jc w:val="right"/>
            </w:pPr>
            <w:r>
              <w:t xml:space="preserve">2</w:t>
            </w:r>
          </w:p>
        </w:tc>
        <w:tc>
          <w:tcPr/>
          <w:p>
            <w:pPr>
              <w:pStyle w:val="Compact"/>
              <w:jc w:val="right"/>
            </w:pPr>
            <w:r>
              <w:t xml:space="preserve">0.233</w:t>
            </w:r>
          </w:p>
        </w:tc>
        <w:tc>
          <w:tcPr/>
          <w:p>
            <w:pPr>
              <w:pStyle w:val="Compact"/>
              <w:jc w:val="right"/>
            </w:pPr>
            <w:r>
              <w:t xml:space="preserve">57965</w:t>
            </w:r>
          </w:p>
        </w:tc>
        <w:tc>
          <w:tcPr/>
          <w:p>
            <w:pPr>
              <w:pStyle w:val="Compact"/>
              <w:jc w:val="right"/>
            </w:pPr>
            <w:r>
              <w:t xml:space="preserve">102035</w:t>
            </w:r>
          </w:p>
        </w:tc>
        <w:tc>
          <w:tcPr/>
          <w:p>
            <w:pPr>
              <w:pStyle w:val="Compact"/>
              <w:jc w:val="left"/>
            </w:pPr>
            <w:r>
              <w:t xml:space="preserve">0.58%</w:t>
            </w:r>
          </w:p>
        </w:tc>
        <w:tc>
          <w:tcPr/>
          <w:p>
            <w:pPr>
              <w:pStyle w:val="Compact"/>
              <w:jc w:val="left"/>
            </w:pPr>
            <w:r>
              <w:t xml:space="preserve">6.83%</w:t>
            </w:r>
          </w:p>
        </w:tc>
        <w:tc>
          <w:tcPr/>
          <w:p>
            <w:pPr>
              <w:pStyle w:val="Compact"/>
              <w:jc w:val="left"/>
            </w:pPr>
            <w:r>
              <w:t xml:space="preserve">6.83%</w:t>
            </w:r>
          </w:p>
        </w:tc>
        <w:tc>
          <w:tcPr/>
          <w:p>
            <w:pPr>
              <w:pStyle w:val="Compact"/>
              <w:jc w:val="left"/>
            </w:pPr>
            <w:r>
              <w:t xml:space="preserve">usable as effect evidence</w:t>
            </w:r>
          </w:p>
        </w:tc>
      </w:tr>
      <w:tr>
        <w:tc>
          <w:tcPr/>
          <w:p>
            <w:pPr>
              <w:pStyle w:val="Compact"/>
              <w:jc w:val="right"/>
            </w:pPr>
            <w:r>
              <w:t xml:space="preserve">3</w:t>
            </w:r>
          </w:p>
        </w:tc>
        <w:tc>
          <w:tcPr/>
          <w:p>
            <w:pPr>
              <w:pStyle w:val="Compact"/>
              <w:jc w:val="right"/>
            </w:pPr>
            <w:r>
              <w:t xml:space="preserve">0.310</w:t>
            </w:r>
          </w:p>
        </w:tc>
        <w:tc>
          <w:tcPr/>
          <w:p>
            <w:pPr>
              <w:pStyle w:val="Compact"/>
              <w:jc w:val="right"/>
            </w:pPr>
            <w:r>
              <w:t xml:space="preserve">78923</w:t>
            </w:r>
          </w:p>
        </w:tc>
        <w:tc>
          <w:tcPr/>
          <w:p>
            <w:pPr>
              <w:pStyle w:val="Compact"/>
              <w:jc w:val="right"/>
            </w:pPr>
            <w:r>
              <w:t xml:space="preserve">81077</w:t>
            </w:r>
          </w:p>
        </w:tc>
        <w:tc>
          <w:tcPr/>
          <w:p>
            <w:pPr>
              <w:pStyle w:val="Compact"/>
              <w:jc w:val="left"/>
            </w:pPr>
            <w:r>
              <w:t xml:space="preserve">2.90%</w:t>
            </w:r>
          </w:p>
        </w:tc>
        <w:tc>
          <w:tcPr/>
          <w:p>
            <w:pPr>
              <w:pStyle w:val="Compact"/>
              <w:jc w:val="left"/>
            </w:pPr>
            <w:r>
              <w:t xml:space="preserve">14.56%</w:t>
            </w:r>
          </w:p>
        </w:tc>
        <w:tc>
          <w:tcPr/>
          <w:p>
            <w:pPr>
              <w:pStyle w:val="Compact"/>
              <w:jc w:val="left"/>
            </w:pPr>
            <w:r>
              <w:t xml:space="preserve">14.56%</w:t>
            </w:r>
          </w:p>
        </w:tc>
        <w:tc>
          <w:tcPr/>
          <w:p>
            <w:pPr>
              <w:pStyle w:val="Compact"/>
              <w:jc w:val="left"/>
            </w:pPr>
            <w:r>
              <w:t xml:space="preserve">usable as effect evidence</w:t>
            </w:r>
          </w:p>
        </w:tc>
      </w:tr>
      <w:tr>
        <w:tc>
          <w:tcPr/>
          <w:p>
            <w:pPr>
              <w:pStyle w:val="Compact"/>
              <w:jc w:val="right"/>
            </w:pPr>
            <w:r>
              <w:t xml:space="preserve">4</w:t>
            </w:r>
          </w:p>
        </w:tc>
        <w:tc>
          <w:tcPr/>
          <w:p>
            <w:pPr>
              <w:pStyle w:val="Compact"/>
              <w:jc w:val="right"/>
            </w:pPr>
            <w:r>
              <w:t xml:space="preserve">0.372</w:t>
            </w:r>
          </w:p>
        </w:tc>
        <w:tc>
          <w:tcPr/>
          <w:p>
            <w:pPr>
              <w:pStyle w:val="Compact"/>
              <w:jc w:val="right"/>
            </w:pPr>
            <w:r>
              <w:t xml:space="preserve">94129</w:t>
            </w:r>
          </w:p>
        </w:tc>
        <w:tc>
          <w:tcPr/>
          <w:p>
            <w:pPr>
              <w:pStyle w:val="Compact"/>
              <w:jc w:val="right"/>
            </w:pPr>
            <w:r>
              <w:t xml:space="preserve">65871</w:t>
            </w:r>
          </w:p>
        </w:tc>
        <w:tc>
          <w:tcPr/>
          <w:p>
            <w:pPr>
              <w:pStyle w:val="Compact"/>
              <w:jc w:val="left"/>
            </w:pPr>
            <w:r>
              <w:t xml:space="preserve">9.01%</w:t>
            </w:r>
          </w:p>
        </w:tc>
        <w:tc>
          <w:tcPr/>
          <w:p>
            <w:pPr>
              <w:pStyle w:val="Compact"/>
              <w:jc w:val="left"/>
            </w:pPr>
            <w:r>
              <w:t xml:space="preserve">27.09%</w:t>
            </w:r>
          </w:p>
        </w:tc>
        <w:tc>
          <w:tcPr/>
          <w:p>
            <w:pPr>
              <w:pStyle w:val="Compact"/>
              <w:jc w:val="left"/>
            </w:pPr>
            <w:r>
              <w:t xml:space="preserve">27.09%</w:t>
            </w:r>
          </w:p>
        </w:tc>
        <w:tc>
          <w:tcPr/>
          <w:p>
            <w:pPr>
              <w:pStyle w:val="Compact"/>
              <w:jc w:val="left"/>
            </w:pPr>
            <w:r>
              <w:t xml:space="preserve">mixed, hypothesis-generating</w:t>
            </w:r>
          </w:p>
        </w:tc>
      </w:tr>
      <w:tr>
        <w:tc>
          <w:tcPr/>
          <w:p>
            <w:pPr>
              <w:pStyle w:val="Compact"/>
              <w:jc w:val="right"/>
            </w:pPr>
            <w:r>
              <w:t xml:space="preserve">5</w:t>
            </w:r>
          </w:p>
        </w:tc>
        <w:tc>
          <w:tcPr/>
          <w:p>
            <w:pPr>
              <w:pStyle w:val="Compact"/>
              <w:jc w:val="right"/>
            </w:pPr>
            <w:r>
              <w:t xml:space="preserve">0.424</w:t>
            </w:r>
          </w:p>
        </w:tc>
        <w:tc>
          <w:tcPr/>
          <w:p>
            <w:pPr>
              <w:pStyle w:val="Compact"/>
              <w:jc w:val="right"/>
            </w:pPr>
            <w:r>
              <w:t xml:space="preserve">103329</w:t>
            </w:r>
          </w:p>
        </w:tc>
        <w:tc>
          <w:tcPr/>
          <w:p>
            <w:pPr>
              <w:pStyle w:val="Compact"/>
              <w:jc w:val="right"/>
            </w:pPr>
            <w:r>
              <w:t xml:space="preserve">56671</w:t>
            </w:r>
          </w:p>
        </w:tc>
        <w:tc>
          <w:tcPr/>
          <w:p>
            <w:pPr>
              <w:pStyle w:val="Compact"/>
              <w:jc w:val="left"/>
            </w:pPr>
            <w:r>
              <w:t xml:space="preserve">21.53%</w:t>
            </w:r>
          </w:p>
        </w:tc>
        <w:tc>
          <w:tcPr/>
          <w:p>
            <w:pPr>
              <w:pStyle w:val="Compact"/>
              <w:jc w:val="left"/>
            </w:pPr>
            <w:r>
              <w:t xml:space="preserve">42.15%</w:t>
            </w:r>
          </w:p>
        </w:tc>
        <w:tc>
          <w:tcPr/>
          <w:p>
            <w:pPr>
              <w:pStyle w:val="Compact"/>
              <w:jc w:val="left"/>
            </w:pPr>
            <w:r>
              <w:t xml:space="preserve">42.15%</w:t>
            </w:r>
          </w:p>
        </w:tc>
        <w:tc>
          <w:tcPr/>
          <w:p>
            <w:pPr>
              <w:pStyle w:val="Compact"/>
              <w:jc w:val="left"/>
            </w:pPr>
            <w:r>
              <w:t xml:space="preserve">mixed, hypothesis-generating</w:t>
            </w:r>
          </w:p>
        </w:tc>
      </w:tr>
      <w:tr>
        <w:tc>
          <w:tcPr/>
          <w:p>
            <w:pPr>
              <w:pStyle w:val="Compact"/>
              <w:jc w:val="right"/>
            </w:pPr>
            <w:r>
              <w:t xml:space="preserve">6</w:t>
            </w:r>
          </w:p>
        </w:tc>
        <w:tc>
          <w:tcPr/>
          <w:p>
            <w:pPr>
              <w:pStyle w:val="Compact"/>
              <w:jc w:val="right"/>
            </w:pPr>
            <w:r>
              <w:t xml:space="preserve">0.471</w:t>
            </w:r>
          </w:p>
        </w:tc>
        <w:tc>
          <w:tcPr/>
          <w:p>
            <w:pPr>
              <w:pStyle w:val="Compact"/>
              <w:jc w:val="right"/>
            </w:pPr>
            <w:r>
              <w:t xml:space="preserve">108943</w:t>
            </w:r>
          </w:p>
        </w:tc>
        <w:tc>
          <w:tcPr/>
          <w:p>
            <w:pPr>
              <w:pStyle w:val="Compact"/>
              <w:jc w:val="right"/>
            </w:pPr>
            <w:r>
              <w:t xml:space="preserve">51057</w:t>
            </w:r>
          </w:p>
        </w:tc>
        <w:tc>
          <w:tcPr/>
          <w:p>
            <w:pPr>
              <w:pStyle w:val="Compact"/>
              <w:jc w:val="left"/>
            </w:pPr>
            <w:r>
              <w:t xml:space="preserve">39.50%</w:t>
            </w:r>
          </w:p>
        </w:tc>
        <w:tc>
          <w:tcPr/>
          <w:p>
            <w:pPr>
              <w:pStyle w:val="Compact"/>
              <w:jc w:val="left"/>
            </w:pPr>
            <w:r>
              <w:t xml:space="preserve">58.79%</w:t>
            </w:r>
          </w:p>
        </w:tc>
        <w:tc>
          <w:tcPr/>
          <w:p>
            <w:pPr>
              <w:pStyle w:val="Compact"/>
              <w:jc w:val="left"/>
            </w:pPr>
            <w:r>
              <w:t xml:space="preserve">58.79%</w:t>
            </w:r>
          </w:p>
        </w:tc>
        <w:tc>
          <w:tcPr/>
          <w:p>
            <w:pPr>
              <w:pStyle w:val="Compact"/>
              <w:jc w:val="left"/>
            </w:pPr>
            <w:r>
              <w:t xml:space="preserve">competitive, no verdict</w:t>
            </w:r>
          </w:p>
        </w:tc>
      </w:tr>
      <w:tr>
        <w:tc>
          <w:tcPr/>
          <w:p>
            <w:pPr>
              <w:pStyle w:val="Compact"/>
              <w:jc w:val="right"/>
            </w:pPr>
            <w:r>
              <w:t xml:space="preserve">7</w:t>
            </w:r>
          </w:p>
        </w:tc>
        <w:tc>
          <w:tcPr/>
          <w:p>
            <w:pPr>
              <w:pStyle w:val="Compact"/>
              <w:jc w:val="right"/>
            </w:pPr>
            <w:r>
              <w:t xml:space="preserve">0.516</w:t>
            </w:r>
          </w:p>
        </w:tc>
        <w:tc>
          <w:tcPr/>
          <w:p>
            <w:pPr>
              <w:pStyle w:val="Compact"/>
              <w:jc w:val="right"/>
            </w:pPr>
            <w:r>
              <w:t xml:space="preserve">109592</w:t>
            </w:r>
          </w:p>
        </w:tc>
        <w:tc>
          <w:tcPr/>
          <w:p>
            <w:pPr>
              <w:pStyle w:val="Compact"/>
              <w:jc w:val="right"/>
            </w:pPr>
            <w:r>
              <w:t xml:space="preserve">50408</w:t>
            </w:r>
          </w:p>
        </w:tc>
        <w:tc>
          <w:tcPr/>
          <w:p>
            <w:pPr>
              <w:pStyle w:val="Compact"/>
              <w:jc w:val="left"/>
            </w:pPr>
            <w:r>
              <w:t xml:space="preserve">62.32%</w:t>
            </w:r>
          </w:p>
        </w:tc>
        <w:tc>
          <w:tcPr/>
          <w:p>
            <w:pPr>
              <w:pStyle w:val="Compact"/>
              <w:jc w:val="left"/>
            </w:pPr>
            <w:r>
              <w:t xml:space="preserve">72.29%</w:t>
            </w:r>
          </w:p>
        </w:tc>
        <w:tc>
          <w:tcPr/>
          <w:p>
            <w:pPr>
              <w:pStyle w:val="Compact"/>
              <w:jc w:val="left"/>
            </w:pPr>
            <w:r>
              <w:t xml:space="preserve">72.29%</w:t>
            </w:r>
          </w:p>
        </w:tc>
        <w:tc>
          <w:tcPr/>
          <w:p>
            <w:pPr>
              <w:pStyle w:val="Compact"/>
              <w:jc w:val="left"/>
            </w:pPr>
            <w:r>
              <w:t xml:space="preserve">not usable as effect evidence</w:t>
            </w:r>
          </w:p>
        </w:tc>
      </w:tr>
      <w:tr>
        <w:tc>
          <w:tcPr/>
          <w:p>
            <w:pPr>
              <w:pStyle w:val="Compact"/>
              <w:jc w:val="right"/>
            </w:pPr>
            <w:r>
              <w:t xml:space="preserve">8</w:t>
            </w:r>
          </w:p>
        </w:tc>
        <w:tc>
          <w:tcPr/>
          <w:p>
            <w:pPr>
              <w:pStyle w:val="Compact"/>
              <w:jc w:val="right"/>
            </w:pPr>
            <w:r>
              <w:t xml:space="preserve">0.565</w:t>
            </w:r>
          </w:p>
        </w:tc>
        <w:tc>
          <w:tcPr/>
          <w:p>
            <w:pPr>
              <w:pStyle w:val="Compact"/>
              <w:jc w:val="right"/>
            </w:pPr>
            <w:r>
              <w:t xml:space="preserve">103951</w:t>
            </w:r>
          </w:p>
        </w:tc>
        <w:tc>
          <w:tcPr/>
          <w:p>
            <w:pPr>
              <w:pStyle w:val="Compact"/>
              <w:jc w:val="right"/>
            </w:pPr>
            <w:r>
              <w:t xml:space="preserve">56049</w:t>
            </w:r>
          </w:p>
        </w:tc>
        <w:tc>
          <w:tcPr/>
          <w:p>
            <w:pPr>
              <w:pStyle w:val="Compact"/>
              <w:jc w:val="left"/>
            </w:pPr>
            <w:r>
              <w:t xml:space="preserve">81.74%</w:t>
            </w:r>
          </w:p>
        </w:tc>
        <w:tc>
          <w:tcPr/>
          <w:p>
            <w:pPr>
              <w:pStyle w:val="Compact"/>
              <w:jc w:val="left"/>
            </w:pPr>
            <w:r>
              <w:t xml:space="preserve">80.72%</w:t>
            </w:r>
          </w:p>
        </w:tc>
        <w:tc>
          <w:tcPr/>
          <w:p>
            <w:pPr>
              <w:pStyle w:val="Compact"/>
              <w:jc w:val="left"/>
            </w:pPr>
            <w:r>
              <w:t xml:space="preserve">81.74%</w:t>
            </w:r>
          </w:p>
        </w:tc>
        <w:tc>
          <w:tcPr/>
          <w:p>
            <w:pPr>
              <w:pStyle w:val="Compact"/>
              <w:jc w:val="left"/>
            </w:pPr>
            <w:r>
              <w:t xml:space="preserve">not usable as effect evidence</w:t>
            </w:r>
          </w:p>
        </w:tc>
      </w:tr>
      <w:tr>
        <w:tc>
          <w:tcPr/>
          <w:p>
            <w:pPr>
              <w:pStyle w:val="Compact"/>
              <w:jc w:val="right"/>
            </w:pPr>
            <w:r>
              <w:t xml:space="preserve">9</w:t>
            </w:r>
          </w:p>
        </w:tc>
        <w:tc>
          <w:tcPr/>
          <w:p>
            <w:pPr>
              <w:pStyle w:val="Compact"/>
              <w:jc w:val="right"/>
            </w:pPr>
            <w:r>
              <w:t xml:space="preserve">0.623</w:t>
            </w:r>
          </w:p>
        </w:tc>
        <w:tc>
          <w:tcPr/>
          <w:p>
            <w:pPr>
              <w:pStyle w:val="Compact"/>
              <w:jc w:val="right"/>
            </w:pPr>
            <w:r>
              <w:t xml:space="preserve">93533</w:t>
            </w:r>
          </w:p>
        </w:tc>
        <w:tc>
          <w:tcPr/>
          <w:p>
            <w:pPr>
              <w:pStyle w:val="Compact"/>
              <w:jc w:val="right"/>
            </w:pPr>
            <w:r>
              <w:t xml:space="preserve">66467</w:t>
            </w:r>
          </w:p>
        </w:tc>
        <w:tc>
          <w:tcPr/>
          <w:p>
            <w:pPr>
              <w:pStyle w:val="Compact"/>
              <w:jc w:val="left"/>
            </w:pPr>
            <w:r>
              <w:t xml:space="preserve">92.71%</w:t>
            </w:r>
          </w:p>
        </w:tc>
        <w:tc>
          <w:tcPr/>
          <w:p>
            <w:pPr>
              <w:pStyle w:val="Compact"/>
              <w:jc w:val="left"/>
            </w:pPr>
            <w:r>
              <w:t xml:space="preserve">85.71%</w:t>
            </w:r>
          </w:p>
        </w:tc>
        <w:tc>
          <w:tcPr/>
          <w:p>
            <w:pPr>
              <w:pStyle w:val="Compact"/>
              <w:jc w:val="left"/>
            </w:pPr>
            <w:r>
              <w:t xml:space="preserve">92.71%</w:t>
            </w:r>
          </w:p>
        </w:tc>
        <w:tc>
          <w:tcPr/>
          <w:p>
            <w:pPr>
              <w:pStyle w:val="Compact"/>
              <w:jc w:val="left"/>
            </w:pPr>
            <w:r>
              <w:t xml:space="preserve">not usable as effect evidence</w:t>
            </w:r>
          </w:p>
        </w:tc>
      </w:tr>
      <w:tr>
        <w:tc>
          <w:tcPr/>
          <w:p>
            <w:pPr>
              <w:pStyle w:val="Compact"/>
              <w:jc w:val="right"/>
            </w:pPr>
            <w:r>
              <w:t xml:space="preserve">10</w:t>
            </w:r>
          </w:p>
        </w:tc>
        <w:tc>
          <w:tcPr/>
          <w:p>
            <w:pPr>
              <w:pStyle w:val="Compact"/>
              <w:jc w:val="right"/>
            </w:pPr>
            <w:r>
              <w:t xml:space="preserve">0.694</w:t>
            </w:r>
          </w:p>
        </w:tc>
        <w:tc>
          <w:tcPr/>
          <w:p>
            <w:pPr>
              <w:pStyle w:val="Compact"/>
              <w:jc w:val="right"/>
            </w:pPr>
            <w:r>
              <w:t xml:space="preserve">73430</w:t>
            </w:r>
          </w:p>
        </w:tc>
        <w:tc>
          <w:tcPr/>
          <w:p>
            <w:pPr>
              <w:pStyle w:val="Compact"/>
              <w:jc w:val="right"/>
            </w:pPr>
            <w:r>
              <w:t xml:space="preserve">86570</w:t>
            </w:r>
          </w:p>
        </w:tc>
        <w:tc>
          <w:tcPr/>
          <w:p>
            <w:pPr>
              <w:pStyle w:val="Compact"/>
              <w:jc w:val="left"/>
            </w:pPr>
            <w:r>
              <w:t xml:space="preserve">97.55%</w:t>
            </w:r>
          </w:p>
        </w:tc>
        <w:tc>
          <w:tcPr/>
          <w:p>
            <w:pPr>
              <w:pStyle w:val="Compact"/>
              <w:jc w:val="left"/>
            </w:pPr>
            <w:r>
              <w:t xml:space="preserve">89.95%</w:t>
            </w:r>
          </w:p>
        </w:tc>
        <w:tc>
          <w:tcPr/>
          <w:p>
            <w:pPr>
              <w:pStyle w:val="Compact"/>
              <w:jc w:val="left"/>
            </w:pPr>
            <w:r>
              <w:t xml:space="preserve">97.55%</w:t>
            </w:r>
          </w:p>
        </w:tc>
        <w:tc>
          <w:tcPr/>
          <w:p>
            <w:pPr>
              <w:pStyle w:val="Compact"/>
              <w:jc w:val="left"/>
            </w:pPr>
            <w:r>
              <w:t xml:space="preserve">not usable as effect evidence</w:t>
            </w:r>
          </w:p>
        </w:tc>
      </w:tr>
      <w:tr>
        <w:tc>
          <w:tcPr/>
          <w:p>
            <w:pPr>
              <w:pStyle w:val="Compact"/>
              <w:jc w:val="right"/>
            </w:pPr>
            <w:r>
              <w:t xml:space="preserve">11</w:t>
            </w:r>
          </w:p>
        </w:tc>
        <w:tc>
          <w:tcPr/>
          <w:p>
            <w:pPr>
              <w:pStyle w:val="Compact"/>
              <w:jc w:val="right"/>
            </w:pPr>
            <w:r>
              <w:t xml:space="preserve">0.782</w:t>
            </w:r>
          </w:p>
        </w:tc>
        <w:tc>
          <w:tcPr/>
          <w:p>
            <w:pPr>
              <w:pStyle w:val="Compact"/>
              <w:jc w:val="right"/>
            </w:pPr>
            <w:r>
              <w:t xml:space="preserve">44176</w:t>
            </w:r>
          </w:p>
        </w:tc>
        <w:tc>
          <w:tcPr/>
          <w:p>
            <w:pPr>
              <w:pStyle w:val="Compact"/>
              <w:jc w:val="right"/>
            </w:pPr>
            <w:r>
              <w:t xml:space="preserve">115824</w:t>
            </w:r>
          </w:p>
        </w:tc>
        <w:tc>
          <w:tcPr/>
          <w:p>
            <w:pPr>
              <w:pStyle w:val="Compact"/>
              <w:jc w:val="left"/>
            </w:pPr>
            <w:r>
              <w:t xml:space="preserve">99.37%</w:t>
            </w:r>
          </w:p>
        </w:tc>
        <w:tc>
          <w:tcPr/>
          <w:p>
            <w:pPr>
              <w:pStyle w:val="Compact"/>
              <w:jc w:val="left"/>
            </w:pPr>
            <w:r>
              <w:t xml:space="preserve">93.50%</w:t>
            </w:r>
          </w:p>
        </w:tc>
        <w:tc>
          <w:tcPr/>
          <w:p>
            <w:pPr>
              <w:pStyle w:val="Compact"/>
              <w:jc w:val="left"/>
            </w:pPr>
            <w:r>
              <w:t xml:space="preserve">99.37%</w:t>
            </w:r>
          </w:p>
        </w:tc>
        <w:tc>
          <w:tcPr/>
          <w:p>
            <w:pPr>
              <w:pStyle w:val="Compact"/>
              <w:jc w:val="left"/>
            </w:pPr>
            <w:r>
              <w:t xml:space="preserve">not usable as effect evidence</w:t>
            </w:r>
          </w:p>
        </w:tc>
      </w:tr>
      <w:tr>
        <w:tc>
          <w:tcPr/>
          <w:p>
            <w:pPr>
              <w:pStyle w:val="Compact"/>
              <w:jc w:val="right"/>
            </w:pPr>
            <w:r>
              <w:t xml:space="preserve">12</w:t>
            </w:r>
          </w:p>
        </w:tc>
        <w:tc>
          <w:tcPr/>
          <w:p>
            <w:pPr>
              <w:pStyle w:val="Compact"/>
              <w:jc w:val="right"/>
            </w:pPr>
            <w:r>
              <w:t xml:space="preserve">0.892</w:t>
            </w:r>
          </w:p>
        </w:tc>
        <w:tc>
          <w:tcPr/>
          <w:p>
            <w:pPr>
              <w:pStyle w:val="Compact"/>
              <w:jc w:val="right"/>
            </w:pPr>
            <w:r>
              <w:t xml:space="preserve">45632</w:t>
            </w:r>
          </w:p>
        </w:tc>
        <w:tc>
          <w:tcPr/>
          <w:p>
            <w:pPr>
              <w:pStyle w:val="Compact"/>
              <w:jc w:val="right"/>
            </w:pPr>
            <w:r>
              <w:t xml:space="preserve">114368</w:t>
            </w:r>
          </w:p>
        </w:tc>
        <w:tc>
          <w:tcPr/>
          <w:p>
            <w:pPr>
              <w:pStyle w:val="Compact"/>
              <w:jc w:val="left"/>
            </w:pPr>
            <w:r>
              <w:t xml:space="preserve">99.86%</w:t>
            </w:r>
          </w:p>
        </w:tc>
        <w:tc>
          <w:tcPr/>
          <w:p>
            <w:pPr>
              <w:pStyle w:val="Compact"/>
              <w:jc w:val="left"/>
            </w:pPr>
            <w:r>
              <w:t xml:space="preserve">97.88%</w:t>
            </w:r>
          </w:p>
        </w:tc>
        <w:tc>
          <w:tcPr/>
          <w:p>
            <w:pPr>
              <w:pStyle w:val="Compact"/>
              <w:jc w:val="left"/>
            </w:pPr>
            <w:r>
              <w:t xml:space="preserve">99.86%</w:t>
            </w:r>
          </w:p>
        </w:tc>
        <w:tc>
          <w:tcPr/>
          <w:p>
            <w:pPr>
              <w:pStyle w:val="Compact"/>
              <w:jc w:val="left"/>
            </w:pPr>
            <w:r>
              <w:t xml:space="preserve">not usable as effect evidence</w:t>
            </w:r>
          </w:p>
        </w:tc>
      </w:tr>
    </w:tbl>
    <w:bookmarkEnd w:id="19"/>
    <w:bookmarkStart w:id="20" w:name="X5ff879952a6b46ec962ba5a26f946412281dc22"/>
    <w:p>
      <w:pPr>
        <w:pStyle w:val="Heading2"/>
      </w:pPr>
      <w:r>
        <w:t xml:space="preserve">eTable 2. Pooled, width-specific, and conservative readings of the lookup</w:t>
      </w:r>
    </w:p>
    <w:p>
      <w:pPr>
        <w:pStyle w:val="TableCaption"/>
      </w:pPr>
      <w:r>
        <w:t xml:space="preserve">eTable 2. Pooled, width-specific, and conservative readings of the lookup. Sens ED, share of truly effect-dominated repetitions declared usable; Sens BD, share of truly bias-dominated repetitions withheld.</w:t>
      </w:r>
    </w:p>
    <w:tbl>
      <w:tblPr>
        <w:tblStyle w:val="Table"/>
        <w:tblW w:type="pct" w:w="5000"/>
        <w:tblLayout w:type="fixed"/>
        <w:tblLook w:firstRow="1" w:lastRow="0" w:firstColumn="0" w:lastColumn="0" w:noHBand="0" w:noVBand="0" w:val="0020"/>
        <w:tblCaption w:val="eTable 2. Pooled, width-specific, and conservative readings of the lookup. Sens ED, share of truly effect-dominated repetitions declared usable; Sens BD, share of truly bias-dominated repetitions withheld."/>
      </w:tblPr>
      <w:tblGrid>
        <w:gridCol w:w="3271"/>
        <w:gridCol w:w="946"/>
        <w:gridCol w:w="1635"/>
        <w:gridCol w:w="1033"/>
        <w:gridCol w:w="1033"/>
      </w:tblGrid>
      <w:tr>
        <w:trPr>
          <w:tblHeader w:val="on"/>
        </w:trPr>
        <w:tc>
          <w:tcPr/>
          <w:p>
            <w:pPr>
              <w:pStyle w:val="Compact"/>
              <w:jc w:val="left"/>
            </w:pPr>
            <w:r>
              <w:t xml:space="preserve">Reading</w:t>
            </w:r>
          </w:p>
        </w:tc>
        <w:tc>
          <w:tcPr/>
          <w:p>
            <w:pPr>
              <w:pStyle w:val="Compact"/>
              <w:jc w:val="left"/>
            </w:pPr>
            <w:r>
              <w:t xml:space="preserve">Misuse….</w:t>
            </w:r>
          </w:p>
        </w:tc>
        <w:tc>
          <w:tcPr/>
          <w:p>
            <w:pPr>
              <w:pStyle w:val="Compact"/>
              <w:jc w:val="left"/>
            </w:pPr>
            <w:r>
              <w:t xml:space="preserve">Declare.usable….</w:t>
            </w:r>
          </w:p>
        </w:tc>
        <w:tc>
          <w:tcPr/>
          <w:p>
            <w:pPr>
              <w:pStyle w:val="Compact"/>
              <w:jc w:val="left"/>
            </w:pPr>
            <w:r>
              <w:t xml:space="preserve">Sens.ED….</w:t>
            </w:r>
          </w:p>
        </w:tc>
        <w:tc>
          <w:tcPr/>
          <w:p>
            <w:pPr>
              <w:pStyle w:val="Compact"/>
              <w:jc w:val="left"/>
            </w:pPr>
            <w:r>
              <w:t xml:space="preserve">Sens.BD….</w:t>
            </w:r>
          </w:p>
        </w:tc>
      </w:tr>
      <w:tr>
        <w:tc>
          <w:tcPr/>
          <w:p>
            <w:pPr>
              <w:pStyle w:val="Compact"/>
              <w:jc w:val="left"/>
            </w:pPr>
            <w:r>
              <w:t xml:space="preserve">pooled probability (CI width ignored)</w:t>
            </w:r>
          </w:p>
        </w:tc>
        <w:tc>
          <w:tcPr/>
          <w:p>
            <w:pPr>
              <w:pStyle w:val="Compact"/>
              <w:jc w:val="left"/>
            </w:pPr>
            <w:r>
              <w:t xml:space="preserve">3.02</w:t>
            </w:r>
          </w:p>
        </w:tc>
        <w:tc>
          <w:tcPr/>
          <w:p>
            <w:pPr>
              <w:pStyle w:val="Compact"/>
              <w:jc w:val="left"/>
            </w:pPr>
            <w:r>
              <w:t xml:space="preserve">22.1</w:t>
            </w:r>
          </w:p>
        </w:tc>
        <w:tc>
          <w:tcPr/>
          <w:p>
            <w:pPr>
              <w:pStyle w:val="Compact"/>
              <w:jc w:val="left"/>
            </w:pPr>
            <w:r>
              <w:t xml:space="preserve">82.1</w:t>
            </w:r>
          </w:p>
        </w:tc>
        <w:tc>
          <w:tcPr/>
          <w:p>
            <w:pPr>
              <w:pStyle w:val="Compact"/>
              <w:jc w:val="left"/>
            </w:pPr>
            <w:r>
              <w:t xml:space="preserve">98.7</w:t>
            </w:r>
          </w:p>
        </w:tc>
      </w:tr>
      <w:tr>
        <w:tc>
          <w:tcPr/>
          <w:p>
            <w:pPr>
              <w:pStyle w:val="Compact"/>
              <w:jc w:val="left"/>
            </w:pPr>
            <w:r>
              <w:t xml:space="preserve">width-specific probability</w:t>
            </w:r>
          </w:p>
        </w:tc>
        <w:tc>
          <w:tcPr/>
          <w:p>
            <w:pPr>
              <w:pStyle w:val="Compact"/>
              <w:jc w:val="left"/>
            </w:pPr>
            <w:r>
              <w:t xml:space="preserve">4.00</w:t>
            </w:r>
          </w:p>
        </w:tc>
        <w:tc>
          <w:tcPr/>
          <w:p>
            <w:pPr>
              <w:pStyle w:val="Compact"/>
              <w:jc w:val="left"/>
            </w:pPr>
            <w:r>
              <w:t xml:space="preserve">26.7</w:t>
            </w:r>
          </w:p>
        </w:tc>
        <w:tc>
          <w:tcPr/>
          <w:p>
            <w:pPr>
              <w:pStyle w:val="Compact"/>
              <w:jc w:val="left"/>
            </w:pPr>
            <w:r>
              <w:t xml:space="preserve">85.6</w:t>
            </w:r>
          </w:p>
        </w:tc>
        <w:tc>
          <w:tcPr/>
          <w:p>
            <w:pPr>
              <w:pStyle w:val="Compact"/>
              <w:jc w:val="left"/>
            </w:pPr>
            <w:r>
              <w:t xml:space="preserve">98.0</w:t>
            </w:r>
          </w:p>
        </w:tc>
      </w:tr>
      <w:tr>
        <w:tc>
          <w:tcPr/>
          <w:p>
            <w:pPr>
              <w:pStyle w:val="Compact"/>
              <w:jc w:val="left"/>
            </w:pPr>
            <w:r>
              <w:t xml:space="preserve">conservative max(narrow, wide)</w:t>
            </w:r>
          </w:p>
        </w:tc>
        <w:tc>
          <w:tcPr/>
          <w:p>
            <w:pPr>
              <w:pStyle w:val="Compact"/>
              <w:jc w:val="left"/>
            </w:pPr>
            <w:r>
              <w:t xml:space="preserve">3.02</w:t>
            </w:r>
          </w:p>
        </w:tc>
        <w:tc>
          <w:tcPr/>
          <w:p>
            <w:pPr>
              <w:pStyle w:val="Compact"/>
              <w:jc w:val="left"/>
            </w:pPr>
            <w:r>
              <w:t xml:space="preserve">22.1</w:t>
            </w:r>
          </w:p>
        </w:tc>
        <w:tc>
          <w:tcPr/>
          <w:p>
            <w:pPr>
              <w:pStyle w:val="Compact"/>
              <w:jc w:val="left"/>
            </w:pPr>
            <w:r>
              <w:t xml:space="preserve">82.1</w:t>
            </w:r>
          </w:p>
        </w:tc>
        <w:tc>
          <w:tcPr/>
          <w:p>
            <w:pPr>
              <w:pStyle w:val="Compact"/>
              <w:jc w:val="left"/>
            </w:pPr>
            <w:r>
              <w:t xml:space="preserve">98.7</w:t>
            </w:r>
          </w:p>
        </w:tc>
      </w:tr>
    </w:tbl>
    <w:p>
      <w:pPr>
        <w:pStyle w:val="BodyText"/>
      </w:pPr>
      <w:r>
        <w:t xml:space="preserve">The conservative reading changed 16.28% of verdicts relative to the pooled reading; the maximum within-bin probability gap was 0.206.</w:t>
      </w:r>
    </w:p>
    <w:bookmarkEnd w:id="20"/>
    <w:bookmarkStart w:id="21" w:name="etable-3.-subgroup-robustness"/>
    <w:p>
      <w:pPr>
        <w:pStyle w:val="Heading2"/>
      </w:pPr>
      <w:r>
        <w:t xml:space="preserve">eTable 3. Subgroup robustness</w:t>
      </w:r>
    </w:p>
    <w:p>
      <w:pPr>
        <w:pStyle w:val="TableCaption"/>
      </w:pPr>
      <w:r>
        <w:t xml:space="preserve">eTable 3. Misuse rate across 7 pre-specified subgroups.</w:t>
      </w:r>
    </w:p>
    <w:tbl>
      <w:tblPr>
        <w:tblStyle w:val="Table"/>
        <w:tblW w:type="pct" w:w="5000"/>
        <w:tblLayout w:type="fixed"/>
        <w:tblLook w:firstRow="1" w:lastRow="0" w:firstColumn="0" w:lastColumn="0" w:noHBand="0" w:noVBand="0" w:val="0020"/>
        <w:tblCaption w:val="eTable 3. Misuse rate across 7 pre-specified subgroups."/>
      </w:tblPr>
      <w:tblGrid>
        <w:gridCol w:w="1856"/>
        <w:gridCol w:w="433"/>
        <w:gridCol w:w="990"/>
        <w:gridCol w:w="1113"/>
        <w:gridCol w:w="1175"/>
        <w:gridCol w:w="1237"/>
        <w:gridCol w:w="1113"/>
      </w:tblGrid>
      <w:tr>
        <w:trPr>
          <w:tblHeader w:val="on"/>
        </w:trPr>
        <w:tc>
          <w:tcPr/>
          <w:p>
            <w:pPr>
              <w:pStyle w:val="Compact"/>
              <w:jc w:val="left"/>
            </w:pPr>
            <w:r>
              <w:t xml:space="preserve">Subgroup</w:t>
            </w:r>
          </w:p>
        </w:tc>
        <w:tc>
          <w:tcPr/>
          <w:p>
            <w:pPr>
              <w:pStyle w:val="Compact"/>
              <w:jc w:val="right"/>
            </w:pPr>
            <w:r>
              <w:t xml:space="preserve">N</w:t>
            </w:r>
          </w:p>
        </w:tc>
        <w:tc>
          <w:tcPr/>
          <w:p>
            <w:pPr>
              <w:pStyle w:val="Compact"/>
              <w:jc w:val="left"/>
            </w:pPr>
            <w:r>
              <w:t xml:space="preserve">Layer1.pass….</w:t>
            </w:r>
          </w:p>
        </w:tc>
        <w:tc>
          <w:tcPr/>
          <w:p>
            <w:pPr>
              <w:pStyle w:val="Compact"/>
              <w:jc w:val="left"/>
            </w:pPr>
            <w:r>
              <w:t xml:space="preserve">BD.among.pass….</w:t>
            </w:r>
          </w:p>
        </w:tc>
        <w:tc>
          <w:tcPr/>
          <w:p>
            <w:pPr>
              <w:pStyle w:val="Compact"/>
              <w:jc w:val="left"/>
            </w:pPr>
            <w:r>
              <w:t xml:space="preserve">Declare.usable….</w:t>
            </w:r>
          </w:p>
        </w:tc>
        <w:tc>
          <w:tcPr/>
          <w:p>
            <w:pPr>
              <w:pStyle w:val="Compact"/>
              <w:jc w:val="left"/>
            </w:pPr>
            <w:r>
              <w:t xml:space="preserve">BD.among.usable….</w:t>
            </w:r>
          </w:p>
        </w:tc>
        <w:tc>
          <w:tcPr/>
          <w:p>
            <w:pPr>
              <w:pStyle w:val="Compact"/>
              <w:jc w:val="right"/>
            </w:pPr>
            <w:r>
              <w:t xml:space="preserve">Median.half.width</w:t>
            </w:r>
          </w:p>
        </w:tc>
      </w:tr>
      <w:tr>
        <w:tc>
          <w:tcPr/>
          <w:p>
            <w:pPr>
              <w:pStyle w:val="Compact"/>
              <w:jc w:val="left"/>
            </w:pPr>
            <w:r>
              <w:t xml:space="preserve">K = 12 negative controls</w:t>
            </w:r>
          </w:p>
        </w:tc>
        <w:tc>
          <w:tcPr/>
          <w:p>
            <w:pPr>
              <w:pStyle w:val="Compact"/>
              <w:jc w:val="right"/>
            </w:pPr>
            <w:r>
              <w:t xml:space="preserve">640000</w:t>
            </w:r>
          </w:p>
        </w:tc>
        <w:tc>
          <w:tcPr/>
          <w:p>
            <w:pPr>
              <w:pStyle w:val="Compact"/>
              <w:jc w:val="left"/>
            </w:pPr>
            <w:r>
              <w:t xml:space="preserve">62.4</w:t>
            </w:r>
          </w:p>
        </w:tc>
        <w:tc>
          <w:tcPr/>
          <w:p>
            <w:pPr>
              <w:pStyle w:val="Compact"/>
              <w:jc w:val="left"/>
            </w:pPr>
            <w:r>
              <w:t xml:space="preserve">36.3</w:t>
            </w:r>
          </w:p>
        </w:tc>
        <w:tc>
          <w:tcPr/>
          <w:p>
            <w:pPr>
              <w:pStyle w:val="Compact"/>
              <w:jc w:val="left"/>
            </w:pPr>
            <w:r>
              <w:t xml:space="preserve">22.4</w:t>
            </w:r>
          </w:p>
        </w:tc>
        <w:tc>
          <w:tcPr/>
          <w:p>
            <w:pPr>
              <w:pStyle w:val="Compact"/>
              <w:jc w:val="left"/>
            </w:pPr>
            <w:r>
              <w:t xml:space="preserve">3.46</w:t>
            </w:r>
          </w:p>
        </w:tc>
        <w:tc>
          <w:tcPr/>
          <w:p>
            <w:pPr>
              <w:pStyle w:val="Compact"/>
              <w:jc w:val="right"/>
            </w:pPr>
            <w:r>
              <w:t xml:space="preserve">0.144</w:t>
            </w:r>
          </w:p>
        </w:tc>
      </w:tr>
      <w:tr>
        <w:tc>
          <w:tcPr/>
          <w:p>
            <w:pPr>
              <w:pStyle w:val="Compact"/>
              <w:jc w:val="left"/>
            </w:pPr>
            <w:r>
              <w:t xml:space="preserve">K = 25 negative controls</w:t>
            </w:r>
          </w:p>
        </w:tc>
        <w:tc>
          <w:tcPr/>
          <w:p>
            <w:pPr>
              <w:pStyle w:val="Compact"/>
              <w:jc w:val="right"/>
            </w:pPr>
            <w:r>
              <w:t xml:space="preserve">640000</w:t>
            </w:r>
          </w:p>
        </w:tc>
        <w:tc>
          <w:tcPr/>
          <w:p>
            <w:pPr>
              <w:pStyle w:val="Compact"/>
              <w:jc w:val="left"/>
            </w:pPr>
            <w:r>
              <w:t xml:space="preserve">61.8</w:t>
            </w:r>
          </w:p>
        </w:tc>
        <w:tc>
          <w:tcPr/>
          <w:p>
            <w:pPr>
              <w:pStyle w:val="Compact"/>
              <w:jc w:val="left"/>
            </w:pPr>
            <w:r>
              <w:t xml:space="preserve">35.9</w:t>
            </w:r>
          </w:p>
        </w:tc>
        <w:tc>
          <w:tcPr/>
          <w:p>
            <w:pPr>
              <w:pStyle w:val="Compact"/>
              <w:jc w:val="left"/>
            </w:pPr>
            <w:r>
              <w:t xml:space="preserve">22.1</w:t>
            </w:r>
          </w:p>
        </w:tc>
        <w:tc>
          <w:tcPr/>
          <w:p>
            <w:pPr>
              <w:pStyle w:val="Compact"/>
              <w:jc w:val="left"/>
            </w:pPr>
            <w:r>
              <w:t xml:space="preserve">3.00</w:t>
            </w:r>
          </w:p>
        </w:tc>
        <w:tc>
          <w:tcPr/>
          <w:p>
            <w:pPr>
              <w:pStyle w:val="Compact"/>
              <w:jc w:val="right"/>
            </w:pPr>
            <w:r>
              <w:t xml:space="preserve">0.091</w:t>
            </w:r>
          </w:p>
        </w:tc>
      </w:tr>
      <w:tr>
        <w:tc>
          <w:tcPr/>
          <w:p>
            <w:pPr>
              <w:pStyle w:val="Compact"/>
              <w:jc w:val="left"/>
            </w:pPr>
            <w:r>
              <w:t xml:space="preserve">K = 50 negative controls</w:t>
            </w:r>
          </w:p>
        </w:tc>
        <w:tc>
          <w:tcPr/>
          <w:p>
            <w:pPr>
              <w:pStyle w:val="Compact"/>
              <w:jc w:val="right"/>
            </w:pPr>
            <w:r>
              <w:t xml:space="preserve">640000</w:t>
            </w:r>
          </w:p>
        </w:tc>
        <w:tc>
          <w:tcPr/>
          <w:p>
            <w:pPr>
              <w:pStyle w:val="Compact"/>
              <w:jc w:val="left"/>
            </w:pPr>
            <w:r>
              <w:t xml:space="preserve">61.3</w:t>
            </w:r>
          </w:p>
        </w:tc>
        <w:tc>
          <w:tcPr/>
          <w:p>
            <w:pPr>
              <w:pStyle w:val="Compact"/>
              <w:jc w:val="left"/>
            </w:pPr>
            <w:r>
              <w:t xml:space="preserve">35.8</w:t>
            </w:r>
          </w:p>
        </w:tc>
        <w:tc>
          <w:tcPr/>
          <w:p>
            <w:pPr>
              <w:pStyle w:val="Compact"/>
              <w:jc w:val="left"/>
            </w:pPr>
            <w:r>
              <w:t xml:space="preserve">21.8</w:t>
            </w:r>
          </w:p>
        </w:tc>
        <w:tc>
          <w:tcPr/>
          <w:p>
            <w:pPr>
              <w:pStyle w:val="Compact"/>
              <w:jc w:val="left"/>
            </w:pPr>
            <w:r>
              <w:t xml:space="preserve">2.59</w:t>
            </w:r>
          </w:p>
        </w:tc>
        <w:tc>
          <w:tcPr/>
          <w:p>
            <w:pPr>
              <w:pStyle w:val="Compact"/>
              <w:jc w:val="right"/>
            </w:pPr>
            <w:r>
              <w:t xml:space="preserve">0.060</w:t>
            </w:r>
          </w:p>
        </w:tc>
      </w:tr>
      <w:tr>
        <w:tc>
          <w:tcPr/>
          <w:p>
            <w:pPr>
              <w:pStyle w:val="Compact"/>
              <w:jc w:val="left"/>
            </w:pPr>
            <w:r>
              <w:t xml:space="preserve">bias exchangeability held</w:t>
            </w:r>
          </w:p>
        </w:tc>
        <w:tc>
          <w:tcPr/>
          <w:p>
            <w:pPr>
              <w:pStyle w:val="Compact"/>
              <w:jc w:val="right"/>
            </w:pPr>
            <w:r>
              <w:t xml:space="preserve">960000</w:t>
            </w:r>
          </w:p>
        </w:tc>
        <w:tc>
          <w:tcPr/>
          <w:p>
            <w:pPr>
              <w:pStyle w:val="Compact"/>
              <w:jc w:val="left"/>
            </w:pPr>
            <w:r>
              <w:t xml:space="preserve">60.4</w:t>
            </w:r>
          </w:p>
        </w:tc>
        <w:tc>
          <w:tcPr/>
          <w:p>
            <w:pPr>
              <w:pStyle w:val="Compact"/>
              <w:jc w:val="left"/>
            </w:pPr>
            <w:r>
              <w:t xml:space="preserve">35.5</w:t>
            </w:r>
          </w:p>
        </w:tc>
        <w:tc>
          <w:tcPr/>
          <w:p>
            <w:pPr>
              <w:pStyle w:val="Compact"/>
              <w:jc w:val="left"/>
            </w:pPr>
            <w:r>
              <w:t xml:space="preserve">19.9</w:t>
            </w:r>
          </w:p>
        </w:tc>
        <w:tc>
          <w:tcPr/>
          <w:p>
            <w:pPr>
              <w:pStyle w:val="Compact"/>
              <w:jc w:val="left"/>
            </w:pPr>
            <w:r>
              <w:t xml:space="preserve">1.39</w:t>
            </w:r>
          </w:p>
        </w:tc>
        <w:tc>
          <w:tcPr/>
          <w:p>
            <w:pPr>
              <w:pStyle w:val="Compact"/>
              <w:jc w:val="right"/>
            </w:pPr>
            <w:r>
              <w:t xml:space="preserve">0.090</w:t>
            </w:r>
          </w:p>
        </w:tc>
      </w:tr>
      <w:tr>
        <w:tc>
          <w:tcPr/>
          <w:p>
            <w:pPr>
              <w:pStyle w:val="Compact"/>
              <w:jc w:val="left"/>
            </w:pPr>
            <w:r>
              <w:t xml:space="preserve">30% exchangeability violation</w:t>
            </w:r>
          </w:p>
        </w:tc>
        <w:tc>
          <w:tcPr/>
          <w:p>
            <w:pPr>
              <w:pStyle w:val="Compact"/>
              <w:jc w:val="right"/>
            </w:pPr>
            <w:r>
              <w:t xml:space="preserve">960000</w:t>
            </w:r>
          </w:p>
        </w:tc>
        <w:tc>
          <w:tcPr/>
          <w:p>
            <w:pPr>
              <w:pStyle w:val="Compact"/>
              <w:jc w:val="left"/>
            </w:pPr>
            <w:r>
              <w:t xml:space="preserve">63.2</w:t>
            </w:r>
          </w:p>
        </w:tc>
        <w:tc>
          <w:tcPr/>
          <w:p>
            <w:pPr>
              <w:pStyle w:val="Compact"/>
              <w:jc w:val="left"/>
            </w:pPr>
            <w:r>
              <w:t xml:space="preserve">36.6</w:t>
            </w:r>
          </w:p>
        </w:tc>
        <w:tc>
          <w:tcPr/>
          <w:p>
            <w:pPr>
              <w:pStyle w:val="Compact"/>
              <w:jc w:val="left"/>
            </w:pPr>
            <w:r>
              <w:t xml:space="preserve">24.2</w:t>
            </w:r>
          </w:p>
        </w:tc>
        <w:tc>
          <w:tcPr/>
          <w:p>
            <w:pPr>
              <w:pStyle w:val="Compact"/>
              <w:jc w:val="left"/>
            </w:pPr>
            <w:r>
              <w:t xml:space="preserve">4.36</w:t>
            </w:r>
          </w:p>
        </w:tc>
        <w:tc>
          <w:tcPr/>
          <w:p>
            <w:pPr>
              <w:pStyle w:val="Compact"/>
              <w:jc w:val="right"/>
            </w:pPr>
            <w:r>
              <w:t xml:space="preserve">0.087</w:t>
            </w:r>
          </w:p>
        </w:tc>
      </w:tr>
      <w:tr>
        <w:tc>
          <w:tcPr/>
          <w:p>
            <w:pPr>
              <w:pStyle w:val="Compact"/>
              <w:jc w:val="left"/>
            </w:pPr>
            <w:r>
              <w:t xml:space="preserve">sigma_ps = 0.06</w:t>
            </w:r>
          </w:p>
        </w:tc>
        <w:tc>
          <w:tcPr/>
          <w:p>
            <w:pPr>
              <w:pStyle w:val="Compact"/>
              <w:jc w:val="right"/>
            </w:pPr>
            <w:r>
              <w:t xml:space="preserve">960000</w:t>
            </w:r>
          </w:p>
        </w:tc>
        <w:tc>
          <w:tcPr/>
          <w:p>
            <w:pPr>
              <w:pStyle w:val="Compact"/>
              <w:jc w:val="left"/>
            </w:pPr>
            <w:r>
              <w:t xml:space="preserve">69.9</w:t>
            </w:r>
          </w:p>
        </w:tc>
        <w:tc>
          <w:tcPr/>
          <w:p>
            <w:pPr>
              <w:pStyle w:val="Compact"/>
              <w:jc w:val="left"/>
            </w:pPr>
            <w:r>
              <w:t xml:space="preserve">38.4</w:t>
            </w:r>
          </w:p>
        </w:tc>
        <w:tc>
          <w:tcPr/>
          <w:p>
            <w:pPr>
              <w:pStyle w:val="Compact"/>
              <w:jc w:val="left"/>
            </w:pPr>
            <w:r>
              <w:t xml:space="preserve">23.0</w:t>
            </w:r>
          </w:p>
        </w:tc>
        <w:tc>
          <w:tcPr/>
          <w:p>
            <w:pPr>
              <w:pStyle w:val="Compact"/>
              <w:jc w:val="left"/>
            </w:pPr>
            <w:r>
              <w:t xml:space="preserve">2.09</w:t>
            </w:r>
          </w:p>
        </w:tc>
        <w:tc>
          <w:tcPr/>
          <w:p>
            <w:pPr>
              <w:pStyle w:val="Compact"/>
              <w:jc w:val="right"/>
            </w:pPr>
            <w:r>
              <w:t xml:space="preserve">0.089</w:t>
            </w:r>
          </w:p>
        </w:tc>
      </w:tr>
      <w:tr>
        <w:tc>
          <w:tcPr/>
          <w:p>
            <w:pPr>
              <w:pStyle w:val="Compact"/>
              <w:jc w:val="left"/>
            </w:pPr>
            <w:r>
              <w:t xml:space="preserve">sigma_ps = 0.10</w:t>
            </w:r>
          </w:p>
        </w:tc>
        <w:tc>
          <w:tcPr/>
          <w:p>
            <w:pPr>
              <w:pStyle w:val="Compact"/>
              <w:jc w:val="right"/>
            </w:pPr>
            <w:r>
              <w:t xml:space="preserve">960000</w:t>
            </w:r>
          </w:p>
        </w:tc>
        <w:tc>
          <w:tcPr/>
          <w:p>
            <w:pPr>
              <w:pStyle w:val="Compact"/>
              <w:jc w:val="left"/>
            </w:pPr>
            <w:r>
              <w:t xml:space="preserve">53.8</w:t>
            </w:r>
          </w:p>
        </w:tc>
        <w:tc>
          <w:tcPr/>
          <w:p>
            <w:pPr>
              <w:pStyle w:val="Compact"/>
              <w:jc w:val="left"/>
            </w:pPr>
            <w:r>
              <w:t xml:space="preserve">32.9</w:t>
            </w:r>
          </w:p>
        </w:tc>
        <w:tc>
          <w:tcPr/>
          <w:p>
            <w:pPr>
              <w:pStyle w:val="Compact"/>
              <w:jc w:val="left"/>
            </w:pPr>
            <w:r>
              <w:t xml:space="preserve">21.2</w:t>
            </w:r>
          </w:p>
        </w:tc>
        <w:tc>
          <w:tcPr/>
          <w:p>
            <w:pPr>
              <w:pStyle w:val="Compact"/>
              <w:jc w:val="left"/>
            </w:pPr>
            <w:r>
              <w:t xml:space="preserve">4.02</w:t>
            </w:r>
          </w:p>
        </w:tc>
        <w:tc>
          <w:tcPr/>
          <w:p>
            <w:pPr>
              <w:pStyle w:val="Compact"/>
              <w:jc w:val="right"/>
            </w:pPr>
            <w:r>
              <w:t xml:space="preserve">0.088</w:t>
            </w:r>
          </w:p>
        </w:tc>
      </w:tr>
    </w:tbl>
    <w:bookmarkEnd w:id="21"/>
    <w:bookmarkStart w:id="22" w:name="X7de0a102de60095584938ec17d004bbb0179b20"/>
    <w:p>
      <w:pPr>
        <w:pStyle w:val="Heading2"/>
      </w:pPr>
      <w:r>
        <w:t xml:space="preserve">eTable 4. Case-study sensitivity analyses (question 1)</w:t>
      </w:r>
    </w:p>
    <w:p>
      <w:pPr>
        <w:pStyle w:val="FirstParagraph"/>
      </w:pPr>
      <w:r>
        <w:t xml:space="preserve">Question 1 was re-estimated under three families of sensitivity analyses: leave-one-out resampling of the negative control panel, three alternative Super Learner libraries in place of the primary library, and a Gaussian-process perturbation of the propensity-score model.</w:t>
      </w:r>
    </w:p>
    <w:p>
      <w:pPr>
        <w:pStyle w:val="TableCaption"/>
      </w:pPr>
      <w:r>
        <w:t xml:space="preserve">eTable 4. Question-1 sensitivity analyses. The credible interval is reported for the Super Learner variants; the leave-one-out and Gaussian-process rows give the extremes of a range and have no interval of their own. The Gaussian-process perturbation moved the calibrated relative risk between 0.972 and 1.025 under otherwise identical settings. Every analysis left the question-1 determination at not usable as effect evidence and the question-2 determination in the mixed zone.</w:t>
      </w:r>
    </w:p>
    <w:tbl>
      <w:tblPr>
        <w:tblStyle w:val="Table"/>
        <w:tblW w:type="pct" w:w="5000"/>
        <w:tblLayout w:type="fixed"/>
        <w:tblLook w:firstRow="1" w:lastRow="0" w:firstColumn="0" w:lastColumn="0" w:noHBand="0" w:noVBand="0" w:val="0020"/>
        <w:tblCaption w:val="eTable 4. Question-1 sensitivity analyses. The credible interval is reported for the Super Learner variants; the leave-one-out and Gaussian-process rows give the extremes of a range and have no interval of their own. The Gaussian-process perturbation moved the calibrated relative risk between 0.972 and 1.025 under otherwise identical settings. Every analysis left the question-1 determination at not usable as effect evidence and the question-2 determination in the mixed zone."/>
      </w:tblPr>
      <w:tblGrid>
        <w:gridCol w:w="2527"/>
        <w:gridCol w:w="2948"/>
        <w:gridCol w:w="589"/>
        <w:gridCol w:w="1853"/>
      </w:tblGrid>
      <w:tr>
        <w:trPr>
          <w:tblHeader w:val="on"/>
        </w:trPr>
        <w:tc>
          <w:tcPr/>
          <w:p>
            <w:pPr>
              <w:pStyle w:val="Compact"/>
              <w:jc w:val="left"/>
            </w:pPr>
            <w:r>
              <w:t xml:space="preserve">Analysis</w:t>
            </w:r>
          </w:p>
        </w:tc>
        <w:tc>
          <w:tcPr/>
          <w:p>
            <w:pPr>
              <w:pStyle w:val="Compact"/>
              <w:jc w:val="left"/>
            </w:pPr>
            <w:r>
              <w:t xml:space="preserve">Specification</w:t>
            </w:r>
          </w:p>
        </w:tc>
        <w:tc>
          <w:tcPr/>
          <w:p>
            <w:pPr>
              <w:pStyle w:val="Compact"/>
              <w:jc w:val="left"/>
            </w:pPr>
            <w:r>
              <w:t xml:space="preserve">BAFhat</w:t>
            </w:r>
          </w:p>
        </w:tc>
        <w:tc>
          <w:tcPr/>
          <w:p>
            <w:pPr>
              <w:pStyle w:val="Compact"/>
              <w:jc w:val="left"/>
            </w:pPr>
            <w:r>
              <w:t xml:space="preserve">95% credible interval</w:t>
            </w:r>
          </w:p>
        </w:tc>
      </w:tr>
      <w:tr>
        <w:tc>
          <w:tcPr/>
          <w:p>
            <w:pPr>
              <w:pStyle w:val="Compact"/>
              <w:jc w:val="left"/>
            </w:pPr>
            <w:r>
              <w:t xml:space="preserve">Leave-one-out panel</w:t>
            </w:r>
          </w:p>
        </w:tc>
        <w:tc>
          <w:tcPr/>
          <w:p>
            <w:pPr>
              <w:pStyle w:val="Compact"/>
              <w:jc w:val="left"/>
            </w:pPr>
            <w:r>
              <w:t xml:space="preserve">Minimum across the 12 panels</w:t>
            </w:r>
          </w:p>
        </w:tc>
        <w:tc>
          <w:tcPr/>
          <w:p>
            <w:pPr>
              <w:pStyle w:val="Compact"/>
              <w:jc w:val="left"/>
            </w:pPr>
            <w:r>
              <w:t xml:space="preserve">0.815</w:t>
            </w:r>
          </w:p>
        </w:tc>
        <w:tc>
          <w:tcPr/>
          <w:p>
            <w:pPr>
              <w:pStyle w:val="Compact"/>
              <w:jc w:val="left"/>
            </w:pPr>
            <w:r>
              <w:t xml:space="preserve">—</w:t>
            </w:r>
          </w:p>
        </w:tc>
      </w:tr>
      <w:tr>
        <w:tc>
          <w:tcPr/>
          <w:p>
            <w:pPr>
              <w:pStyle w:val="Compact"/>
              <w:jc w:val="left"/>
            </w:pPr>
            <w:r>
              <w:t xml:space="preserve">Leave-one-out panel</w:t>
            </w:r>
          </w:p>
        </w:tc>
        <w:tc>
          <w:tcPr/>
          <w:p>
            <w:pPr>
              <w:pStyle w:val="Compact"/>
              <w:jc w:val="left"/>
            </w:pPr>
            <w:r>
              <w:t xml:space="preserve">Maximum across the 12 panels</w:t>
            </w:r>
          </w:p>
        </w:tc>
        <w:tc>
          <w:tcPr/>
          <w:p>
            <w:pPr>
              <w:pStyle w:val="Compact"/>
              <w:jc w:val="left"/>
            </w:pPr>
            <w:r>
              <w:t xml:space="preserve">0.955</w:t>
            </w:r>
          </w:p>
        </w:tc>
        <w:tc>
          <w:tcPr/>
          <w:p>
            <w:pPr>
              <w:pStyle w:val="Compact"/>
              <w:jc w:val="left"/>
            </w:pPr>
            <w:r>
              <w:t xml:space="preserve">—</w:t>
            </w:r>
          </w:p>
        </w:tc>
      </w:tr>
      <w:tr>
        <w:tc>
          <w:tcPr/>
          <w:p>
            <w:pPr>
              <w:pStyle w:val="Compact"/>
              <w:jc w:val="left"/>
            </w:pPr>
            <w:r>
              <w:t xml:space="preserve">Leave-one-out panel</w:t>
            </w:r>
          </w:p>
        </w:tc>
        <w:tc>
          <w:tcPr/>
          <w:p>
            <w:pPr>
              <w:pStyle w:val="Compact"/>
              <w:jc w:val="left"/>
            </w:pPr>
            <w:r>
              <w:t xml:space="preserve">Falls control excluded</w:t>
            </w:r>
          </w:p>
        </w:tc>
        <w:tc>
          <w:tcPr/>
          <w:p>
            <w:pPr>
              <w:pStyle w:val="Compact"/>
              <w:jc w:val="left"/>
            </w:pPr>
            <w:r>
              <w:t xml:space="preserve">0.941</w:t>
            </w:r>
          </w:p>
        </w:tc>
        <w:tc>
          <w:tcPr/>
          <w:p>
            <w:pPr>
              <w:pStyle w:val="Compact"/>
              <w:jc w:val="left"/>
            </w:pPr>
            <w:r>
              <w:t xml:space="preserve">—</w:t>
            </w:r>
          </w:p>
        </w:tc>
      </w:tr>
      <w:tr>
        <w:tc>
          <w:tcPr/>
          <w:p>
            <w:pPr>
              <w:pStyle w:val="Compact"/>
              <w:jc w:val="left"/>
            </w:pPr>
            <w:r>
              <w:t xml:space="preserve">Super Learner library</w:t>
            </w:r>
          </w:p>
        </w:tc>
        <w:tc>
          <w:tcPr/>
          <w:p>
            <w:pPr>
              <w:pStyle w:val="Compact"/>
              <w:jc w:val="left"/>
            </w:pPr>
            <w:r>
              <w:t xml:space="preserve">SL.glm</w:t>
            </w:r>
          </w:p>
        </w:tc>
        <w:tc>
          <w:tcPr/>
          <w:p>
            <w:pPr>
              <w:pStyle w:val="Compact"/>
              <w:jc w:val="left"/>
            </w:pPr>
            <w:r>
              <w:t xml:space="preserve">0.871</w:t>
            </w:r>
          </w:p>
        </w:tc>
        <w:tc>
          <w:tcPr/>
          <w:p>
            <w:pPr>
              <w:pStyle w:val="Compact"/>
              <w:jc w:val="left"/>
            </w:pPr>
            <w:r>
              <w:t xml:space="preserve">0.391 to 0.991</w:t>
            </w:r>
          </w:p>
        </w:tc>
      </w:tr>
      <w:tr>
        <w:tc>
          <w:tcPr/>
          <w:p>
            <w:pPr>
              <w:pStyle w:val="Compact"/>
              <w:jc w:val="left"/>
            </w:pPr>
            <w:r>
              <w:t xml:space="preserve">Super Learner library</w:t>
            </w:r>
          </w:p>
        </w:tc>
        <w:tc>
          <w:tcPr/>
          <w:p>
            <w:pPr>
              <w:pStyle w:val="Compact"/>
              <w:jc w:val="left"/>
            </w:pPr>
            <w:r>
              <w:t xml:space="preserve">SL.glm + SL.gam</w:t>
            </w:r>
          </w:p>
        </w:tc>
        <w:tc>
          <w:tcPr/>
          <w:p>
            <w:pPr>
              <w:pStyle w:val="Compact"/>
              <w:jc w:val="left"/>
            </w:pPr>
            <w:r>
              <w:t xml:space="preserve">0.871</w:t>
            </w:r>
          </w:p>
        </w:tc>
        <w:tc>
          <w:tcPr/>
          <w:p>
            <w:pPr>
              <w:pStyle w:val="Compact"/>
              <w:jc w:val="left"/>
            </w:pPr>
            <w:r>
              <w:t xml:space="preserve">0.395 to 0.992</w:t>
            </w:r>
          </w:p>
        </w:tc>
      </w:tr>
      <w:tr>
        <w:tc>
          <w:tcPr/>
          <w:p>
            <w:pPr>
              <w:pStyle w:val="Compact"/>
              <w:jc w:val="left"/>
            </w:pPr>
            <w:r>
              <w:t xml:space="preserve">Super Learner library</w:t>
            </w:r>
          </w:p>
        </w:tc>
        <w:tc>
          <w:tcPr/>
          <w:p>
            <w:pPr>
              <w:pStyle w:val="Compact"/>
              <w:jc w:val="left"/>
            </w:pPr>
            <w:r>
              <w:t xml:space="preserve">SL.glm + SL.gam + SL.xgboost</w:t>
            </w:r>
          </w:p>
        </w:tc>
        <w:tc>
          <w:tcPr/>
          <w:p>
            <w:pPr>
              <w:pStyle w:val="Compact"/>
              <w:jc w:val="left"/>
            </w:pPr>
            <w:r>
              <w:t xml:space="preserve">0.876</w:t>
            </w:r>
          </w:p>
        </w:tc>
        <w:tc>
          <w:tcPr/>
          <w:p>
            <w:pPr>
              <w:pStyle w:val="Compact"/>
              <w:jc w:val="left"/>
            </w:pPr>
            <w:r>
              <w:t xml:space="preserve">0.374 to 0.994</w:t>
            </w:r>
          </w:p>
        </w:tc>
      </w:tr>
      <w:tr>
        <w:tc>
          <w:tcPr/>
          <w:p>
            <w:pPr>
              <w:pStyle w:val="Compact"/>
              <w:jc w:val="left"/>
            </w:pPr>
            <w:r>
              <w:t xml:space="preserve">Gaussian-process perturbation</w:t>
            </w:r>
          </w:p>
        </w:tc>
        <w:tc>
          <w:tcPr/>
          <w:p>
            <w:pPr>
              <w:pStyle w:val="Compact"/>
              <w:jc w:val="left"/>
            </w:pPr>
            <w:r>
              <w:t xml:space="preserve">Minimum over the perturbation grid</w:t>
            </w:r>
          </w:p>
        </w:tc>
        <w:tc>
          <w:tcPr/>
          <w:p>
            <w:pPr>
              <w:pStyle w:val="Compact"/>
              <w:jc w:val="left"/>
            </w:pPr>
            <w:r>
              <w:t xml:space="preserve">0.857</w:t>
            </w:r>
          </w:p>
        </w:tc>
        <w:tc>
          <w:tcPr/>
          <w:p>
            <w:pPr>
              <w:pStyle w:val="Compact"/>
              <w:jc w:val="left"/>
            </w:pPr>
            <w:r>
              <w:t xml:space="preserve">—</w:t>
            </w:r>
          </w:p>
        </w:tc>
      </w:tr>
      <w:tr>
        <w:tc>
          <w:tcPr/>
          <w:p>
            <w:pPr>
              <w:pStyle w:val="Compact"/>
              <w:jc w:val="left"/>
            </w:pPr>
            <w:r>
              <w:t xml:space="preserve">Gaussian-process perturbation</w:t>
            </w:r>
          </w:p>
        </w:tc>
        <w:tc>
          <w:tcPr/>
          <w:p>
            <w:pPr>
              <w:pStyle w:val="Compact"/>
              <w:jc w:val="left"/>
            </w:pPr>
            <w:r>
              <w:t xml:space="preserve">Maximum over the perturbation grid</w:t>
            </w:r>
          </w:p>
        </w:tc>
        <w:tc>
          <w:tcPr/>
          <w:p>
            <w:pPr>
              <w:pStyle w:val="Compact"/>
              <w:jc w:val="left"/>
            </w:pPr>
            <w:r>
              <w:t xml:space="preserve">0.951</w:t>
            </w:r>
          </w:p>
        </w:tc>
        <w:tc>
          <w:tcPr/>
          <w:p>
            <w:pPr>
              <w:pStyle w:val="Compact"/>
              <w:jc w:val="left"/>
            </w:pPr>
            <w:r>
              <w:t xml:space="preserve">—</w:t>
            </w:r>
          </w:p>
        </w:tc>
      </w:tr>
    </w:tbl>
    <w:bookmarkEnd w:id="22"/>
    <w:bookmarkStart w:id="23" w:name="Xb939c147084c054354984f78f3cbc3be2b48923"/>
    <w:p>
      <w:pPr>
        <w:pStyle w:val="Heading2"/>
      </w:pPr>
      <w:r>
        <w:t xml:space="preserve">eTable 5. Case-study estimation output for the two clinical questions</w:t>
      </w:r>
    </w:p>
    <w:p>
      <w:pPr>
        <w:pStyle w:val="TableCaption"/>
      </w:pPr>
      <w:r>
        <w:t xml:space="preserve">eTable 5. Full estimation output for the two clinical questions.</w:t>
      </w:r>
    </w:p>
    <w:tbl>
      <w:tblPr>
        <w:tblStyle w:val="Table"/>
        <w:tblW w:type="pct" w:w="5000"/>
        <w:tblLayout w:type="fixed"/>
        <w:tblLook w:firstRow="1" w:lastRow="0" w:firstColumn="0" w:lastColumn="0" w:noHBand="0" w:noVBand="0" w:val="0020"/>
        <w:tblCaption w:val="eTable 5. Full estimation output for the two clinical questions."/>
      </w:tblPr>
      <w:tblGrid>
        <w:gridCol w:w="2116"/>
        <w:gridCol w:w="614"/>
        <w:gridCol w:w="477"/>
        <w:gridCol w:w="477"/>
        <w:gridCol w:w="477"/>
        <w:gridCol w:w="477"/>
        <w:gridCol w:w="477"/>
        <w:gridCol w:w="751"/>
        <w:gridCol w:w="2048"/>
      </w:tblGrid>
      <w:tr>
        <w:trPr>
          <w:tblHeader w:val="on"/>
        </w:trPr>
        <w:tc>
          <w:tcPr/>
          <w:p>
            <w:pPr>
              <w:pStyle w:val="Compact"/>
              <w:jc w:val="left"/>
            </w:pPr>
            <w:r>
              <w:t xml:space="preserve">Question</w:t>
            </w:r>
          </w:p>
        </w:tc>
        <w:tc>
          <w:tcPr/>
          <w:p>
            <w:pPr>
              <w:pStyle w:val="Compact"/>
              <w:jc w:val="right"/>
            </w:pPr>
            <w:r>
              <w:t xml:space="preserve">Uncal.RR</w:t>
            </w:r>
          </w:p>
        </w:tc>
        <w:tc>
          <w:tcPr/>
          <w:p>
            <w:pPr>
              <w:pStyle w:val="Compact"/>
              <w:jc w:val="right"/>
            </w:pPr>
            <w:r>
              <w:t xml:space="preserve">Cal.RR</w:t>
            </w:r>
          </w:p>
        </w:tc>
        <w:tc>
          <w:tcPr/>
          <w:p>
            <w:pPr>
              <w:pStyle w:val="Compact"/>
              <w:jc w:val="right"/>
            </w:pPr>
            <w:r>
              <w:t xml:space="preserve">Cal.P</w:t>
            </w:r>
          </w:p>
        </w:tc>
        <w:tc>
          <w:tcPr/>
          <w:p>
            <w:pPr>
              <w:pStyle w:val="Compact"/>
              <w:jc w:val="right"/>
            </w:pPr>
            <w:r>
              <w:t xml:space="preserve">BAFhat</w:t>
            </w:r>
          </w:p>
        </w:tc>
        <w:tc>
          <w:tcPr/>
          <w:p>
            <w:pPr>
              <w:pStyle w:val="Compact"/>
              <w:jc w:val="right"/>
            </w:pPr>
            <w:r>
              <w:t xml:space="preserve">BAF.lo</w:t>
            </w:r>
          </w:p>
        </w:tc>
        <w:tc>
          <w:tcPr/>
          <w:p>
            <w:pPr>
              <w:pStyle w:val="Compact"/>
              <w:jc w:val="right"/>
            </w:pPr>
            <w:r>
              <w:t xml:space="preserve">BAF.hi</w:t>
            </w:r>
          </w:p>
        </w:tc>
        <w:tc>
          <w:tcPr/>
          <w:p>
            <w:pPr>
              <w:pStyle w:val="Compact"/>
              <w:jc w:val="right"/>
            </w:pPr>
            <w:r>
              <w:t xml:space="preserve">p.bias.dom</w:t>
            </w:r>
          </w:p>
        </w:tc>
        <w:tc>
          <w:tcPr/>
          <w:p>
            <w:pPr>
              <w:pStyle w:val="Compact"/>
              <w:jc w:val="left"/>
            </w:pPr>
            <w:r>
              <w:t xml:space="preserve">Verdict</w:t>
            </w:r>
          </w:p>
        </w:tc>
      </w:tr>
      <w:tr>
        <w:tc>
          <w:tcPr/>
          <w:p>
            <w:pPr>
              <w:pStyle w:val="Compact"/>
              <w:jc w:val="left"/>
            </w:pPr>
            <w:r>
              <w:t xml:space="preserve">Beta-blocker &gt;=50% target dose</w:t>
            </w:r>
          </w:p>
        </w:tc>
        <w:tc>
          <w:tcPr/>
          <w:p>
            <w:pPr>
              <w:pStyle w:val="Compact"/>
              <w:jc w:val="right"/>
            </w:pPr>
            <w:r>
              <w:t xml:space="preserve">0.831</w:t>
            </w:r>
          </w:p>
        </w:tc>
        <w:tc>
          <w:tcPr/>
          <w:p>
            <w:pPr>
              <w:pStyle w:val="Compact"/>
              <w:jc w:val="right"/>
            </w:pPr>
            <w:r>
              <w:t xml:space="preserve">0.983</w:t>
            </w:r>
          </w:p>
        </w:tc>
        <w:tc>
          <w:tcPr/>
          <w:p>
            <w:pPr>
              <w:pStyle w:val="Compact"/>
              <w:jc w:val="right"/>
            </w:pPr>
            <w:r>
              <w:t xml:space="preserve">0.8940</w:t>
            </w:r>
          </w:p>
        </w:tc>
        <w:tc>
          <w:tcPr/>
          <w:p>
            <w:pPr>
              <w:pStyle w:val="Compact"/>
              <w:jc w:val="right"/>
            </w:pPr>
            <w:r>
              <w:t xml:space="preserve">0.875</w:t>
            </w:r>
          </w:p>
        </w:tc>
        <w:tc>
          <w:tcPr/>
          <w:p>
            <w:pPr>
              <w:pStyle w:val="Compact"/>
              <w:jc w:val="right"/>
            </w:pPr>
            <w:r>
              <w:t xml:space="preserve">0.385</w:t>
            </w:r>
          </w:p>
        </w:tc>
        <w:tc>
          <w:tcPr/>
          <w:p>
            <w:pPr>
              <w:pStyle w:val="Compact"/>
              <w:jc w:val="right"/>
            </w:pPr>
            <w:r>
              <w:t xml:space="preserve">0.992</w:t>
            </w:r>
          </w:p>
        </w:tc>
        <w:tc>
          <w:tcPr/>
          <w:p>
            <w:pPr>
              <w:pStyle w:val="Compact"/>
              <w:jc w:val="right"/>
            </w:pPr>
            <w:r>
              <w:t xml:space="preserve">0.999</w:t>
            </w:r>
          </w:p>
        </w:tc>
        <w:tc>
          <w:tcPr/>
          <w:p>
            <w:pPr>
              <w:pStyle w:val="Compact"/>
              <w:jc w:val="left"/>
            </w:pPr>
            <w:r>
              <w:t xml:space="preserve">not usable as effect evidence</w:t>
            </w:r>
          </w:p>
        </w:tc>
      </w:tr>
      <w:tr>
        <w:tc>
          <w:tcPr/>
          <w:p>
            <w:pPr>
              <w:pStyle w:val="Compact"/>
              <w:jc w:val="left"/>
            </w:pPr>
            <w:r>
              <w:t xml:space="preserve">GDMT &gt;=2 of 3 classes</w:t>
            </w:r>
          </w:p>
        </w:tc>
        <w:tc>
          <w:tcPr/>
          <w:p>
            <w:pPr>
              <w:pStyle w:val="Compact"/>
              <w:jc w:val="right"/>
            </w:pPr>
            <w:r>
              <w:t xml:space="preserve">0.682</w:t>
            </w:r>
          </w:p>
        </w:tc>
        <w:tc>
          <w:tcPr/>
          <w:p>
            <w:pPr>
              <w:pStyle w:val="Compact"/>
              <w:jc w:val="right"/>
            </w:pPr>
            <w:r>
              <w:t xml:space="preserve">0.807</w:t>
            </w:r>
          </w:p>
        </w:tc>
        <w:tc>
          <w:tcPr/>
          <w:p>
            <w:pPr>
              <w:pStyle w:val="Compact"/>
              <w:jc w:val="right"/>
            </w:pPr>
            <w:r>
              <w:t xml:space="preserve">0.1026</w:t>
            </w:r>
          </w:p>
        </w:tc>
        <w:tc>
          <w:tcPr/>
          <w:p>
            <w:pPr>
              <w:pStyle w:val="Compact"/>
              <w:jc w:val="right"/>
            </w:pPr>
            <w:r>
              <w:t xml:space="preserve">0.460</w:t>
            </w:r>
          </w:p>
        </w:tc>
        <w:tc>
          <w:tcPr/>
          <w:p>
            <w:pPr>
              <w:pStyle w:val="Compact"/>
              <w:jc w:val="right"/>
            </w:pPr>
            <w:r>
              <w:t xml:space="preserve">0.186</w:t>
            </w:r>
          </w:p>
        </w:tc>
        <w:tc>
          <w:tcPr/>
          <w:p>
            <w:pPr>
              <w:pStyle w:val="Compact"/>
              <w:jc w:val="right"/>
            </w:pPr>
            <w:r>
              <w:t xml:space="preserve">0.619</w:t>
            </w:r>
          </w:p>
        </w:tc>
        <w:tc>
          <w:tcPr/>
          <w:p>
            <w:pPr>
              <w:pStyle w:val="Compact"/>
              <w:jc w:val="right"/>
            </w:pPr>
            <w:r>
              <w:t xml:space="preserve">0.588</w:t>
            </w:r>
          </w:p>
        </w:tc>
        <w:tc>
          <w:tcPr/>
          <w:p>
            <w:pPr>
              <w:pStyle w:val="Compact"/>
              <w:jc w:val="left"/>
            </w:pPr>
            <w:r>
              <w:t xml:space="preserve">competitive, no verdict</w:t>
            </w:r>
          </w:p>
        </w:tc>
      </w:tr>
    </w:tbl>
    <w:bookmarkEnd w:id="23"/>
    <w:bookmarkStart w:id="24" w:name="X9321697105d23b759dd4277189dbd29d191b507"/>
    <w:p>
      <w:pPr>
        <w:pStyle w:val="Heading2"/>
      </w:pPr>
      <w:r>
        <w:t xml:space="preserve">eTable 6. Negative control outcomes in the case study</w:t>
      </w:r>
    </w:p>
    <w:p>
      <w:pPr>
        <w:pStyle w:val="FirstParagraph"/>
      </w:pPr>
      <w:r>
        <w:t xml:space="preserve">The 12 negative controls were selected from 20 candidate outcomes before any case-study analysis, screened in four levels (eMethods,</w:t>
      </w:r>
      <w:r>
        <w:t xml:space="preserve"> </w:t>
      </w:r>
      <w:r>
        <w:t xml:space="preserve">“Negative control selection”</w:t>
      </w:r>
      <w:r>
        <w:t xml:space="preserve">; eTable 11), and spread across six clinical domains (infection, gastrointestinal, trauma, ophthalmology, rheumatology, and urology). Each control outcome was ascertained from ICD-9 and ICD-10 diagnosis codes in the same hospitalizations that carry the target estimates and passed through the same estimation pipeline as the target outcome, including the guideline-restricted beta-blocker contrast, and the uncalibrated relative risks below were used to fit the empirical null. 10 of the 12 controls lie below the null and 2 above it, so the panel is predominantly but not exclusively protective, consistent with the pervasive healthy-adherer effect reported in the main manuscript.</w:t>
      </w:r>
    </w:p>
    <w:p>
      <w:pPr>
        <w:pStyle w:val="TableCaption"/>
      </w:pPr>
      <w:r>
        <w:t xml:space="preserve">eTable 6. The 12 negative control outcomes in the reported panel: code definitions, event counts, and uncalibrated estimates. Code ranges are shown in conventional dotted notation; the complete code lists are given in scripts/config_negative_controls.R in the analysis repository. The estimates are from the guideline-matched panel that supplies the empirical null for both case-study questions.</w:t>
      </w:r>
    </w:p>
    <w:tbl>
      <w:tblPr>
        <w:tblStyle w:val="Table"/>
        <w:tblW w:type="pct" w:w="5000"/>
        <w:tblLayout w:type="fixed"/>
        <w:tblLook w:firstRow="1" w:lastRow="0" w:firstColumn="0" w:lastColumn="0" w:noHBand="0" w:noVBand="0" w:val="0020"/>
        <w:tblCaption w:val="eTable 6. The 12 negative control outcomes in the reported panel: code definitions, event counts, and uncalibrated estimates. Code ranges are shown in conventional dotted notation; the complete code lists are given in scripts/config_negative_controls.R in the analysis repository. The estimates are from the guideline-matched panel that supplies the empirical null for both case-study questions."/>
      </w:tblPr>
      <w:tblGrid>
        <w:gridCol w:w="1255"/>
        <w:gridCol w:w="735"/>
        <w:gridCol w:w="2293"/>
        <w:gridCol w:w="1687"/>
        <w:gridCol w:w="519"/>
        <w:gridCol w:w="1081"/>
        <w:gridCol w:w="346"/>
      </w:tblGrid>
      <w:tr>
        <w:trPr>
          <w:tblHeader w:val="on"/>
        </w:trPr>
        <w:tc>
          <w:tcPr/>
          <w:p>
            <w:pPr>
              <w:pStyle w:val="Compact"/>
              <w:jc w:val="left"/>
            </w:pPr>
            <w:r>
              <w:t xml:space="preserve">Outcome</w:t>
            </w:r>
          </w:p>
        </w:tc>
        <w:tc>
          <w:tcPr/>
          <w:p>
            <w:pPr>
              <w:pStyle w:val="Compact"/>
              <w:jc w:val="left"/>
            </w:pPr>
            <w:r>
              <w:t xml:space="preserve">Domain</w:t>
            </w:r>
          </w:p>
        </w:tc>
        <w:tc>
          <w:tcPr/>
          <w:p>
            <w:pPr>
              <w:pStyle w:val="Compact"/>
              <w:jc w:val="left"/>
            </w:pPr>
            <w:r>
              <w:t xml:space="preserve">ICD-10</w:t>
            </w:r>
          </w:p>
        </w:tc>
        <w:tc>
          <w:tcPr/>
          <w:p>
            <w:pPr>
              <w:pStyle w:val="Compact"/>
              <w:jc w:val="left"/>
            </w:pPr>
            <w:r>
              <w:t xml:space="preserve">ICD-9</w:t>
            </w:r>
          </w:p>
        </w:tc>
        <w:tc>
          <w:tcPr/>
          <w:p>
            <w:pPr>
              <w:pStyle w:val="Compact"/>
              <w:jc w:val="left"/>
            </w:pPr>
            <w:r>
              <w:t xml:space="preserve">Events, No.</w:t>
            </w:r>
          </w:p>
        </w:tc>
        <w:tc>
          <w:tcPr/>
          <w:p>
            <w:pPr>
              <w:pStyle w:val="Compact"/>
              <w:jc w:val="left"/>
            </w:pPr>
            <w:r>
              <w:t xml:space="preserve">Uncalibrated RR (95% CI)</w:t>
            </w:r>
          </w:p>
        </w:tc>
        <w:tc>
          <w:tcPr/>
          <w:p>
            <w:pPr>
              <w:pStyle w:val="Compact"/>
              <w:jc w:val="left"/>
            </w:pPr>
            <w:r>
              <w:t xml:space="preserve">P value</w:t>
            </w:r>
          </w:p>
        </w:tc>
      </w:tr>
      <w:tr>
        <w:tc>
          <w:tcPr/>
          <w:p>
            <w:pPr>
              <w:pStyle w:val="Compact"/>
              <w:jc w:val="left"/>
            </w:pPr>
            <w:r>
              <w:t xml:space="preserve">Infection (combined)</w:t>
            </w:r>
          </w:p>
        </w:tc>
        <w:tc>
          <w:tcPr/>
          <w:p>
            <w:pPr>
              <w:pStyle w:val="Compact"/>
              <w:jc w:val="left"/>
            </w:pPr>
            <w:r>
              <w:t xml:space="preserve">Infection</w:t>
            </w:r>
          </w:p>
        </w:tc>
        <w:tc>
          <w:tcPr/>
          <w:p>
            <w:pPr>
              <w:pStyle w:val="Compact"/>
              <w:jc w:val="left"/>
            </w:pPr>
            <w:r>
              <w:t xml:space="preserve">N30, N39.0, J12-J18, K35-K37, K57, K81, A40-A41, A49</w:t>
            </w:r>
          </w:p>
        </w:tc>
        <w:tc>
          <w:tcPr/>
          <w:p>
            <w:pPr>
              <w:pStyle w:val="Compact"/>
              <w:jc w:val="left"/>
            </w:pPr>
            <w:r>
              <w:t xml:space="preserve">595, 599.0, 480-488, 540-542, 562, 574</w:t>
            </w:r>
          </w:p>
        </w:tc>
        <w:tc>
          <w:tcPr/>
          <w:p>
            <w:pPr>
              <w:pStyle w:val="Compact"/>
              <w:jc w:val="left"/>
            </w:pPr>
            <w:r>
              <w:t xml:space="preserve">4,705</w:t>
            </w:r>
          </w:p>
        </w:tc>
        <w:tc>
          <w:tcPr/>
          <w:p>
            <w:pPr>
              <w:pStyle w:val="Compact"/>
              <w:jc w:val="left"/>
            </w:pPr>
            <w:r>
              <w:t xml:space="preserve">0.83 (0.77-0.90)</w:t>
            </w:r>
          </w:p>
        </w:tc>
        <w:tc>
          <w:tcPr/>
          <w:p>
            <w:pPr>
              <w:pStyle w:val="Compact"/>
              <w:jc w:val="left"/>
            </w:pPr>
            <w:r>
              <w:t xml:space="preserve">&lt;.001</w:t>
            </w:r>
          </w:p>
        </w:tc>
      </w:tr>
      <w:tr>
        <w:tc>
          <w:tcPr/>
          <w:p>
            <w:pPr>
              <w:pStyle w:val="Compact"/>
              <w:jc w:val="left"/>
            </w:pPr>
            <w:r>
              <w:t xml:space="preserve">Gastrointestinal bleeding</w:t>
            </w:r>
          </w:p>
        </w:tc>
        <w:tc>
          <w:tcPr/>
          <w:p>
            <w:pPr>
              <w:pStyle w:val="Compact"/>
              <w:jc w:val="left"/>
            </w:pPr>
            <w:r>
              <w:t xml:space="preserve">Gastrointestinal</w:t>
            </w:r>
          </w:p>
        </w:tc>
        <w:tc>
          <w:tcPr/>
          <w:p>
            <w:pPr>
              <w:pStyle w:val="Compact"/>
              <w:jc w:val="left"/>
            </w:pPr>
            <w:r>
              <w:t xml:space="preserve">K25-K28 (with hemorrhage), K29.0, K62.5, K92.0-K92.2</w:t>
            </w:r>
          </w:p>
        </w:tc>
        <w:tc>
          <w:tcPr/>
          <w:p>
            <w:pPr>
              <w:pStyle w:val="Compact"/>
              <w:jc w:val="left"/>
            </w:pPr>
            <w:r>
              <w:t xml:space="preserve">531-534 (with hemorrhage), 569.3, 578</w:t>
            </w:r>
          </w:p>
        </w:tc>
        <w:tc>
          <w:tcPr/>
          <w:p>
            <w:pPr>
              <w:pStyle w:val="Compact"/>
              <w:jc w:val="left"/>
            </w:pPr>
            <w:r>
              <w:t xml:space="preserve">1,535</w:t>
            </w:r>
          </w:p>
        </w:tc>
        <w:tc>
          <w:tcPr/>
          <w:p>
            <w:pPr>
              <w:pStyle w:val="Compact"/>
              <w:jc w:val="left"/>
            </w:pPr>
            <w:r>
              <w:t xml:space="preserve">0.79 (0.67-0.94)</w:t>
            </w:r>
          </w:p>
        </w:tc>
        <w:tc>
          <w:tcPr/>
          <w:p>
            <w:pPr>
              <w:pStyle w:val="Compact"/>
              <w:jc w:val="left"/>
            </w:pPr>
            <w:r>
              <w:t xml:space="preserve">.01</w:t>
            </w:r>
          </w:p>
        </w:tc>
      </w:tr>
      <w:tr>
        <w:tc>
          <w:tcPr/>
          <w:p>
            <w:pPr>
              <w:pStyle w:val="Compact"/>
              <w:jc w:val="left"/>
            </w:pPr>
            <w:r>
              <w:t xml:space="preserve">Fall without fracture</w:t>
            </w:r>
          </w:p>
        </w:tc>
        <w:tc>
          <w:tcPr/>
          <w:p>
            <w:pPr>
              <w:pStyle w:val="Compact"/>
              <w:jc w:val="left"/>
            </w:pPr>
            <w:r>
              <w:t xml:space="preserve">Trauma</w:t>
            </w:r>
          </w:p>
        </w:tc>
        <w:tc>
          <w:tcPr/>
          <w:p>
            <w:pPr>
              <w:pStyle w:val="Compact"/>
              <w:jc w:val="left"/>
            </w:pPr>
            <w:r>
              <w:t xml:space="preserve">W00-W19</w:t>
            </w:r>
          </w:p>
        </w:tc>
        <w:tc>
          <w:tcPr/>
          <w:p>
            <w:pPr>
              <w:pStyle w:val="Compact"/>
              <w:jc w:val="left"/>
            </w:pPr>
            <w:r>
              <w:t xml:space="preserve">E880-E889</w:t>
            </w:r>
          </w:p>
        </w:tc>
        <w:tc>
          <w:tcPr/>
          <w:p>
            <w:pPr>
              <w:pStyle w:val="Compact"/>
              <w:jc w:val="left"/>
            </w:pPr>
            <w:r>
              <w:t xml:space="preserve">83</w:t>
            </w:r>
          </w:p>
        </w:tc>
        <w:tc>
          <w:tcPr/>
          <w:p>
            <w:pPr>
              <w:pStyle w:val="Compact"/>
              <w:jc w:val="left"/>
            </w:pPr>
            <w:r>
              <w:t xml:space="preserve">1.19 (0.60-2.39)</w:t>
            </w:r>
          </w:p>
        </w:tc>
        <w:tc>
          <w:tcPr/>
          <w:p>
            <w:pPr>
              <w:pStyle w:val="Compact"/>
              <w:jc w:val="left"/>
            </w:pPr>
            <w:r>
              <w:t xml:space="preserve">.61</w:t>
            </w:r>
          </w:p>
        </w:tc>
      </w:tr>
      <w:tr>
        <w:tc>
          <w:tcPr/>
          <w:p>
            <w:pPr>
              <w:pStyle w:val="Compact"/>
              <w:jc w:val="left"/>
            </w:pPr>
            <w:r>
              <w:t xml:space="preserve">Urinary tract infection</w:t>
            </w:r>
          </w:p>
        </w:tc>
        <w:tc>
          <w:tcPr/>
          <w:p>
            <w:pPr>
              <w:pStyle w:val="Compact"/>
              <w:jc w:val="left"/>
            </w:pPr>
            <w:r>
              <w:t xml:space="preserve">Infection</w:t>
            </w:r>
          </w:p>
        </w:tc>
        <w:tc>
          <w:tcPr/>
          <w:p>
            <w:pPr>
              <w:pStyle w:val="Compact"/>
              <w:jc w:val="left"/>
            </w:pPr>
            <w:r>
              <w:t xml:space="preserve">N10, N12, N15.1, N15.9, N30, N34.0, N39.0, O23.4</w:t>
            </w:r>
          </w:p>
        </w:tc>
        <w:tc>
          <w:tcPr/>
          <w:p>
            <w:pPr>
              <w:pStyle w:val="Compact"/>
              <w:jc w:val="left"/>
            </w:pPr>
            <w:r>
              <w:t xml:space="preserve">590, 595, 599.0</w:t>
            </w:r>
          </w:p>
        </w:tc>
        <w:tc>
          <w:tcPr/>
          <w:p>
            <w:pPr>
              <w:pStyle w:val="Compact"/>
              <w:jc w:val="left"/>
            </w:pPr>
            <w:r>
              <w:t xml:space="preserve">3,620</w:t>
            </w:r>
          </w:p>
        </w:tc>
        <w:tc>
          <w:tcPr/>
          <w:p>
            <w:pPr>
              <w:pStyle w:val="Compact"/>
              <w:jc w:val="left"/>
            </w:pPr>
            <w:r>
              <w:t xml:space="preserve">0.82 (0.74-0.91)</w:t>
            </w:r>
          </w:p>
        </w:tc>
        <w:tc>
          <w:tcPr/>
          <w:p>
            <w:pPr>
              <w:pStyle w:val="Compact"/>
              <w:jc w:val="left"/>
            </w:pPr>
            <w:r>
              <w:t xml:space="preserve">&lt;.001</w:t>
            </w:r>
          </w:p>
        </w:tc>
      </w:tr>
      <w:tr>
        <w:tc>
          <w:tcPr/>
          <w:p>
            <w:pPr>
              <w:pStyle w:val="Compact"/>
              <w:jc w:val="left"/>
            </w:pPr>
            <w:r>
              <w:t xml:space="preserve">Cellulitis</w:t>
            </w:r>
          </w:p>
        </w:tc>
        <w:tc>
          <w:tcPr/>
          <w:p>
            <w:pPr>
              <w:pStyle w:val="Compact"/>
              <w:jc w:val="left"/>
            </w:pPr>
            <w:r>
              <w:t xml:space="preserve">Infection</w:t>
            </w:r>
          </w:p>
        </w:tc>
        <w:tc>
          <w:tcPr/>
          <w:p>
            <w:pPr>
              <w:pStyle w:val="Compact"/>
              <w:jc w:val="left"/>
            </w:pPr>
            <w:r>
              <w:t xml:space="preserve">L03</w:t>
            </w:r>
          </w:p>
        </w:tc>
        <w:tc>
          <w:tcPr/>
          <w:p>
            <w:pPr>
              <w:pStyle w:val="Compact"/>
              <w:jc w:val="left"/>
            </w:pPr>
            <w:r>
              <w:t xml:space="preserve">681, 682</w:t>
            </w:r>
          </w:p>
        </w:tc>
        <w:tc>
          <w:tcPr/>
          <w:p>
            <w:pPr>
              <w:pStyle w:val="Compact"/>
              <w:jc w:val="left"/>
            </w:pPr>
            <w:r>
              <w:t xml:space="preserve">1,339</w:t>
            </w:r>
          </w:p>
        </w:tc>
        <w:tc>
          <w:tcPr/>
          <w:p>
            <w:pPr>
              <w:pStyle w:val="Compact"/>
              <w:jc w:val="left"/>
            </w:pPr>
            <w:r>
              <w:t xml:space="preserve">0.77 (0.64-0.92)</w:t>
            </w:r>
          </w:p>
        </w:tc>
        <w:tc>
          <w:tcPr/>
          <w:p>
            <w:pPr>
              <w:pStyle w:val="Compact"/>
              <w:jc w:val="left"/>
            </w:pPr>
            <w:r>
              <w:t xml:space="preserve">.00</w:t>
            </w:r>
          </w:p>
        </w:tc>
      </w:tr>
      <w:tr>
        <w:tc>
          <w:tcPr/>
          <w:p>
            <w:pPr>
              <w:pStyle w:val="Compact"/>
              <w:jc w:val="left"/>
            </w:pPr>
            <w:r>
              <w:t xml:space="preserve">Cataract</w:t>
            </w:r>
          </w:p>
        </w:tc>
        <w:tc>
          <w:tcPr/>
          <w:p>
            <w:pPr>
              <w:pStyle w:val="Compact"/>
              <w:jc w:val="left"/>
            </w:pPr>
            <w:r>
              <w:t xml:space="preserve">Ophthalmology</w:t>
            </w:r>
          </w:p>
        </w:tc>
        <w:tc>
          <w:tcPr/>
          <w:p>
            <w:pPr>
              <w:pStyle w:val="Compact"/>
              <w:jc w:val="left"/>
            </w:pPr>
            <w:r>
              <w:t xml:space="preserve">H25-H26</w:t>
            </w:r>
          </w:p>
        </w:tc>
        <w:tc>
          <w:tcPr/>
          <w:p>
            <w:pPr>
              <w:pStyle w:val="Compact"/>
              <w:jc w:val="left"/>
            </w:pPr>
            <w:r>
              <w:t xml:space="preserve">366</w:t>
            </w:r>
          </w:p>
        </w:tc>
        <w:tc>
          <w:tcPr/>
          <w:p>
            <w:pPr>
              <w:pStyle w:val="Compact"/>
              <w:jc w:val="left"/>
            </w:pPr>
            <w:r>
              <w:t xml:space="preserve">317</w:t>
            </w:r>
          </w:p>
        </w:tc>
        <w:tc>
          <w:tcPr/>
          <w:p>
            <w:pPr>
              <w:pStyle w:val="Compact"/>
              <w:jc w:val="left"/>
            </w:pPr>
            <w:r>
              <w:t xml:space="preserve">0.95 (0.66-1.38)</w:t>
            </w:r>
          </w:p>
        </w:tc>
        <w:tc>
          <w:tcPr/>
          <w:p>
            <w:pPr>
              <w:pStyle w:val="Compact"/>
              <w:jc w:val="left"/>
            </w:pPr>
            <w:r>
              <w:t xml:space="preserve">.81</w:t>
            </w:r>
          </w:p>
        </w:tc>
      </w:tr>
      <w:tr>
        <w:tc>
          <w:tcPr/>
          <w:p>
            <w:pPr>
              <w:pStyle w:val="Compact"/>
              <w:jc w:val="left"/>
            </w:pPr>
            <w:r>
              <w:t xml:space="preserve">Osteoarthritis</w:t>
            </w:r>
          </w:p>
        </w:tc>
        <w:tc>
          <w:tcPr/>
          <w:p>
            <w:pPr>
              <w:pStyle w:val="Compact"/>
              <w:jc w:val="left"/>
            </w:pPr>
            <w:r>
              <w:t xml:space="preserve">Rheumatology</w:t>
            </w:r>
          </w:p>
        </w:tc>
        <w:tc>
          <w:tcPr/>
          <w:p>
            <w:pPr>
              <w:pStyle w:val="Compact"/>
              <w:jc w:val="left"/>
            </w:pPr>
            <w:r>
              <w:t xml:space="preserve">M16-M19</w:t>
            </w:r>
          </w:p>
        </w:tc>
        <w:tc>
          <w:tcPr/>
          <w:p>
            <w:pPr>
              <w:pStyle w:val="Compact"/>
              <w:jc w:val="left"/>
            </w:pPr>
            <w:r>
              <w:t xml:space="preserve">715</w:t>
            </w:r>
          </w:p>
        </w:tc>
        <w:tc>
          <w:tcPr/>
          <w:p>
            <w:pPr>
              <w:pStyle w:val="Compact"/>
              <w:jc w:val="left"/>
            </w:pPr>
            <w:r>
              <w:t xml:space="preserve">1,502</w:t>
            </w:r>
          </w:p>
        </w:tc>
        <w:tc>
          <w:tcPr/>
          <w:p>
            <w:pPr>
              <w:pStyle w:val="Compact"/>
              <w:jc w:val="left"/>
            </w:pPr>
            <w:r>
              <w:t xml:space="preserve">0.73 (0.61-0.88)</w:t>
            </w:r>
          </w:p>
        </w:tc>
        <w:tc>
          <w:tcPr/>
          <w:p>
            <w:pPr>
              <w:pStyle w:val="Compact"/>
              <w:jc w:val="left"/>
            </w:pPr>
            <w:r>
              <w:t xml:space="preserve">&lt;.001</w:t>
            </w:r>
          </w:p>
        </w:tc>
      </w:tr>
      <w:tr>
        <w:tc>
          <w:tcPr/>
          <w:p>
            <w:pPr>
              <w:pStyle w:val="Compact"/>
              <w:jc w:val="left"/>
            </w:pPr>
            <w:r>
              <w:t xml:space="preserve">Traffic accident</w:t>
            </w:r>
          </w:p>
        </w:tc>
        <w:tc>
          <w:tcPr/>
          <w:p>
            <w:pPr>
              <w:pStyle w:val="Compact"/>
              <w:jc w:val="left"/>
            </w:pPr>
            <w:r>
              <w:t xml:space="preserve">Trauma</w:t>
            </w:r>
          </w:p>
        </w:tc>
        <w:tc>
          <w:tcPr/>
          <w:p>
            <w:pPr>
              <w:pStyle w:val="Compact"/>
              <w:jc w:val="left"/>
            </w:pPr>
            <w:r>
              <w:t xml:space="preserve">V01-V99</w:t>
            </w:r>
          </w:p>
        </w:tc>
        <w:tc>
          <w:tcPr/>
          <w:p>
            <w:pPr>
              <w:pStyle w:val="Compact"/>
              <w:jc w:val="left"/>
            </w:pPr>
            <w:r>
              <w:t xml:space="preserve">E810-E829</w:t>
            </w:r>
          </w:p>
        </w:tc>
        <w:tc>
          <w:tcPr/>
          <w:p>
            <w:pPr>
              <w:pStyle w:val="Compact"/>
              <w:jc w:val="left"/>
            </w:pPr>
            <w:r>
              <w:t xml:space="preserve">77</w:t>
            </w:r>
          </w:p>
        </w:tc>
        <w:tc>
          <w:tcPr/>
          <w:p>
            <w:pPr>
              <w:pStyle w:val="Compact"/>
              <w:jc w:val="left"/>
            </w:pPr>
            <w:r>
              <w:t xml:space="preserve">0.46 (0.18-1.18)</w:t>
            </w:r>
          </w:p>
        </w:tc>
        <w:tc>
          <w:tcPr/>
          <w:p>
            <w:pPr>
              <w:pStyle w:val="Compact"/>
              <w:jc w:val="left"/>
            </w:pPr>
            <w:r>
              <w:t xml:space="preserve">.11</w:t>
            </w:r>
          </w:p>
        </w:tc>
      </w:tr>
      <w:tr>
        <w:tc>
          <w:tcPr/>
          <w:p>
            <w:pPr>
              <w:pStyle w:val="Compact"/>
              <w:jc w:val="left"/>
            </w:pPr>
            <w:r>
              <w:t xml:space="preserve">Hemorrhoids</w:t>
            </w:r>
          </w:p>
        </w:tc>
        <w:tc>
          <w:tcPr/>
          <w:p>
            <w:pPr>
              <w:pStyle w:val="Compact"/>
              <w:jc w:val="left"/>
            </w:pPr>
            <w:r>
              <w:t xml:space="preserve">Gastrointestinal</w:t>
            </w:r>
          </w:p>
        </w:tc>
        <w:tc>
          <w:tcPr/>
          <w:p>
            <w:pPr>
              <w:pStyle w:val="Compact"/>
              <w:jc w:val="left"/>
            </w:pPr>
            <w:r>
              <w:t xml:space="preserve">K64</w:t>
            </w:r>
          </w:p>
        </w:tc>
        <w:tc>
          <w:tcPr/>
          <w:p>
            <w:pPr>
              <w:pStyle w:val="Compact"/>
              <w:jc w:val="left"/>
            </w:pPr>
            <w:r>
              <w:t xml:space="preserve">455</w:t>
            </w:r>
          </w:p>
        </w:tc>
        <w:tc>
          <w:tcPr/>
          <w:p>
            <w:pPr>
              <w:pStyle w:val="Compact"/>
              <w:jc w:val="left"/>
            </w:pPr>
            <w:r>
              <w:t xml:space="preserve">674</w:t>
            </w:r>
          </w:p>
        </w:tc>
        <w:tc>
          <w:tcPr/>
          <w:p>
            <w:pPr>
              <w:pStyle w:val="Compact"/>
              <w:jc w:val="left"/>
            </w:pPr>
            <w:r>
              <w:t xml:space="preserve">0.73 (0.55-0.96)</w:t>
            </w:r>
          </w:p>
        </w:tc>
        <w:tc>
          <w:tcPr/>
          <w:p>
            <w:pPr>
              <w:pStyle w:val="Compact"/>
              <w:jc w:val="left"/>
            </w:pPr>
            <w:r>
              <w:t xml:space="preserve">.02</w:t>
            </w:r>
          </w:p>
        </w:tc>
      </w:tr>
      <w:tr>
        <w:tc>
          <w:tcPr/>
          <w:p>
            <w:pPr>
              <w:pStyle w:val="Compact"/>
              <w:jc w:val="left"/>
            </w:pPr>
            <w:r>
              <w:t xml:space="preserve">Benign prostatic hyperplasia</w:t>
            </w:r>
          </w:p>
        </w:tc>
        <w:tc>
          <w:tcPr/>
          <w:p>
            <w:pPr>
              <w:pStyle w:val="Compact"/>
              <w:jc w:val="left"/>
            </w:pPr>
            <w:r>
              <w:t xml:space="preserve">Urology</w:t>
            </w:r>
          </w:p>
        </w:tc>
        <w:tc>
          <w:tcPr/>
          <w:p>
            <w:pPr>
              <w:pStyle w:val="Compact"/>
              <w:jc w:val="left"/>
            </w:pPr>
            <w:r>
              <w:t xml:space="preserve">N40</w:t>
            </w:r>
          </w:p>
        </w:tc>
        <w:tc>
          <w:tcPr/>
          <w:p>
            <w:pPr>
              <w:pStyle w:val="Compact"/>
              <w:jc w:val="left"/>
            </w:pPr>
            <w:r>
              <w:t xml:space="preserve">600</w:t>
            </w:r>
          </w:p>
        </w:tc>
        <w:tc>
          <w:tcPr/>
          <w:p>
            <w:pPr>
              <w:pStyle w:val="Compact"/>
              <w:jc w:val="left"/>
            </w:pPr>
            <w:r>
              <w:t xml:space="preserve">938</w:t>
            </w:r>
          </w:p>
        </w:tc>
        <w:tc>
          <w:tcPr/>
          <w:p>
            <w:pPr>
              <w:pStyle w:val="Compact"/>
              <w:jc w:val="left"/>
            </w:pPr>
            <w:r>
              <w:t xml:space="preserve">0.91 (0.74-1.13)</w:t>
            </w:r>
          </w:p>
        </w:tc>
        <w:tc>
          <w:tcPr/>
          <w:p>
            <w:pPr>
              <w:pStyle w:val="Compact"/>
              <w:jc w:val="left"/>
            </w:pPr>
            <w:r>
              <w:t xml:space="preserve">.41</w:t>
            </w:r>
          </w:p>
        </w:tc>
      </w:tr>
      <w:tr>
        <w:tc>
          <w:tcPr/>
          <w:p>
            <w:pPr>
              <w:pStyle w:val="Compact"/>
              <w:jc w:val="left"/>
            </w:pPr>
            <w:r>
              <w:t xml:space="preserve">Gout</w:t>
            </w:r>
          </w:p>
        </w:tc>
        <w:tc>
          <w:tcPr/>
          <w:p>
            <w:pPr>
              <w:pStyle w:val="Compact"/>
              <w:jc w:val="left"/>
            </w:pPr>
            <w:r>
              <w:t xml:space="preserve">Rheumatology</w:t>
            </w:r>
          </w:p>
        </w:tc>
        <w:tc>
          <w:tcPr/>
          <w:p>
            <w:pPr>
              <w:pStyle w:val="Compact"/>
              <w:jc w:val="left"/>
            </w:pPr>
            <w:r>
              <w:t xml:space="preserve">M10</w:t>
            </w:r>
          </w:p>
        </w:tc>
        <w:tc>
          <w:tcPr/>
          <w:p>
            <w:pPr>
              <w:pStyle w:val="Compact"/>
              <w:jc w:val="left"/>
            </w:pPr>
            <w:r>
              <w:t xml:space="preserve">274</w:t>
            </w:r>
          </w:p>
        </w:tc>
        <w:tc>
          <w:tcPr/>
          <w:p>
            <w:pPr>
              <w:pStyle w:val="Compact"/>
              <w:jc w:val="left"/>
            </w:pPr>
            <w:r>
              <w:t xml:space="preserve">1,847</w:t>
            </w:r>
          </w:p>
        </w:tc>
        <w:tc>
          <w:tcPr/>
          <w:p>
            <w:pPr>
              <w:pStyle w:val="Compact"/>
              <w:jc w:val="left"/>
            </w:pPr>
            <w:r>
              <w:t xml:space="preserve">1.14 (1.00-1.29)</w:t>
            </w:r>
          </w:p>
        </w:tc>
        <w:tc>
          <w:tcPr/>
          <w:p>
            <w:pPr>
              <w:pStyle w:val="Compact"/>
              <w:jc w:val="left"/>
            </w:pPr>
            <w:r>
              <w:t xml:space="preserve">.04</w:t>
            </w:r>
          </w:p>
        </w:tc>
      </w:tr>
      <w:tr>
        <w:tc>
          <w:tcPr/>
          <w:p>
            <w:pPr>
              <w:pStyle w:val="Compact"/>
              <w:jc w:val="left"/>
            </w:pPr>
            <w:r>
              <w:t xml:space="preserve">Tendinitis</w:t>
            </w:r>
          </w:p>
        </w:tc>
        <w:tc>
          <w:tcPr/>
          <w:p>
            <w:pPr>
              <w:pStyle w:val="Compact"/>
              <w:jc w:val="left"/>
            </w:pPr>
            <w:r>
              <w:t xml:space="preserve">Rheumatology</w:t>
            </w:r>
          </w:p>
        </w:tc>
        <w:tc>
          <w:tcPr/>
          <w:p>
            <w:pPr>
              <w:pStyle w:val="Compact"/>
              <w:jc w:val="left"/>
            </w:pPr>
            <w:r>
              <w:t xml:space="preserve">M75-M77</w:t>
            </w:r>
          </w:p>
        </w:tc>
        <w:tc>
          <w:tcPr/>
          <w:p>
            <w:pPr>
              <w:pStyle w:val="Compact"/>
              <w:jc w:val="left"/>
            </w:pPr>
            <w:r>
              <w:t xml:space="preserve">726</w:t>
            </w:r>
          </w:p>
        </w:tc>
        <w:tc>
          <w:tcPr/>
          <w:p>
            <w:pPr>
              <w:pStyle w:val="Compact"/>
              <w:jc w:val="left"/>
            </w:pPr>
            <w:r>
              <w:t xml:space="preserve">58</w:t>
            </w:r>
          </w:p>
        </w:tc>
        <w:tc>
          <w:tcPr/>
          <w:p>
            <w:pPr>
              <w:pStyle w:val="Compact"/>
              <w:jc w:val="left"/>
            </w:pPr>
            <w:r>
              <w:t xml:space="preserve">0.67 (0.25-1.83)</w:t>
            </w:r>
          </w:p>
        </w:tc>
        <w:tc>
          <w:tcPr/>
          <w:p>
            <w:pPr>
              <w:pStyle w:val="Compact"/>
              <w:jc w:val="left"/>
            </w:pPr>
            <w:r>
              <w:t xml:space="preserve">.44</w:t>
            </w:r>
          </w:p>
        </w:tc>
      </w:tr>
    </w:tbl>
    <w:bookmarkEnd w:id="24"/>
    <w:bookmarkStart w:id="25" w:name="Xba5da64610f2002374f85d6c7cd1bbdfacf5c33"/>
    <w:p>
      <w:pPr>
        <w:pStyle w:val="Heading2"/>
      </w:pPr>
      <w:r>
        <w:t xml:space="preserve">eTable 7. Baseline characteristics by guideline-directed medical therapy strategy (question 2)</w:t>
      </w:r>
    </w:p>
    <w:p>
      <w:pPr>
        <w:pStyle w:val="FirstParagraph"/>
      </w:pPr>
      <w:r>
        <w:t xml:space="preserve">This table mirrors Table 3 of the main manuscript (question 1, beta-blocker target dose) but for question 2. The GDMT contrast is binary (received vs not received, per the case-study analysis</w:t>
      </w:r>
      <w:r>
        <w:t xml:space="preserve"> </w:t>
      </w:r>
      <w:r>
        <w:rPr>
          <w:rStyle w:val="VerbatimChar"/>
        </w:rPr>
        <w:t xml:space="preserve">scripts/run_ltmle_gdmt.R</w:t>
      </w:r>
      <w:r>
        <w:t xml:space="preserve">); among the 14,677 eligible patients, 1,744 were optimized and 12,933 were not optimized (the 3,494 patients with missing GDMT score were classified as not optimized, matching the analysis). Of 16 baseline variables, 4 exceeded the conventional 0.10 imbalance threshold before weighting and 0 remained above it after IPTW adjustment with a 16-variable propensity model.</w:t>
      </w:r>
    </w:p>
    <w:p>
      <w:pPr>
        <w:pStyle w:val="TableCaption"/>
      </w:pPr>
      <w:r>
        <w:t xml:space="preserve">eTable 7. Baseline characteristics of the 14,677 eligible patients by guideline-directed medical therapy strategy (question 2). Values are mean (SD) for continuous variables and No. (%) for categorical variables. SMD is the absolute standardized mean difference between strategies; IPTW-adjusted SMD uses a stabilized inverse-probability weight from a 16-variable propensity model. Of 16 baseline variables, 4 exceeded the 0.10 threshold before weighting and 0 remained above it after IPTW adjustment. The GDMT contrast is binary (received vs not received) per the case-study analysis; patients with missing GDMT score were classified as not optimized.</w:t>
      </w:r>
    </w:p>
    <w:tbl>
      <w:tblPr>
        <w:tblStyle w:val="Table"/>
        <w:tblW w:type="pct" w:w="5000"/>
        <w:tblLayout w:type="fixed"/>
        <w:tblLook w:firstRow="1" w:lastRow="0" w:firstColumn="0" w:lastColumn="0" w:noHBand="0" w:noVBand="0" w:val="0020"/>
        <w:tblCaption w:val="eTable 7. Baseline characteristics of the 14,677 eligible patients by guideline-directed medical therapy strategy (question 2). Values are mean (SD) for continuous variables and No. (%) for categorical variables. SMD is the absolute standardized mean difference between strategies; IPTW-adjusted SMD uses a stabilized inverse-probability weight from a 16-variable propensity model. Of 16 baseline variables, 4 exceeded the 0.10 threshold before weighting and 0 remained above it after IPTW adjustment. The GDMT contrast is binary (received vs not received) per the case-study analysis; patients with missing GDMT score were classified as not optimized."/>
      </w:tblPr>
      <w:tblGrid>
        <w:gridCol w:w="2043"/>
        <w:gridCol w:w="1724"/>
        <w:gridCol w:w="2043"/>
        <w:gridCol w:w="958"/>
        <w:gridCol w:w="1149"/>
      </w:tblGrid>
      <w:tr>
        <w:trPr>
          <w:tblHeader w:val="on"/>
        </w:trPr>
        <w:tc>
          <w:tcPr/>
          <w:p>
            <w:pPr>
              <w:pStyle w:val="Compact"/>
              <w:jc w:val="left"/>
            </w:pPr>
            <w:r>
              <w:t xml:space="preserve">Characteristic</w:t>
            </w:r>
          </w:p>
        </w:tc>
        <w:tc>
          <w:tcPr/>
          <w:p>
            <w:pPr>
              <w:pStyle w:val="Compact"/>
              <w:jc w:val="left"/>
            </w:pPr>
            <w:r>
              <w:t xml:space="preserve">Optimized.GDMT..n…1.744.</w:t>
            </w:r>
          </w:p>
        </w:tc>
        <w:tc>
          <w:tcPr/>
          <w:p>
            <w:pPr>
              <w:pStyle w:val="Compact"/>
              <w:jc w:val="left"/>
            </w:pPr>
            <w:r>
              <w:t xml:space="preserve">Not.optimized.GDMT..n…12.933.</w:t>
            </w:r>
          </w:p>
        </w:tc>
        <w:tc>
          <w:tcPr/>
          <w:p>
            <w:pPr>
              <w:pStyle w:val="Compact"/>
              <w:jc w:val="left"/>
            </w:pPr>
            <w:r>
              <w:t xml:space="preserve">Unadjusted.SMD</w:t>
            </w:r>
          </w:p>
        </w:tc>
        <w:tc>
          <w:tcPr/>
          <w:p>
            <w:pPr>
              <w:pStyle w:val="Compact"/>
              <w:jc w:val="left"/>
            </w:pPr>
            <w:r>
              <w:t xml:space="preserve">IPTW.adjusted.SMD</w:t>
            </w:r>
          </w:p>
        </w:tc>
      </w:tr>
      <w:tr>
        <w:tc>
          <w:tcPr/>
          <w:p>
            <w:pPr>
              <w:pStyle w:val="Compact"/>
              <w:jc w:val="left"/>
            </w:pPr>
            <w:r>
              <w:t xml:space="preserve">Age, mean (SD), y</w:t>
            </w:r>
          </w:p>
        </w:tc>
        <w:tc>
          <w:tcPr/>
          <w:p>
            <w:pPr>
              <w:pStyle w:val="Compact"/>
              <w:jc w:val="left"/>
            </w:pPr>
            <w:r>
              <w:t xml:space="preserve">70.5 (12.8)</w:t>
            </w:r>
          </w:p>
        </w:tc>
        <w:tc>
          <w:tcPr/>
          <w:p>
            <w:pPr>
              <w:pStyle w:val="Compact"/>
              <w:jc w:val="left"/>
            </w:pPr>
            <w:r>
              <w:t xml:space="preserve">71.4 (13.7)</w:t>
            </w:r>
          </w:p>
        </w:tc>
        <w:tc>
          <w:tcPr/>
          <w:p>
            <w:pPr>
              <w:pStyle w:val="Compact"/>
              <w:jc w:val="left"/>
            </w:pPr>
            <w:r>
              <w:t xml:space="preserve">-0.065</w:t>
            </w:r>
          </w:p>
        </w:tc>
        <w:tc>
          <w:tcPr/>
          <w:p>
            <w:pPr>
              <w:pStyle w:val="Compact"/>
              <w:jc w:val="left"/>
            </w:pPr>
            <w:r>
              <w:t xml:space="preserve">-0.001</w:t>
            </w:r>
          </w:p>
        </w:tc>
      </w:tr>
      <w:tr>
        <w:tc>
          <w:tcPr/>
          <w:p>
            <w:pPr>
              <w:pStyle w:val="Compact"/>
              <w:jc w:val="left"/>
            </w:pPr>
            <w:r>
              <w:t xml:space="preserve">Heart rate, mean (SD), bpm</w:t>
            </w:r>
          </w:p>
        </w:tc>
        <w:tc>
          <w:tcPr/>
          <w:p>
            <w:pPr>
              <w:pStyle w:val="Compact"/>
              <w:jc w:val="left"/>
            </w:pPr>
            <w:r>
              <w:t xml:space="preserve">79.0 (18.0)</w:t>
            </w:r>
          </w:p>
        </w:tc>
        <w:tc>
          <w:tcPr/>
          <w:p>
            <w:pPr>
              <w:pStyle w:val="Compact"/>
              <w:jc w:val="left"/>
            </w:pPr>
            <w:r>
              <w:t xml:space="preserve">80.0 (18.2)</w:t>
            </w:r>
          </w:p>
        </w:tc>
        <w:tc>
          <w:tcPr/>
          <w:p>
            <w:pPr>
              <w:pStyle w:val="Compact"/>
              <w:jc w:val="left"/>
            </w:pPr>
            <w:r>
              <w:t xml:space="preserve">-0.055</w:t>
            </w:r>
          </w:p>
        </w:tc>
        <w:tc>
          <w:tcPr/>
          <w:p>
            <w:pPr>
              <w:pStyle w:val="Compact"/>
              <w:jc w:val="left"/>
            </w:pPr>
            <w:r>
              <w:t xml:space="preserve">-0.014</w:t>
            </w:r>
          </w:p>
        </w:tc>
      </w:tr>
      <w:tr>
        <w:tc>
          <w:tcPr/>
          <w:p>
            <w:pPr>
              <w:pStyle w:val="Compact"/>
              <w:jc w:val="left"/>
            </w:pPr>
            <w:r>
              <w:t xml:space="preserve">QRS duration, mean (SD), ms</w:t>
            </w:r>
          </w:p>
        </w:tc>
        <w:tc>
          <w:tcPr/>
          <w:p>
            <w:pPr>
              <w:pStyle w:val="Compact"/>
              <w:jc w:val="left"/>
            </w:pPr>
            <w:r>
              <w:t xml:space="preserve">108.8 (25.9)</w:t>
            </w:r>
          </w:p>
        </w:tc>
        <w:tc>
          <w:tcPr/>
          <w:p>
            <w:pPr>
              <w:pStyle w:val="Compact"/>
              <w:jc w:val="left"/>
            </w:pPr>
            <w:r>
              <w:t xml:space="preserve">106.5 (25.5)</w:t>
            </w:r>
          </w:p>
        </w:tc>
        <w:tc>
          <w:tcPr/>
          <w:p>
            <w:pPr>
              <w:pStyle w:val="Compact"/>
              <w:jc w:val="left"/>
            </w:pPr>
            <w:r>
              <w:t xml:space="preserve">0.090</w:t>
            </w:r>
          </w:p>
        </w:tc>
        <w:tc>
          <w:tcPr/>
          <w:p>
            <w:pPr>
              <w:pStyle w:val="Compact"/>
              <w:jc w:val="left"/>
            </w:pPr>
            <w:r>
              <w:t xml:space="preserve">-0.009</w:t>
            </w:r>
          </w:p>
        </w:tc>
      </w:tr>
      <w:tr>
        <w:tc>
          <w:tcPr/>
          <w:p>
            <w:pPr>
              <w:pStyle w:val="Compact"/>
              <w:jc w:val="left"/>
            </w:pPr>
            <w:r>
              <w:t xml:space="preserve">QTc interval, mean (SD), ms</w:t>
            </w:r>
          </w:p>
        </w:tc>
        <w:tc>
          <w:tcPr/>
          <w:p>
            <w:pPr>
              <w:pStyle w:val="Compact"/>
              <w:jc w:val="left"/>
            </w:pPr>
            <w:r>
              <w:t xml:space="preserve">461.5 (29.2)</w:t>
            </w:r>
          </w:p>
        </w:tc>
        <w:tc>
          <w:tcPr/>
          <w:p>
            <w:pPr>
              <w:pStyle w:val="Compact"/>
              <w:jc w:val="left"/>
            </w:pPr>
            <w:r>
              <w:t xml:space="preserve">458.4 (29.7)</w:t>
            </w:r>
          </w:p>
        </w:tc>
        <w:tc>
          <w:tcPr/>
          <w:p>
            <w:pPr>
              <w:pStyle w:val="Compact"/>
              <w:jc w:val="left"/>
            </w:pPr>
            <w:r>
              <w:t xml:space="preserve">0.107</w:t>
            </w:r>
          </w:p>
        </w:tc>
        <w:tc>
          <w:tcPr/>
          <w:p>
            <w:pPr>
              <w:pStyle w:val="Compact"/>
              <w:jc w:val="left"/>
            </w:pPr>
            <w:r>
              <w:t xml:space="preserve">-0.010</w:t>
            </w:r>
          </w:p>
        </w:tc>
      </w:tr>
      <w:tr>
        <w:tc>
          <w:tcPr/>
          <w:p>
            <w:pPr>
              <w:pStyle w:val="Compact"/>
              <w:jc w:val="left"/>
            </w:pPr>
            <w:r>
              <w:t xml:space="preserve">Creatinine, mean (SD), mg/dL</w:t>
            </w:r>
          </w:p>
        </w:tc>
        <w:tc>
          <w:tcPr/>
          <w:p>
            <w:pPr>
              <w:pStyle w:val="Compact"/>
              <w:jc w:val="left"/>
            </w:pPr>
            <w:r>
              <w:t xml:space="preserve">1.3 (1.1)</w:t>
            </w:r>
          </w:p>
        </w:tc>
        <w:tc>
          <w:tcPr/>
          <w:p>
            <w:pPr>
              <w:pStyle w:val="Compact"/>
              <w:jc w:val="left"/>
            </w:pPr>
            <w:r>
              <w:t xml:space="preserve">1.5 (1.5)</w:t>
            </w:r>
          </w:p>
        </w:tc>
        <w:tc>
          <w:tcPr/>
          <w:p>
            <w:pPr>
              <w:pStyle w:val="Compact"/>
              <w:jc w:val="left"/>
            </w:pPr>
            <w:r>
              <w:t xml:space="preserve">-0.151</w:t>
            </w:r>
          </w:p>
        </w:tc>
        <w:tc>
          <w:tcPr/>
          <w:p>
            <w:pPr>
              <w:pStyle w:val="Compact"/>
              <w:jc w:val="left"/>
            </w:pPr>
            <w:r>
              <w:t xml:space="preserve">0.088</w:t>
            </w:r>
          </w:p>
        </w:tc>
      </w:tr>
      <w:tr>
        <w:tc>
          <w:tcPr/>
          <w:p>
            <w:pPr>
              <w:pStyle w:val="Compact"/>
              <w:jc w:val="left"/>
            </w:pPr>
            <w:r>
              <w:t xml:space="preserve">eGFR, mean (SD), mL/min/1.73m^2</w:t>
            </w:r>
          </w:p>
        </w:tc>
        <w:tc>
          <w:tcPr/>
          <w:p>
            <w:pPr>
              <w:pStyle w:val="Compact"/>
              <w:jc w:val="left"/>
            </w:pPr>
            <w:r>
              <w:t xml:space="preserve">61.7 (24.6)</w:t>
            </w:r>
          </w:p>
        </w:tc>
        <w:tc>
          <w:tcPr/>
          <w:p>
            <w:pPr>
              <w:pStyle w:val="Compact"/>
              <w:jc w:val="left"/>
            </w:pPr>
            <w:r>
              <w:t xml:space="preserve">59.7 (28.8)</w:t>
            </w:r>
          </w:p>
        </w:tc>
        <w:tc>
          <w:tcPr/>
          <w:p>
            <w:pPr>
              <w:pStyle w:val="Compact"/>
              <w:jc w:val="left"/>
            </w:pPr>
            <w:r>
              <w:t xml:space="preserve">0.077</w:t>
            </w:r>
          </w:p>
        </w:tc>
        <w:tc>
          <w:tcPr/>
          <w:p>
            <w:pPr>
              <w:pStyle w:val="Compact"/>
              <w:jc w:val="left"/>
            </w:pPr>
            <w:r>
              <w:t xml:space="preserve">-0.035</w:t>
            </w:r>
          </w:p>
        </w:tc>
      </w:tr>
      <w:tr>
        <w:tc>
          <w:tcPr/>
          <w:p>
            <w:pPr>
              <w:pStyle w:val="Compact"/>
              <w:jc w:val="left"/>
            </w:pPr>
            <w:r>
              <w:t xml:space="preserve">Hemoglobin, mean (SD), g/dL</w:t>
            </w:r>
          </w:p>
        </w:tc>
        <w:tc>
          <w:tcPr/>
          <w:p>
            <w:pPr>
              <w:pStyle w:val="Compact"/>
              <w:jc w:val="left"/>
            </w:pPr>
            <w:r>
              <w:t xml:space="preserve">11.3 (1.8)</w:t>
            </w:r>
          </w:p>
        </w:tc>
        <w:tc>
          <w:tcPr/>
          <w:p>
            <w:pPr>
              <w:pStyle w:val="Compact"/>
              <w:jc w:val="left"/>
            </w:pPr>
            <w:r>
              <w:t xml:space="preserve">10.7 (1.9)</w:t>
            </w:r>
          </w:p>
        </w:tc>
        <w:tc>
          <w:tcPr/>
          <w:p>
            <w:pPr>
              <w:pStyle w:val="Compact"/>
              <w:jc w:val="left"/>
            </w:pPr>
            <w:r>
              <w:t xml:space="preserve">0.293</w:t>
            </w:r>
          </w:p>
        </w:tc>
        <w:tc>
          <w:tcPr/>
          <w:p>
            <w:pPr>
              <w:pStyle w:val="Compact"/>
              <w:jc w:val="left"/>
            </w:pPr>
            <w:r>
              <w:t xml:space="preserve">0.018</w:t>
            </w:r>
          </w:p>
        </w:tc>
      </w:tr>
      <w:tr>
        <w:tc>
          <w:tcPr/>
          <w:p>
            <w:pPr>
              <w:pStyle w:val="Compact"/>
              <w:jc w:val="left"/>
            </w:pPr>
            <w:r>
              <w:t xml:space="preserve">Chloride, mean (SD), mEq/L</w:t>
            </w:r>
          </w:p>
        </w:tc>
        <w:tc>
          <w:tcPr/>
          <w:p>
            <w:pPr>
              <w:pStyle w:val="Compact"/>
              <w:jc w:val="left"/>
            </w:pPr>
            <w:r>
              <w:t xml:space="preserve">101.7 (4.3)</w:t>
            </w:r>
          </w:p>
        </w:tc>
        <w:tc>
          <w:tcPr/>
          <w:p>
            <w:pPr>
              <w:pStyle w:val="Compact"/>
              <w:jc w:val="left"/>
            </w:pPr>
            <w:r>
              <w:t xml:space="preserve">102.1 (4.7)</w:t>
            </w:r>
          </w:p>
        </w:tc>
        <w:tc>
          <w:tcPr/>
          <w:p>
            <w:pPr>
              <w:pStyle w:val="Compact"/>
              <w:jc w:val="left"/>
            </w:pPr>
            <w:r>
              <w:t xml:space="preserve">-0.101</w:t>
            </w:r>
          </w:p>
        </w:tc>
        <w:tc>
          <w:tcPr/>
          <w:p>
            <w:pPr>
              <w:pStyle w:val="Compact"/>
              <w:jc w:val="left"/>
            </w:pPr>
            <w:r>
              <w:t xml:space="preserve">-0.040</w:t>
            </w:r>
          </w:p>
        </w:tc>
      </w:tr>
      <w:tr>
        <w:tc>
          <w:tcPr/>
          <w:p>
            <w:pPr>
              <w:pStyle w:val="Compact"/>
              <w:jc w:val="left"/>
            </w:pPr>
            <w:r>
              <w:t xml:space="preserve">Potassium, mean (SD), mEq/L</w:t>
            </w:r>
          </w:p>
        </w:tc>
        <w:tc>
          <w:tcPr/>
          <w:p>
            <w:pPr>
              <w:pStyle w:val="Compact"/>
              <w:jc w:val="left"/>
            </w:pPr>
            <w:r>
              <w:t xml:space="preserve">4.2 (0.6)</w:t>
            </w:r>
          </w:p>
        </w:tc>
        <w:tc>
          <w:tcPr/>
          <w:p>
            <w:pPr>
              <w:pStyle w:val="Compact"/>
              <w:jc w:val="left"/>
            </w:pPr>
            <w:r>
              <w:t xml:space="preserve">4.2 (0.6)</w:t>
            </w:r>
          </w:p>
        </w:tc>
        <w:tc>
          <w:tcPr/>
          <w:p>
            <w:pPr>
              <w:pStyle w:val="Compact"/>
              <w:jc w:val="left"/>
            </w:pPr>
            <w:r>
              <w:t xml:space="preserve">-0.043</w:t>
            </w:r>
          </w:p>
        </w:tc>
        <w:tc>
          <w:tcPr/>
          <w:p>
            <w:pPr>
              <w:pStyle w:val="Compact"/>
              <w:jc w:val="left"/>
            </w:pPr>
            <w:r>
              <w:t xml:space="preserve">-0.025</w:t>
            </w:r>
          </w:p>
        </w:tc>
      </w:tr>
      <w:tr>
        <w:tc>
          <w:tcPr/>
          <w:p>
            <w:pPr>
              <w:pStyle w:val="Compact"/>
              <w:jc w:val="left"/>
            </w:pPr>
            <w:r>
              <w:t xml:space="preserve">Female, n (%)</w:t>
            </w:r>
          </w:p>
        </w:tc>
        <w:tc>
          <w:tcPr/>
          <w:p>
            <w:pPr>
              <w:pStyle w:val="Compact"/>
              <w:jc w:val="left"/>
            </w:pPr>
            <w:r>
              <w:t xml:space="preserve">752 (43.1%)</w:t>
            </w:r>
          </w:p>
        </w:tc>
        <w:tc>
          <w:tcPr/>
          <w:p>
            <w:pPr>
              <w:pStyle w:val="Compact"/>
              <w:jc w:val="left"/>
            </w:pPr>
            <w:r>
              <w:t xml:space="preserve">5950 (46.0%)</w:t>
            </w:r>
          </w:p>
        </w:tc>
        <w:tc>
          <w:tcPr/>
          <w:p>
            <w:pPr>
              <w:pStyle w:val="Compact"/>
              <w:jc w:val="left"/>
            </w:pPr>
            <w:r>
              <w:t xml:space="preserve">-0.058</w:t>
            </w:r>
          </w:p>
        </w:tc>
        <w:tc>
          <w:tcPr/>
          <w:p>
            <w:pPr>
              <w:pStyle w:val="Compact"/>
              <w:jc w:val="left"/>
            </w:pPr>
            <w:r>
              <w:t xml:space="preserve">0.001</w:t>
            </w:r>
          </w:p>
        </w:tc>
      </w:tr>
      <w:tr>
        <w:tc>
          <w:tcPr/>
          <w:p>
            <w:pPr>
              <w:pStyle w:val="Compact"/>
              <w:jc w:val="left"/>
            </w:pPr>
            <w:r>
              <w:t xml:space="preserve">Atrial fibrillation, n (%)</w:t>
            </w:r>
          </w:p>
        </w:tc>
        <w:tc>
          <w:tcPr/>
          <w:p>
            <w:pPr>
              <w:pStyle w:val="Compact"/>
              <w:jc w:val="left"/>
            </w:pPr>
            <w:r>
              <w:t xml:space="preserve">598 (34.3%)</w:t>
            </w:r>
          </w:p>
        </w:tc>
        <w:tc>
          <w:tcPr/>
          <w:p>
            <w:pPr>
              <w:pStyle w:val="Compact"/>
              <w:jc w:val="left"/>
            </w:pPr>
            <w:r>
              <w:t xml:space="preserve">4238 (32.8%)</w:t>
            </w:r>
          </w:p>
        </w:tc>
        <w:tc>
          <w:tcPr/>
          <w:p>
            <w:pPr>
              <w:pStyle w:val="Compact"/>
              <w:jc w:val="left"/>
            </w:pPr>
            <w:r>
              <w:t xml:space="preserve">0.032</w:t>
            </w:r>
          </w:p>
        </w:tc>
        <w:tc>
          <w:tcPr/>
          <w:p>
            <w:pPr>
              <w:pStyle w:val="Compact"/>
              <w:jc w:val="left"/>
            </w:pPr>
            <w:r>
              <w:t xml:space="preserve">-0.015</w:t>
            </w:r>
          </w:p>
        </w:tc>
      </w:tr>
      <w:tr>
        <w:tc>
          <w:tcPr/>
          <w:p>
            <w:pPr>
              <w:pStyle w:val="Compact"/>
              <w:jc w:val="left"/>
            </w:pPr>
            <w:r>
              <w:t xml:space="preserve">Left bundle branch block, n (%)</w:t>
            </w:r>
          </w:p>
        </w:tc>
        <w:tc>
          <w:tcPr/>
          <w:p>
            <w:pPr>
              <w:pStyle w:val="Compact"/>
              <w:jc w:val="left"/>
            </w:pPr>
            <w:r>
              <w:t xml:space="preserve">149 (8.5%)</w:t>
            </w:r>
          </w:p>
        </w:tc>
        <w:tc>
          <w:tcPr/>
          <w:p>
            <w:pPr>
              <w:pStyle w:val="Compact"/>
              <w:jc w:val="left"/>
            </w:pPr>
            <w:r>
              <w:t xml:space="preserve">911 (7.0%)</w:t>
            </w:r>
          </w:p>
        </w:tc>
        <w:tc>
          <w:tcPr/>
          <w:p>
            <w:pPr>
              <w:pStyle w:val="Compact"/>
              <w:jc w:val="left"/>
            </w:pPr>
            <w:r>
              <w:t xml:space="preserve">0.056</w:t>
            </w:r>
          </w:p>
        </w:tc>
        <w:tc>
          <w:tcPr/>
          <w:p>
            <w:pPr>
              <w:pStyle w:val="Compact"/>
              <w:jc w:val="left"/>
            </w:pPr>
            <w:r>
              <w:t xml:space="preserve">0.003</w:t>
            </w:r>
          </w:p>
        </w:tc>
      </w:tr>
      <w:tr>
        <w:tc>
          <w:tcPr/>
          <w:p>
            <w:pPr>
              <w:pStyle w:val="Compact"/>
              <w:jc w:val="left"/>
            </w:pPr>
            <w:r>
              <w:t xml:space="preserve">Prolonged QTc, n (%)</w:t>
            </w:r>
          </w:p>
        </w:tc>
        <w:tc>
          <w:tcPr/>
          <w:p>
            <w:pPr>
              <w:pStyle w:val="Compact"/>
              <w:jc w:val="left"/>
            </w:pPr>
            <w:r>
              <w:t xml:space="preserve">745 (42.7%)</w:t>
            </w:r>
          </w:p>
        </w:tc>
        <w:tc>
          <w:tcPr/>
          <w:p>
            <w:pPr>
              <w:pStyle w:val="Compact"/>
              <w:jc w:val="left"/>
            </w:pPr>
            <w:r>
              <w:t xml:space="preserve">4915 (38.0%)</w:t>
            </w:r>
          </w:p>
        </w:tc>
        <w:tc>
          <w:tcPr/>
          <w:p>
            <w:pPr>
              <w:pStyle w:val="Compact"/>
              <w:jc w:val="left"/>
            </w:pPr>
            <w:r>
              <w:t xml:space="preserve">0.096</w:t>
            </w:r>
          </w:p>
        </w:tc>
        <w:tc>
          <w:tcPr/>
          <w:p>
            <w:pPr>
              <w:pStyle w:val="Compact"/>
              <w:jc w:val="left"/>
            </w:pPr>
            <w:r>
              <w:t xml:space="preserve">-0.019</w:t>
            </w:r>
          </w:p>
        </w:tc>
      </w:tr>
      <w:tr>
        <w:tc>
          <w:tcPr/>
          <w:p>
            <w:pPr>
              <w:pStyle w:val="Compact"/>
              <w:jc w:val="left"/>
            </w:pPr>
            <w:r>
              <w:t xml:space="preserve">Wide QRS (&gt;=120 ms), n (%)</w:t>
            </w:r>
          </w:p>
        </w:tc>
        <w:tc>
          <w:tcPr/>
          <w:p>
            <w:pPr>
              <w:pStyle w:val="Compact"/>
              <w:jc w:val="left"/>
            </w:pPr>
            <w:r>
              <w:t xml:space="preserve">476 (27.3%)</w:t>
            </w:r>
          </w:p>
        </w:tc>
        <w:tc>
          <w:tcPr/>
          <w:p>
            <w:pPr>
              <w:pStyle w:val="Compact"/>
              <w:jc w:val="left"/>
            </w:pPr>
            <w:r>
              <w:t xml:space="preserve">3330 (25.8%)</w:t>
            </w:r>
          </w:p>
        </w:tc>
        <w:tc>
          <w:tcPr/>
          <w:p>
            <w:pPr>
              <w:pStyle w:val="Compact"/>
              <w:jc w:val="left"/>
            </w:pPr>
            <w:r>
              <w:t xml:space="preserve">0.035</w:t>
            </w:r>
          </w:p>
        </w:tc>
        <w:tc>
          <w:tcPr/>
          <w:p>
            <w:pPr>
              <w:pStyle w:val="Compact"/>
              <w:jc w:val="left"/>
            </w:pPr>
            <w:r>
              <w:t xml:space="preserve">-0.005</w:t>
            </w:r>
          </w:p>
        </w:tc>
      </w:tr>
      <w:tr>
        <w:tc>
          <w:tcPr/>
          <w:p>
            <w:pPr>
              <w:pStyle w:val="Compact"/>
              <w:jc w:val="left"/>
            </w:pPr>
            <w:r>
              <w:t xml:space="preserve">eGFR &lt;60 mL/min/1.73m^2, n (%)</w:t>
            </w:r>
          </w:p>
        </w:tc>
        <w:tc>
          <w:tcPr/>
          <w:p>
            <w:pPr>
              <w:pStyle w:val="Compact"/>
              <w:jc w:val="left"/>
            </w:pPr>
            <w:r>
              <w:t xml:space="preserve">827 (47.9%)</w:t>
            </w:r>
          </w:p>
        </w:tc>
        <w:tc>
          <w:tcPr/>
          <w:p>
            <w:pPr>
              <w:pStyle w:val="Compact"/>
              <w:jc w:val="left"/>
            </w:pPr>
            <w:r>
              <w:t xml:space="preserve">6329 (50.8%)</w:t>
            </w:r>
          </w:p>
        </w:tc>
        <w:tc>
          <w:tcPr/>
          <w:p>
            <w:pPr>
              <w:pStyle w:val="Compact"/>
              <w:jc w:val="left"/>
            </w:pPr>
            <w:r>
              <w:t xml:space="preserve">-0.058</w:t>
            </w:r>
          </w:p>
        </w:tc>
        <w:tc>
          <w:tcPr/>
          <w:p>
            <w:pPr>
              <w:pStyle w:val="Compact"/>
              <w:jc w:val="left"/>
            </w:pPr>
            <w:r>
              <w:t xml:space="preserve">0.046</w:t>
            </w:r>
          </w:p>
        </w:tc>
      </w:tr>
      <w:tr>
        <w:tc>
          <w:tcPr/>
          <w:p>
            <w:pPr>
              <w:pStyle w:val="Compact"/>
              <w:jc w:val="left"/>
            </w:pPr>
            <w:r>
              <w:t xml:space="preserve">Age &gt;=75 y, n (%)</w:t>
            </w:r>
          </w:p>
        </w:tc>
        <w:tc>
          <w:tcPr/>
          <w:p>
            <w:pPr>
              <w:pStyle w:val="Compact"/>
              <w:jc w:val="left"/>
            </w:pPr>
            <w:r>
              <w:t xml:space="preserve">725 (41.6%)</w:t>
            </w:r>
          </w:p>
        </w:tc>
        <w:tc>
          <w:tcPr/>
          <w:p>
            <w:pPr>
              <w:pStyle w:val="Compact"/>
              <w:jc w:val="left"/>
            </w:pPr>
            <w:r>
              <w:t xml:space="preserve">5954 (46.0%)</w:t>
            </w:r>
          </w:p>
        </w:tc>
        <w:tc>
          <w:tcPr/>
          <w:p>
            <w:pPr>
              <w:pStyle w:val="Compact"/>
              <w:jc w:val="left"/>
            </w:pPr>
            <w:r>
              <w:t xml:space="preserve">-0.090</w:t>
            </w:r>
          </w:p>
        </w:tc>
        <w:tc>
          <w:tcPr/>
          <w:p>
            <w:pPr>
              <w:pStyle w:val="Compact"/>
              <w:jc w:val="left"/>
            </w:pPr>
            <w:r>
              <w:t xml:space="preserve">-0.001</w:t>
            </w:r>
          </w:p>
        </w:tc>
      </w:tr>
    </w:tbl>
    <w:bookmarkEnd w:id="25"/>
    <w:bookmarkStart w:id="26" w:name="X417f3abd4d8707945ab580bc1a993bc0136387b"/>
    <w:p>
      <w:pPr>
        <w:pStyle w:val="Heading2"/>
      </w:pPr>
      <w:r>
        <w:t xml:space="preserve">eTable 8. Held-out validation of the lookup table</w:t>
      </w:r>
    </w:p>
    <w:p>
      <w:pPr>
        <w:pStyle w:val="TableCaption"/>
      </w:pPr>
      <w:r>
        <w:t xml:space="preserve">eTable 8. Five-fold held-out validation of the BAF reliability lookup, for the seven reporting rules of Table 2.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w:t>
      </w:r>
    </w:p>
    <w:tbl>
      <w:tblPr>
        <w:tblStyle w:val="Table"/>
        <w:tblW w:type="pct" w:w="5000"/>
        <w:tblLayout w:type="fixed"/>
        <w:tblLook w:firstRow="1" w:lastRow="0" w:firstColumn="0" w:lastColumn="0" w:noHBand="0" w:noVBand="0" w:val="0020"/>
        <w:tblCaption w:val="eTable 8. Five-fold held-out validation of the BAF reliability lookup, for the seven reporting rules of Table 2.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
      </w:tblPr>
      <w:tblGrid>
        <w:gridCol w:w="1468"/>
        <w:gridCol w:w="262"/>
        <w:gridCol w:w="1573"/>
        <w:gridCol w:w="1363"/>
        <w:gridCol w:w="1101"/>
        <w:gridCol w:w="891"/>
        <w:gridCol w:w="1258"/>
      </w:tblGrid>
      <w:tr>
        <w:trPr>
          <w:tblHeader w:val="on"/>
        </w:trPr>
        <w:tc>
          <w:tcPr/>
          <w:p>
            <w:pPr>
              <w:pStyle w:val="Compact"/>
              <w:jc w:val="left"/>
            </w:pPr>
            <w:r>
              <w:t xml:space="preserve">Held out</w:t>
            </w:r>
          </w:p>
        </w:tc>
        <w:tc>
          <w:tcPr/>
          <w:p>
            <w:pPr>
              <w:pStyle w:val="Compact"/>
              <w:jc w:val="left"/>
            </w:pPr>
            <w:r>
              <w:t xml:space="preserve">Rule</w:t>
            </w:r>
          </w:p>
        </w:tc>
        <w:tc>
          <w:tcPr/>
          <w:p>
            <w:pPr>
              <w:pStyle w:val="Compact"/>
              <w:jc w:val="left"/>
            </w:pPr>
            <w:r>
              <w:t xml:space="preserve">Declared usable, training (%)</w:t>
            </w:r>
          </w:p>
        </w:tc>
        <w:tc>
          <w:tcPr/>
          <w:p>
            <w:pPr>
              <w:pStyle w:val="Compact"/>
              <w:jc w:val="left"/>
            </w:pPr>
            <w:r>
              <w:t xml:space="preserve">Declared usable, test (%)</w:t>
            </w:r>
          </w:p>
        </w:tc>
        <w:tc>
          <w:tcPr/>
          <w:p>
            <w:pPr>
              <w:pStyle w:val="Compact"/>
              <w:jc w:val="left"/>
            </w:pPr>
            <w:r>
              <w:t xml:space="preserve">Misuse, training (%)</w:t>
            </w:r>
          </w:p>
        </w:tc>
        <w:tc>
          <w:tcPr/>
          <w:p>
            <w:pPr>
              <w:pStyle w:val="Compact"/>
              <w:jc w:val="left"/>
            </w:pPr>
            <w:r>
              <w:t xml:space="preserve">Misuse, test (%)</w:t>
            </w:r>
          </w:p>
        </w:tc>
        <w:tc>
          <w:tcPr/>
          <w:p>
            <w:pPr>
              <w:pStyle w:val="Compact"/>
              <w:jc w:val="left"/>
            </w:pPr>
            <w:r>
              <w:t xml:space="preserve">Misuse across folds (%)</w:t>
            </w:r>
          </w:p>
        </w:tc>
      </w:tr>
      <w:tr>
        <w:tc>
          <w:tcPr/>
          <w:p>
            <w:pPr>
              <w:pStyle w:val="Compact"/>
              <w:jc w:val="left"/>
            </w:pPr>
            <w:r>
              <w:t xml:space="preserve">20% of repetitions held out</w:t>
            </w:r>
          </w:p>
        </w:tc>
        <w:tc>
          <w:tcPr/>
          <w:p>
            <w:pPr>
              <w:pStyle w:val="Compact"/>
              <w:jc w:val="left"/>
            </w:pPr>
            <w:r>
              <w:t xml:space="preserve">R0</w:t>
            </w:r>
          </w:p>
        </w:tc>
        <w:tc>
          <w:tcPr/>
          <w:p>
            <w:pPr>
              <w:pStyle w:val="Compact"/>
              <w:jc w:val="left"/>
            </w:pPr>
            <w:r>
              <w:t xml:space="preserve">67.7%</w:t>
            </w:r>
          </w:p>
        </w:tc>
        <w:tc>
          <w:tcPr/>
          <w:p>
            <w:pPr>
              <w:pStyle w:val="Compact"/>
              <w:jc w:val="left"/>
            </w:pPr>
            <w:r>
              <w:t xml:space="preserve">67.7%</w:t>
            </w:r>
          </w:p>
        </w:tc>
        <w:tc>
          <w:tcPr/>
          <w:p>
            <w:pPr>
              <w:pStyle w:val="Compact"/>
              <w:jc w:val="left"/>
            </w:pPr>
            <w:r>
              <w:t xml:space="preserve">53.44%</w:t>
            </w:r>
          </w:p>
        </w:tc>
        <w:tc>
          <w:tcPr/>
          <w:p>
            <w:pPr>
              <w:pStyle w:val="Compact"/>
              <w:jc w:val="left"/>
            </w:pPr>
            <w:r>
              <w:t xml:space="preserve">53.44%</w:t>
            </w:r>
          </w:p>
        </w:tc>
        <w:tc>
          <w:tcPr/>
          <w:p>
            <w:pPr>
              <w:pStyle w:val="Compact"/>
              <w:jc w:val="left"/>
            </w:pPr>
            <w:r>
              <w:t xml:space="preserve">53.3–53.6</w:t>
            </w:r>
          </w:p>
        </w:tc>
      </w:tr>
      <w:tr>
        <w:tc>
          <w:tcPr/>
          <w:p>
            <w:pPr>
              <w:pStyle w:val="Compact"/>
              <w:jc w:val="left"/>
            </w:pPr>
            <w:r>
              <w:t xml:space="preserve">20% of repetitions held out</w:t>
            </w:r>
          </w:p>
        </w:tc>
        <w:tc>
          <w:tcPr/>
          <w:p>
            <w:pPr>
              <w:pStyle w:val="Compact"/>
              <w:jc w:val="left"/>
            </w:pPr>
            <w:r>
              <w:t xml:space="preserve">R1</w:t>
            </w:r>
          </w:p>
        </w:tc>
        <w:tc>
          <w:tcPr/>
          <w:p>
            <w:pPr>
              <w:pStyle w:val="Compact"/>
              <w:jc w:val="left"/>
            </w:pPr>
            <w:r>
              <w:t xml:space="preserve">61.8%</w:t>
            </w:r>
          </w:p>
        </w:tc>
        <w:tc>
          <w:tcPr/>
          <w:p>
            <w:pPr>
              <w:pStyle w:val="Compact"/>
              <w:jc w:val="left"/>
            </w:pPr>
            <w:r>
              <w:t xml:space="preserve">61.8%</w:t>
            </w:r>
          </w:p>
        </w:tc>
        <w:tc>
          <w:tcPr/>
          <w:p>
            <w:pPr>
              <w:pStyle w:val="Compact"/>
              <w:jc w:val="left"/>
            </w:pPr>
            <w:r>
              <w:t xml:space="preserve">36.02%</w:t>
            </w:r>
          </w:p>
        </w:tc>
        <w:tc>
          <w:tcPr/>
          <w:p>
            <w:pPr>
              <w:pStyle w:val="Compact"/>
              <w:jc w:val="left"/>
            </w:pPr>
            <w:r>
              <w:t xml:space="preserve">36.02%</w:t>
            </w:r>
          </w:p>
        </w:tc>
        <w:tc>
          <w:tcPr/>
          <w:p>
            <w:pPr>
              <w:pStyle w:val="Compact"/>
              <w:jc w:val="left"/>
            </w:pPr>
            <w:r>
              <w:t xml:space="preserve">35.9–36.1</w:t>
            </w:r>
          </w:p>
        </w:tc>
      </w:tr>
      <w:tr>
        <w:tc>
          <w:tcPr/>
          <w:p>
            <w:pPr>
              <w:pStyle w:val="Compact"/>
              <w:jc w:val="left"/>
            </w:pPr>
            <w:r>
              <w:t xml:space="preserve">20% of repetitions held out</w:t>
            </w:r>
          </w:p>
        </w:tc>
        <w:tc>
          <w:tcPr/>
          <w:p>
            <w:pPr>
              <w:pStyle w:val="Compact"/>
              <w:jc w:val="left"/>
            </w:pPr>
            <w:r>
              <w:t xml:space="preserve">R2</w:t>
            </w:r>
          </w:p>
        </w:tc>
        <w:tc>
          <w:tcPr/>
          <w:p>
            <w:pPr>
              <w:pStyle w:val="Compact"/>
              <w:jc w:val="left"/>
            </w:pPr>
            <w:r>
              <w:t xml:space="preserve">44.2%</w:t>
            </w:r>
          </w:p>
        </w:tc>
        <w:tc>
          <w:tcPr/>
          <w:p>
            <w:pPr>
              <w:pStyle w:val="Compact"/>
              <w:jc w:val="left"/>
            </w:pPr>
            <w:r>
              <w:t xml:space="preserve">44.2%</w:t>
            </w:r>
          </w:p>
        </w:tc>
        <w:tc>
          <w:tcPr/>
          <w:p>
            <w:pPr>
              <w:pStyle w:val="Compact"/>
              <w:jc w:val="left"/>
            </w:pPr>
            <w:r>
              <w:t xml:space="preserve">16.48%</w:t>
            </w:r>
          </w:p>
        </w:tc>
        <w:tc>
          <w:tcPr/>
          <w:p>
            <w:pPr>
              <w:pStyle w:val="Compact"/>
              <w:jc w:val="left"/>
            </w:pPr>
            <w:r>
              <w:t xml:space="preserve">16.48%</w:t>
            </w:r>
          </w:p>
        </w:tc>
        <w:tc>
          <w:tcPr/>
          <w:p>
            <w:pPr>
              <w:pStyle w:val="Compact"/>
              <w:jc w:val="left"/>
            </w:pPr>
            <w:r>
              <w:t xml:space="preserve">16.3–16.6</w:t>
            </w:r>
          </w:p>
        </w:tc>
      </w:tr>
      <w:tr>
        <w:tc>
          <w:tcPr/>
          <w:p>
            <w:pPr>
              <w:pStyle w:val="Compact"/>
              <w:jc w:val="left"/>
            </w:pPr>
            <w:r>
              <w:t xml:space="preserve">20% of repetitions held out</w:t>
            </w:r>
          </w:p>
        </w:tc>
        <w:tc>
          <w:tcPr/>
          <w:p>
            <w:pPr>
              <w:pStyle w:val="Compact"/>
              <w:jc w:val="left"/>
            </w:pPr>
            <w:r>
              <w:t xml:space="preserve">R3</w:t>
            </w:r>
          </w:p>
        </w:tc>
        <w:tc>
          <w:tcPr/>
          <w:p>
            <w:pPr>
              <w:pStyle w:val="Compact"/>
              <w:jc w:val="left"/>
            </w:pPr>
            <w:r>
              <w:t xml:space="preserve">35.5%</w:t>
            </w:r>
          </w:p>
        </w:tc>
        <w:tc>
          <w:tcPr/>
          <w:p>
            <w:pPr>
              <w:pStyle w:val="Compact"/>
              <w:jc w:val="left"/>
            </w:pPr>
            <w:r>
              <w:t xml:space="preserve">35.5%</w:t>
            </w:r>
          </w:p>
        </w:tc>
        <w:tc>
          <w:tcPr/>
          <w:p>
            <w:pPr>
              <w:pStyle w:val="Compact"/>
              <w:jc w:val="left"/>
            </w:pPr>
            <w:r>
              <w:t xml:space="preserve">10.16%</w:t>
            </w:r>
          </w:p>
        </w:tc>
        <w:tc>
          <w:tcPr/>
          <w:p>
            <w:pPr>
              <w:pStyle w:val="Compact"/>
              <w:jc w:val="left"/>
            </w:pPr>
            <w:r>
              <w:t xml:space="preserve">10.16%</w:t>
            </w:r>
          </w:p>
        </w:tc>
        <w:tc>
          <w:tcPr/>
          <w:p>
            <w:pPr>
              <w:pStyle w:val="Compact"/>
              <w:jc w:val="left"/>
            </w:pPr>
            <w:r>
              <w:t xml:space="preserve">10.1–10.3</w:t>
            </w:r>
          </w:p>
        </w:tc>
      </w:tr>
      <w:tr>
        <w:tc>
          <w:tcPr/>
          <w:p>
            <w:pPr>
              <w:pStyle w:val="Compact"/>
              <w:jc w:val="left"/>
            </w:pPr>
            <w:r>
              <w:t xml:space="preserve">20% of repetitions held out</w:t>
            </w:r>
          </w:p>
        </w:tc>
        <w:tc>
          <w:tcPr/>
          <w:p>
            <w:pPr>
              <w:pStyle w:val="Compact"/>
              <w:jc w:val="left"/>
            </w:pPr>
            <w:r>
              <w:t xml:space="preserve">R4</w:t>
            </w:r>
          </w:p>
        </w:tc>
        <w:tc>
          <w:tcPr/>
          <w:p>
            <w:pPr>
              <w:pStyle w:val="Compact"/>
              <w:jc w:val="left"/>
            </w:pPr>
            <w:r>
              <w:t xml:space="preserve">22.1%</w:t>
            </w:r>
          </w:p>
        </w:tc>
        <w:tc>
          <w:tcPr/>
          <w:p>
            <w:pPr>
              <w:pStyle w:val="Compact"/>
              <w:jc w:val="left"/>
            </w:pPr>
            <w:r>
              <w:t xml:space="preserve">22.1%</w:t>
            </w:r>
          </w:p>
        </w:tc>
        <w:tc>
          <w:tcPr/>
          <w:p>
            <w:pPr>
              <w:pStyle w:val="Compact"/>
              <w:jc w:val="left"/>
            </w:pPr>
            <w:r>
              <w:t xml:space="preserve">3.02%</w:t>
            </w:r>
          </w:p>
        </w:tc>
        <w:tc>
          <w:tcPr/>
          <w:p>
            <w:pPr>
              <w:pStyle w:val="Compact"/>
              <w:jc w:val="left"/>
            </w:pPr>
            <w:r>
              <w:t xml:space="preserve">3.02%</w:t>
            </w:r>
          </w:p>
        </w:tc>
        <w:tc>
          <w:tcPr/>
          <w:p>
            <w:pPr>
              <w:pStyle w:val="Compact"/>
              <w:jc w:val="left"/>
            </w:pPr>
            <w:r>
              <w:t xml:space="preserve">2.9–3.1</w:t>
            </w:r>
          </w:p>
        </w:tc>
      </w:tr>
      <w:tr>
        <w:tc>
          <w:tcPr/>
          <w:p>
            <w:pPr>
              <w:pStyle w:val="Compact"/>
              <w:jc w:val="left"/>
            </w:pPr>
            <w:r>
              <w:t xml:space="preserve">20% of repetitions held out</w:t>
            </w:r>
          </w:p>
        </w:tc>
        <w:tc>
          <w:tcPr/>
          <w:p>
            <w:pPr>
              <w:pStyle w:val="Compact"/>
              <w:jc w:val="left"/>
            </w:pPr>
            <w:r>
              <w:t xml:space="preserve">C1</w:t>
            </w:r>
          </w:p>
        </w:tc>
        <w:tc>
          <w:tcPr/>
          <w:p>
            <w:pPr>
              <w:pStyle w:val="Compact"/>
              <w:jc w:val="left"/>
            </w:pPr>
            <w:r>
              <w:t xml:space="preserve">51.3%</w:t>
            </w:r>
          </w:p>
        </w:tc>
        <w:tc>
          <w:tcPr/>
          <w:p>
            <w:pPr>
              <w:pStyle w:val="Compact"/>
              <w:jc w:val="left"/>
            </w:pPr>
            <w:r>
              <w:t xml:space="preserve">51.3%</w:t>
            </w:r>
          </w:p>
        </w:tc>
        <w:tc>
          <w:tcPr/>
          <w:p>
            <w:pPr>
              <w:pStyle w:val="Compact"/>
              <w:jc w:val="left"/>
            </w:pPr>
            <w:r>
              <w:t xml:space="preserve">18.69%</w:t>
            </w:r>
          </w:p>
        </w:tc>
        <w:tc>
          <w:tcPr/>
          <w:p>
            <w:pPr>
              <w:pStyle w:val="Compact"/>
              <w:jc w:val="left"/>
            </w:pPr>
            <w:r>
              <w:t xml:space="preserve">18.69%</w:t>
            </w:r>
          </w:p>
        </w:tc>
        <w:tc>
          <w:tcPr/>
          <w:p>
            <w:pPr>
              <w:pStyle w:val="Compact"/>
              <w:jc w:val="left"/>
            </w:pPr>
            <w:r>
              <w:t xml:space="preserve">18.5–18.8</w:t>
            </w:r>
          </w:p>
        </w:tc>
      </w:tr>
      <w:tr>
        <w:tc>
          <w:tcPr/>
          <w:p>
            <w:pPr>
              <w:pStyle w:val="Compact"/>
              <w:jc w:val="left"/>
            </w:pPr>
            <w:r>
              <w:t xml:space="preserve">20% of repetitions held out</w:t>
            </w:r>
          </w:p>
        </w:tc>
        <w:tc>
          <w:tcPr/>
          <w:p>
            <w:pPr>
              <w:pStyle w:val="Compact"/>
              <w:jc w:val="left"/>
            </w:pPr>
            <w:r>
              <w:t xml:space="preserve">C2</w:t>
            </w:r>
          </w:p>
        </w:tc>
        <w:tc>
          <w:tcPr/>
          <w:p>
            <w:pPr>
              <w:pStyle w:val="Compact"/>
              <w:jc w:val="left"/>
            </w:pPr>
            <w:r>
              <w:t xml:space="preserve">38.7%</w:t>
            </w:r>
          </w:p>
        </w:tc>
        <w:tc>
          <w:tcPr/>
          <w:p>
            <w:pPr>
              <w:pStyle w:val="Compact"/>
              <w:jc w:val="left"/>
            </w:pPr>
            <w:r>
              <w:t xml:space="preserve">38.7%</w:t>
            </w:r>
          </w:p>
        </w:tc>
        <w:tc>
          <w:tcPr/>
          <w:p>
            <w:pPr>
              <w:pStyle w:val="Compact"/>
              <w:jc w:val="left"/>
            </w:pPr>
            <w:r>
              <w:t xml:space="preserve">11.04%</w:t>
            </w:r>
          </w:p>
        </w:tc>
        <w:tc>
          <w:tcPr/>
          <w:p>
            <w:pPr>
              <w:pStyle w:val="Compact"/>
              <w:jc w:val="left"/>
            </w:pPr>
            <w:r>
              <w:t xml:space="preserve">11.04%</w:t>
            </w:r>
          </w:p>
        </w:tc>
        <w:tc>
          <w:tcPr/>
          <w:p>
            <w:pPr>
              <w:pStyle w:val="Compact"/>
              <w:jc w:val="left"/>
            </w:pPr>
            <w:r>
              <w:t xml:space="preserve">11.0–11.1</w:t>
            </w:r>
          </w:p>
        </w:tc>
      </w:tr>
      <w:tr>
        <w:tc>
          <w:tcPr/>
          <w:p>
            <w:pPr>
              <w:pStyle w:val="Compact"/>
              <w:jc w:val="left"/>
            </w:pPr>
            <w:r>
              <w:t xml:space="preserve">20% of conditions held out</w:t>
            </w:r>
          </w:p>
        </w:tc>
        <w:tc>
          <w:tcPr/>
          <w:p>
            <w:pPr>
              <w:pStyle w:val="Compact"/>
              <w:jc w:val="left"/>
            </w:pPr>
            <w:r>
              <w:t xml:space="preserve">R0</w:t>
            </w:r>
          </w:p>
        </w:tc>
        <w:tc>
          <w:tcPr/>
          <w:p>
            <w:pPr>
              <w:pStyle w:val="Compact"/>
              <w:jc w:val="left"/>
            </w:pPr>
            <w:r>
              <w:t xml:space="preserve">67.7%</w:t>
            </w:r>
          </w:p>
        </w:tc>
        <w:tc>
          <w:tcPr/>
          <w:p>
            <w:pPr>
              <w:pStyle w:val="Compact"/>
              <w:jc w:val="left"/>
            </w:pPr>
            <w:r>
              <w:t xml:space="preserve">67.7%</w:t>
            </w:r>
          </w:p>
        </w:tc>
        <w:tc>
          <w:tcPr/>
          <w:p>
            <w:pPr>
              <w:pStyle w:val="Compact"/>
              <w:jc w:val="left"/>
            </w:pPr>
            <w:r>
              <w:t xml:space="preserve">53.44%</w:t>
            </w:r>
          </w:p>
        </w:tc>
        <w:tc>
          <w:tcPr/>
          <w:p>
            <w:pPr>
              <w:pStyle w:val="Compact"/>
              <w:jc w:val="left"/>
            </w:pPr>
            <w:r>
              <w:t xml:space="preserve">53.47%</w:t>
            </w:r>
          </w:p>
        </w:tc>
        <w:tc>
          <w:tcPr/>
          <w:p>
            <w:pPr>
              <w:pStyle w:val="Compact"/>
              <w:jc w:val="left"/>
            </w:pPr>
            <w:r>
              <w:t xml:space="preserve">50.5–55.2</w:t>
            </w:r>
          </w:p>
        </w:tc>
      </w:tr>
      <w:tr>
        <w:tc>
          <w:tcPr/>
          <w:p>
            <w:pPr>
              <w:pStyle w:val="Compact"/>
              <w:jc w:val="left"/>
            </w:pPr>
            <w:r>
              <w:t xml:space="preserve">20% of conditions held out</w:t>
            </w:r>
          </w:p>
        </w:tc>
        <w:tc>
          <w:tcPr/>
          <w:p>
            <w:pPr>
              <w:pStyle w:val="Compact"/>
              <w:jc w:val="left"/>
            </w:pPr>
            <w:r>
              <w:t xml:space="preserve">R1</w:t>
            </w:r>
          </w:p>
        </w:tc>
        <w:tc>
          <w:tcPr/>
          <w:p>
            <w:pPr>
              <w:pStyle w:val="Compact"/>
              <w:jc w:val="left"/>
            </w:pPr>
            <w:r>
              <w:t xml:space="preserve">61.8%</w:t>
            </w:r>
          </w:p>
        </w:tc>
        <w:tc>
          <w:tcPr/>
          <w:p>
            <w:pPr>
              <w:pStyle w:val="Compact"/>
              <w:jc w:val="left"/>
            </w:pPr>
            <w:r>
              <w:t xml:space="preserve">61.8%</w:t>
            </w:r>
          </w:p>
        </w:tc>
        <w:tc>
          <w:tcPr/>
          <w:p>
            <w:pPr>
              <w:pStyle w:val="Compact"/>
              <w:jc w:val="left"/>
            </w:pPr>
            <w:r>
              <w:t xml:space="preserve">36.02%</w:t>
            </w:r>
          </w:p>
        </w:tc>
        <w:tc>
          <w:tcPr/>
          <w:p>
            <w:pPr>
              <w:pStyle w:val="Compact"/>
              <w:jc w:val="left"/>
            </w:pPr>
            <w:r>
              <w:t xml:space="preserve">36.03%</w:t>
            </w:r>
          </w:p>
        </w:tc>
        <w:tc>
          <w:tcPr/>
          <w:p>
            <w:pPr>
              <w:pStyle w:val="Compact"/>
              <w:jc w:val="left"/>
            </w:pPr>
            <w:r>
              <w:t xml:space="preserve">32.0–38.4</w:t>
            </w:r>
          </w:p>
        </w:tc>
      </w:tr>
      <w:tr>
        <w:tc>
          <w:tcPr/>
          <w:p>
            <w:pPr>
              <w:pStyle w:val="Compact"/>
              <w:jc w:val="left"/>
            </w:pPr>
            <w:r>
              <w:t xml:space="preserve">20% of conditions held out</w:t>
            </w:r>
          </w:p>
        </w:tc>
        <w:tc>
          <w:tcPr/>
          <w:p>
            <w:pPr>
              <w:pStyle w:val="Compact"/>
              <w:jc w:val="left"/>
            </w:pPr>
            <w:r>
              <w:t xml:space="preserve">R2</w:t>
            </w:r>
          </w:p>
        </w:tc>
        <w:tc>
          <w:tcPr/>
          <w:p>
            <w:pPr>
              <w:pStyle w:val="Compact"/>
              <w:jc w:val="left"/>
            </w:pPr>
            <w:r>
              <w:t xml:space="preserve">44.2%</w:t>
            </w:r>
          </w:p>
        </w:tc>
        <w:tc>
          <w:tcPr/>
          <w:p>
            <w:pPr>
              <w:pStyle w:val="Compact"/>
              <w:jc w:val="left"/>
            </w:pPr>
            <w:r>
              <w:t xml:space="preserve">44.2%</w:t>
            </w:r>
          </w:p>
        </w:tc>
        <w:tc>
          <w:tcPr/>
          <w:p>
            <w:pPr>
              <w:pStyle w:val="Compact"/>
              <w:jc w:val="left"/>
            </w:pPr>
            <w:r>
              <w:t xml:space="preserve">16.48%</w:t>
            </w:r>
          </w:p>
        </w:tc>
        <w:tc>
          <w:tcPr/>
          <w:p>
            <w:pPr>
              <w:pStyle w:val="Compact"/>
              <w:jc w:val="left"/>
            </w:pPr>
            <w:r>
              <w:t xml:space="preserve">16.52%</w:t>
            </w:r>
          </w:p>
        </w:tc>
        <w:tc>
          <w:tcPr/>
          <w:p>
            <w:pPr>
              <w:pStyle w:val="Compact"/>
              <w:jc w:val="left"/>
            </w:pPr>
            <w:r>
              <w:t xml:space="preserve">14.5–18.6</w:t>
            </w:r>
          </w:p>
        </w:tc>
      </w:tr>
      <w:tr>
        <w:tc>
          <w:tcPr/>
          <w:p>
            <w:pPr>
              <w:pStyle w:val="Compact"/>
              <w:jc w:val="left"/>
            </w:pPr>
            <w:r>
              <w:t xml:space="preserve">20% of conditions held out</w:t>
            </w:r>
          </w:p>
        </w:tc>
        <w:tc>
          <w:tcPr/>
          <w:p>
            <w:pPr>
              <w:pStyle w:val="Compact"/>
              <w:jc w:val="left"/>
            </w:pPr>
            <w:r>
              <w:t xml:space="preserve">R3</w:t>
            </w:r>
          </w:p>
        </w:tc>
        <w:tc>
          <w:tcPr/>
          <w:p>
            <w:pPr>
              <w:pStyle w:val="Compact"/>
              <w:jc w:val="left"/>
            </w:pPr>
            <w:r>
              <w:t xml:space="preserve">35.5%</w:t>
            </w:r>
          </w:p>
        </w:tc>
        <w:tc>
          <w:tcPr/>
          <w:p>
            <w:pPr>
              <w:pStyle w:val="Compact"/>
              <w:jc w:val="left"/>
            </w:pPr>
            <w:r>
              <w:t xml:space="preserve">35.5%</w:t>
            </w:r>
          </w:p>
        </w:tc>
        <w:tc>
          <w:tcPr/>
          <w:p>
            <w:pPr>
              <w:pStyle w:val="Compact"/>
              <w:jc w:val="left"/>
            </w:pPr>
            <w:r>
              <w:t xml:space="preserve">10.16%</w:t>
            </w:r>
          </w:p>
        </w:tc>
        <w:tc>
          <w:tcPr/>
          <w:p>
            <w:pPr>
              <w:pStyle w:val="Compact"/>
              <w:jc w:val="left"/>
            </w:pPr>
            <w:r>
              <w:t xml:space="preserve">10.24%</w:t>
            </w:r>
          </w:p>
        </w:tc>
        <w:tc>
          <w:tcPr/>
          <w:p>
            <w:pPr>
              <w:pStyle w:val="Compact"/>
              <w:jc w:val="left"/>
            </w:pPr>
            <w:r>
              <w:t xml:space="preserve">8.1–12.7</w:t>
            </w:r>
          </w:p>
        </w:tc>
      </w:tr>
      <w:tr>
        <w:tc>
          <w:tcPr/>
          <w:p>
            <w:pPr>
              <w:pStyle w:val="Compact"/>
              <w:jc w:val="left"/>
            </w:pPr>
            <w:r>
              <w:t xml:space="preserve">20% of conditions held out</w:t>
            </w:r>
          </w:p>
        </w:tc>
        <w:tc>
          <w:tcPr/>
          <w:p>
            <w:pPr>
              <w:pStyle w:val="Compact"/>
              <w:jc w:val="left"/>
            </w:pPr>
            <w:r>
              <w:t xml:space="preserve">R4</w:t>
            </w:r>
          </w:p>
        </w:tc>
        <w:tc>
          <w:tcPr/>
          <w:p>
            <w:pPr>
              <w:pStyle w:val="Compact"/>
              <w:jc w:val="left"/>
            </w:pPr>
            <w:r>
              <w:t xml:space="preserve">20.7%</w:t>
            </w:r>
          </w:p>
        </w:tc>
        <w:tc>
          <w:tcPr/>
          <w:p>
            <w:pPr>
              <w:pStyle w:val="Compact"/>
              <w:jc w:val="left"/>
            </w:pPr>
            <w:r>
              <w:t xml:space="preserve">20.4%</w:t>
            </w:r>
          </w:p>
        </w:tc>
        <w:tc>
          <w:tcPr/>
          <w:p>
            <w:pPr>
              <w:pStyle w:val="Compact"/>
              <w:jc w:val="left"/>
            </w:pPr>
            <w:r>
              <w:t xml:space="preserve">2.68%</w:t>
            </w:r>
          </w:p>
        </w:tc>
        <w:tc>
          <w:tcPr/>
          <w:p>
            <w:pPr>
              <w:pStyle w:val="Compact"/>
              <w:jc w:val="left"/>
            </w:pPr>
            <w:r>
              <w:t xml:space="preserve">2.80%</w:t>
            </w:r>
          </w:p>
        </w:tc>
        <w:tc>
          <w:tcPr/>
          <w:p>
            <w:pPr>
              <w:pStyle w:val="Compact"/>
              <w:jc w:val="left"/>
            </w:pPr>
            <w:r>
              <w:t xml:space="preserve">0.8–4.0</w:t>
            </w:r>
          </w:p>
        </w:tc>
      </w:tr>
      <w:tr>
        <w:tc>
          <w:tcPr/>
          <w:p>
            <w:pPr>
              <w:pStyle w:val="Compact"/>
              <w:jc w:val="left"/>
            </w:pPr>
            <w:r>
              <w:t xml:space="preserve">20% of conditions held out</w:t>
            </w:r>
          </w:p>
        </w:tc>
        <w:tc>
          <w:tcPr/>
          <w:p>
            <w:pPr>
              <w:pStyle w:val="Compact"/>
              <w:jc w:val="left"/>
            </w:pPr>
            <w:r>
              <w:t xml:space="preserve">C1</w:t>
            </w:r>
          </w:p>
        </w:tc>
        <w:tc>
          <w:tcPr/>
          <w:p>
            <w:pPr>
              <w:pStyle w:val="Compact"/>
              <w:jc w:val="left"/>
            </w:pPr>
            <w:r>
              <w:t xml:space="preserve">51.3%</w:t>
            </w:r>
          </w:p>
        </w:tc>
        <w:tc>
          <w:tcPr/>
          <w:p>
            <w:pPr>
              <w:pStyle w:val="Compact"/>
              <w:jc w:val="left"/>
            </w:pPr>
            <w:r>
              <w:t xml:space="preserve">51.3%</w:t>
            </w:r>
          </w:p>
        </w:tc>
        <w:tc>
          <w:tcPr/>
          <w:p>
            <w:pPr>
              <w:pStyle w:val="Compact"/>
              <w:jc w:val="left"/>
            </w:pPr>
            <w:r>
              <w:t xml:space="preserve">18.70%</w:t>
            </w:r>
          </w:p>
        </w:tc>
        <w:tc>
          <w:tcPr/>
          <w:p>
            <w:pPr>
              <w:pStyle w:val="Compact"/>
              <w:jc w:val="left"/>
            </w:pPr>
            <w:r>
              <w:t xml:space="preserve">18.73%</w:t>
            </w:r>
          </w:p>
        </w:tc>
        <w:tc>
          <w:tcPr/>
          <w:p>
            <w:pPr>
              <w:pStyle w:val="Compact"/>
              <w:jc w:val="left"/>
            </w:pPr>
            <w:r>
              <w:t xml:space="preserve">16.9–21.6</w:t>
            </w:r>
          </w:p>
        </w:tc>
      </w:tr>
      <w:tr>
        <w:tc>
          <w:tcPr/>
          <w:p>
            <w:pPr>
              <w:pStyle w:val="Compact"/>
              <w:jc w:val="left"/>
            </w:pPr>
            <w:r>
              <w:t xml:space="preserve">20% of conditions held out</w:t>
            </w:r>
          </w:p>
        </w:tc>
        <w:tc>
          <w:tcPr/>
          <w:p>
            <w:pPr>
              <w:pStyle w:val="Compact"/>
              <w:jc w:val="left"/>
            </w:pPr>
            <w:r>
              <w:t xml:space="preserve">C2</w:t>
            </w:r>
          </w:p>
        </w:tc>
        <w:tc>
          <w:tcPr/>
          <w:p>
            <w:pPr>
              <w:pStyle w:val="Compact"/>
              <w:jc w:val="left"/>
            </w:pPr>
            <w:r>
              <w:t xml:space="preserve">38.7%</w:t>
            </w:r>
          </w:p>
        </w:tc>
        <w:tc>
          <w:tcPr/>
          <w:p>
            <w:pPr>
              <w:pStyle w:val="Compact"/>
              <w:jc w:val="left"/>
            </w:pPr>
            <w:r>
              <w:t xml:space="preserve">38.7%</w:t>
            </w:r>
          </w:p>
        </w:tc>
        <w:tc>
          <w:tcPr/>
          <w:p>
            <w:pPr>
              <w:pStyle w:val="Compact"/>
              <w:jc w:val="left"/>
            </w:pPr>
            <w:r>
              <w:t xml:space="preserve">11.05%</w:t>
            </w:r>
          </w:p>
        </w:tc>
        <w:tc>
          <w:tcPr/>
          <w:p>
            <w:pPr>
              <w:pStyle w:val="Compact"/>
              <w:jc w:val="left"/>
            </w:pPr>
            <w:r>
              <w:t xml:space="preserve">11.14%</w:t>
            </w:r>
          </w:p>
        </w:tc>
        <w:tc>
          <w:tcPr/>
          <w:p>
            <w:pPr>
              <w:pStyle w:val="Compact"/>
              <w:jc w:val="left"/>
            </w:pPr>
            <w:r>
              <w:t xml:space="preserve">9.1–14.0</w:t>
            </w:r>
          </w:p>
        </w:tc>
      </w:tr>
    </w:tbl>
    <w:bookmarkEnd w:id="26"/>
    <w:bookmarkStart w:id="27" w:name="X3785d1d86f2a4ae742b183a2533ae1902d94c02"/>
    <w:p>
      <w:pPr>
        <w:pStyle w:val="Heading2"/>
      </w:pPr>
      <w:r>
        <w:t xml:space="preserve">eTable 9. Joint propagation of empirical-null and target-estimate uncertainty</w:t>
      </w:r>
    </w:p>
    <w:p>
      <w:pPr>
        <w:pStyle w:val="TableCaption"/>
      </w:pPr>
      <w:r>
        <w:t xml:space="preserve">eTable 9.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 and, because the wider interval clears the 0.5 boundary in fewer repetitions, a lower misuse rate among the estimates it still declares usable.</w:t>
      </w:r>
    </w:p>
    <w:tbl>
      <w:tblPr>
        <w:tblStyle w:val="Table"/>
        <w:tblW w:type="pct" w:w="5000"/>
        <w:tblLayout w:type="fixed"/>
        <w:tblLook w:firstRow="1" w:lastRow="0" w:firstColumn="0" w:lastColumn="0" w:noHBand="0" w:noVBand="0" w:val="0020"/>
        <w:tblCaption w:val="eTable 9.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 and, because the wider interval clears the 0.5 boundary in fewer repetitions, a lower misuse rate among the estimates it still declares usable."/>
      </w:tblPr>
      <w:tblGrid>
        <w:gridCol w:w="1564"/>
        <w:gridCol w:w="223"/>
        <w:gridCol w:w="734"/>
        <w:gridCol w:w="638"/>
        <w:gridCol w:w="894"/>
        <w:gridCol w:w="798"/>
        <w:gridCol w:w="798"/>
        <w:gridCol w:w="702"/>
        <w:gridCol w:w="830"/>
        <w:gridCol w:w="734"/>
      </w:tblGrid>
      <w:tr>
        <w:trPr>
          <w:tblHeader w:val="on"/>
        </w:trPr>
        <w:tc>
          <w:tcPr/>
          <w:p>
            <w:pPr>
              <w:pStyle w:val="Compact"/>
              <w:jc w:val="left"/>
            </w:pPr>
            <w:r>
              <w:t xml:space="preserve">Scope</w:t>
            </w:r>
          </w:p>
        </w:tc>
        <w:tc>
          <w:tcPr/>
          <w:p>
            <w:pPr>
              <w:pStyle w:val="Compact"/>
              <w:jc w:val="left"/>
            </w:pPr>
            <w:r>
              <w:t xml:space="preserve">N</w:t>
            </w:r>
          </w:p>
        </w:tc>
        <w:tc>
          <w:tcPr/>
          <w:p>
            <w:pPr>
              <w:pStyle w:val="Compact"/>
              <w:jc w:val="left"/>
            </w:pPr>
            <w:r>
              <w:t xml:space="preserve">Coverage, reported (%)</w:t>
            </w:r>
          </w:p>
        </w:tc>
        <w:tc>
          <w:tcPr/>
          <w:p>
            <w:pPr>
              <w:pStyle w:val="Compact"/>
              <w:jc w:val="left"/>
            </w:pPr>
            <w:r>
              <w:t xml:space="preserve">Coverage, joint (%)</w:t>
            </w:r>
          </w:p>
        </w:tc>
        <w:tc>
          <w:tcPr/>
          <w:p>
            <w:pPr>
              <w:pStyle w:val="Compact"/>
              <w:jc w:val="left"/>
            </w:pPr>
            <w:r>
              <w:t xml:space="preserve">Median half-width, reported</w:t>
            </w:r>
          </w:p>
        </w:tc>
        <w:tc>
          <w:tcPr/>
          <w:p>
            <w:pPr>
              <w:pStyle w:val="Compact"/>
              <w:jc w:val="left"/>
            </w:pPr>
            <w:r>
              <w:t xml:space="preserve">Median half-width, joint</w:t>
            </w:r>
          </w:p>
        </w:tc>
        <w:tc>
          <w:tcPr/>
          <w:p>
            <w:pPr>
              <w:pStyle w:val="Compact"/>
              <w:jc w:val="left"/>
            </w:pPr>
            <w:r>
              <w:t xml:space="preserve">Rule yield, reported (%)</w:t>
            </w:r>
          </w:p>
        </w:tc>
        <w:tc>
          <w:tcPr/>
          <w:p>
            <w:pPr>
              <w:pStyle w:val="Compact"/>
              <w:jc w:val="left"/>
            </w:pPr>
            <w:r>
              <w:t xml:space="preserve">Rule yield, joint (%)</w:t>
            </w:r>
          </w:p>
        </w:tc>
        <w:tc>
          <w:tcPr/>
          <w:p>
            <w:pPr>
              <w:pStyle w:val="Compact"/>
              <w:jc w:val="left"/>
            </w:pPr>
            <w:r>
              <w:t xml:space="preserve">Rule misuse, reported (%)</w:t>
            </w:r>
          </w:p>
        </w:tc>
        <w:tc>
          <w:tcPr/>
          <w:p>
            <w:pPr>
              <w:pStyle w:val="Compact"/>
              <w:jc w:val="left"/>
            </w:pPr>
            <w:r>
              <w:t xml:space="preserve">Rule misuse, joint (%)</w:t>
            </w:r>
          </w:p>
        </w:tc>
      </w:tr>
      <w:tr>
        <w:tc>
          <w:tcPr/>
          <w:p>
            <w:pPr>
              <w:pStyle w:val="Compact"/>
              <w:jc w:val="left"/>
            </w:pPr>
            <w:r>
              <w:t xml:space="preserve">all retained conditions (K = 12 and 50, exV = 0)</w:t>
            </w:r>
          </w:p>
        </w:tc>
        <w:tc>
          <w:tcPr/>
          <w:p>
            <w:pPr>
              <w:pStyle w:val="Compact"/>
              <w:jc w:val="left"/>
            </w:pPr>
            <w:r>
              <w:t xml:space="preserve">64,000</w:t>
            </w:r>
          </w:p>
        </w:tc>
        <w:tc>
          <w:tcPr/>
          <w:p>
            <w:pPr>
              <w:pStyle w:val="Compact"/>
              <w:jc w:val="left"/>
            </w:pPr>
            <w:r>
              <w:t xml:space="preserve">78.8%</w:t>
            </w:r>
          </w:p>
        </w:tc>
        <w:tc>
          <w:tcPr/>
          <w:p>
            <w:pPr>
              <w:pStyle w:val="Compact"/>
              <w:jc w:val="left"/>
            </w:pPr>
            <w:r>
              <w:t xml:space="preserve">97.7%</w:t>
            </w:r>
          </w:p>
        </w:tc>
        <w:tc>
          <w:tcPr/>
          <w:p>
            <w:pPr>
              <w:pStyle w:val="Compact"/>
              <w:jc w:val="left"/>
            </w:pPr>
            <w:r>
              <w:t xml:space="preserve">0.132</w:t>
            </w:r>
          </w:p>
        </w:tc>
        <w:tc>
          <w:tcPr/>
          <w:p>
            <w:pPr>
              <w:pStyle w:val="Compact"/>
              <w:jc w:val="left"/>
            </w:pPr>
            <w:r>
              <w:t xml:space="preserve">0.222</w:t>
            </w:r>
          </w:p>
        </w:tc>
        <w:tc>
          <w:tcPr/>
          <w:p>
            <w:pPr>
              <w:pStyle w:val="Compact"/>
              <w:jc w:val="left"/>
            </w:pPr>
            <w:r>
              <w:t xml:space="preserve">24.3%</w:t>
            </w:r>
          </w:p>
        </w:tc>
        <w:tc>
          <w:tcPr/>
          <w:p>
            <w:pPr>
              <w:pStyle w:val="Compact"/>
              <w:jc w:val="left"/>
            </w:pPr>
            <w:r>
              <w:t xml:space="preserve">13.2%</w:t>
            </w:r>
          </w:p>
        </w:tc>
        <w:tc>
          <w:tcPr/>
          <w:p>
            <w:pPr>
              <w:pStyle w:val="Compact"/>
              <w:jc w:val="left"/>
            </w:pPr>
            <w:r>
              <w:t xml:space="preserve">5.10%</w:t>
            </w:r>
          </w:p>
        </w:tc>
        <w:tc>
          <w:tcPr/>
          <w:p>
            <w:pPr>
              <w:pStyle w:val="Compact"/>
              <w:jc w:val="left"/>
            </w:pPr>
            <w:r>
              <w:t xml:space="preserve">0.57%</w:t>
            </w:r>
          </w:p>
        </w:tc>
      </w:tr>
      <w:tr>
        <w:tc>
          <w:tcPr/>
          <w:p>
            <w:pPr>
              <w:pStyle w:val="Compact"/>
              <w:jc w:val="left"/>
            </w:pPr>
            <w:r>
              <w:t xml:space="preserve">K = 12</w:t>
            </w:r>
          </w:p>
        </w:tc>
        <w:tc>
          <w:tcPr/>
          <w:p>
            <w:pPr>
              <w:pStyle w:val="Compact"/>
              <w:jc w:val="left"/>
            </w:pPr>
            <w:r>
              <w:t xml:space="preserve">32,000</w:t>
            </w:r>
          </w:p>
        </w:tc>
        <w:tc>
          <w:tcPr/>
          <w:p>
            <w:pPr>
              <w:pStyle w:val="Compact"/>
              <w:jc w:val="left"/>
            </w:pPr>
            <w:r>
              <w:t xml:space="preserve">92.7%</w:t>
            </w:r>
          </w:p>
        </w:tc>
        <w:tc>
          <w:tcPr/>
          <w:p>
            <w:pPr>
              <w:pStyle w:val="Compact"/>
              <w:jc w:val="left"/>
            </w:pPr>
            <w:r>
              <w:t xml:space="preserve">98.5%</w:t>
            </w:r>
          </w:p>
        </w:tc>
        <w:tc>
          <w:tcPr/>
          <w:p>
            <w:pPr>
              <w:pStyle w:val="Compact"/>
              <w:jc w:val="left"/>
            </w:pPr>
            <w:r>
              <w:t xml:space="preserve">0.185</w:t>
            </w:r>
          </w:p>
        </w:tc>
        <w:tc>
          <w:tcPr/>
          <w:p>
            <w:pPr>
              <w:pStyle w:val="Compact"/>
              <w:jc w:val="left"/>
            </w:pPr>
            <w:r>
              <w:t xml:space="preserve">0.247</w:t>
            </w:r>
          </w:p>
        </w:tc>
        <w:tc>
          <w:tcPr/>
          <w:p>
            <w:pPr>
              <w:pStyle w:val="Compact"/>
              <w:jc w:val="left"/>
            </w:pPr>
            <w:r>
              <w:t xml:space="preserve">15.7%</w:t>
            </w:r>
          </w:p>
        </w:tc>
        <w:tc>
          <w:tcPr/>
          <w:p>
            <w:pPr>
              <w:pStyle w:val="Compact"/>
              <w:jc w:val="left"/>
            </w:pPr>
            <w:r>
              <w:t xml:space="preserve">9.2%</w:t>
            </w:r>
          </w:p>
        </w:tc>
        <w:tc>
          <w:tcPr/>
          <w:p>
            <w:pPr>
              <w:pStyle w:val="Compact"/>
              <w:jc w:val="left"/>
            </w:pPr>
            <w:r>
              <w:t xml:space="preserve">2.69%</w:t>
            </w:r>
          </w:p>
        </w:tc>
        <w:tc>
          <w:tcPr/>
          <w:p>
            <w:pPr>
              <w:pStyle w:val="Compact"/>
              <w:jc w:val="left"/>
            </w:pPr>
            <w:r>
              <w:t xml:space="preserve">0.24%</w:t>
            </w:r>
          </w:p>
        </w:tc>
      </w:tr>
      <w:tr>
        <w:tc>
          <w:tcPr/>
          <w:p>
            <w:pPr>
              <w:pStyle w:val="Compact"/>
              <w:jc w:val="left"/>
            </w:pPr>
            <w:r>
              <w:t xml:space="preserve">K = 50</w:t>
            </w:r>
          </w:p>
        </w:tc>
        <w:tc>
          <w:tcPr/>
          <w:p>
            <w:pPr>
              <w:pStyle w:val="Compact"/>
              <w:jc w:val="left"/>
            </w:pPr>
            <w:r>
              <w:t xml:space="preserve">32,000</w:t>
            </w:r>
          </w:p>
        </w:tc>
        <w:tc>
          <w:tcPr/>
          <w:p>
            <w:pPr>
              <w:pStyle w:val="Compact"/>
              <w:jc w:val="left"/>
            </w:pPr>
            <w:r>
              <w:t xml:space="preserve">64.9%</w:t>
            </w:r>
          </w:p>
        </w:tc>
        <w:tc>
          <w:tcPr/>
          <w:p>
            <w:pPr>
              <w:pStyle w:val="Compact"/>
              <w:jc w:val="left"/>
            </w:pPr>
            <w:r>
              <w:t xml:space="preserve">96.8%</w:t>
            </w:r>
          </w:p>
        </w:tc>
        <w:tc>
          <w:tcPr/>
          <w:p>
            <w:pPr>
              <w:pStyle w:val="Compact"/>
              <w:jc w:val="left"/>
            </w:pPr>
            <w:r>
              <w:t xml:space="preserve">0.077</w:t>
            </w:r>
          </w:p>
        </w:tc>
        <w:tc>
          <w:tcPr/>
          <w:p>
            <w:pPr>
              <w:pStyle w:val="Compact"/>
              <w:jc w:val="left"/>
            </w:pPr>
            <w:r>
              <w:t xml:space="preserve">0.191</w:t>
            </w:r>
          </w:p>
        </w:tc>
        <w:tc>
          <w:tcPr/>
          <w:p>
            <w:pPr>
              <w:pStyle w:val="Compact"/>
              <w:jc w:val="left"/>
            </w:pPr>
            <w:r>
              <w:t xml:space="preserve">33.0%</w:t>
            </w:r>
          </w:p>
        </w:tc>
        <w:tc>
          <w:tcPr/>
          <w:p>
            <w:pPr>
              <w:pStyle w:val="Compact"/>
              <w:jc w:val="left"/>
            </w:pPr>
            <w:r>
              <w:t xml:space="preserve">17.1%</w:t>
            </w:r>
          </w:p>
        </w:tc>
        <w:tc>
          <w:tcPr/>
          <w:p>
            <w:pPr>
              <w:pStyle w:val="Compact"/>
              <w:jc w:val="left"/>
            </w:pPr>
            <w:r>
              <w:t xml:space="preserve">6.24%</w:t>
            </w:r>
          </w:p>
        </w:tc>
        <w:tc>
          <w:tcPr/>
          <w:p>
            <w:pPr>
              <w:pStyle w:val="Compact"/>
              <w:jc w:val="left"/>
            </w:pPr>
            <w:r>
              <w:t xml:space="preserve">0.75%</w:t>
            </w:r>
          </w:p>
        </w:tc>
      </w:tr>
      <w:tr>
        <w:tc>
          <w:tcPr/>
          <w:p>
            <w:pPr>
              <w:pStyle w:val="Compact"/>
              <w:jc w:val="left"/>
            </w:pPr>
            <w:r>
              <w:t xml:space="preserve">sigma_psi = 0.06</w:t>
            </w:r>
          </w:p>
        </w:tc>
        <w:tc>
          <w:tcPr/>
          <w:p>
            <w:pPr>
              <w:pStyle w:val="Compact"/>
              <w:jc w:val="left"/>
            </w:pPr>
            <w:r>
              <w:t xml:space="preserve">32,000</w:t>
            </w:r>
          </w:p>
        </w:tc>
        <w:tc>
          <w:tcPr/>
          <w:p>
            <w:pPr>
              <w:pStyle w:val="Compact"/>
              <w:jc w:val="left"/>
            </w:pPr>
            <w:r>
              <w:t xml:space="preserve">85.6%</w:t>
            </w:r>
          </w:p>
        </w:tc>
        <w:tc>
          <w:tcPr/>
          <w:p>
            <w:pPr>
              <w:pStyle w:val="Compact"/>
              <w:jc w:val="left"/>
            </w:pPr>
            <w:r>
              <w:t xml:space="preserve">98.3%</w:t>
            </w:r>
          </w:p>
        </w:tc>
        <w:tc>
          <w:tcPr/>
          <w:p>
            <w:pPr>
              <w:pStyle w:val="Compact"/>
              <w:jc w:val="left"/>
            </w:pPr>
            <w:r>
              <w:t xml:space="preserve">0.135</w:t>
            </w:r>
          </w:p>
        </w:tc>
        <w:tc>
          <w:tcPr/>
          <w:p>
            <w:pPr>
              <w:pStyle w:val="Compact"/>
              <w:jc w:val="left"/>
            </w:pPr>
            <w:r>
              <w:t xml:space="preserve">0.194</w:t>
            </w:r>
          </w:p>
        </w:tc>
        <w:tc>
          <w:tcPr/>
          <w:p>
            <w:pPr>
              <w:pStyle w:val="Compact"/>
              <w:jc w:val="left"/>
            </w:pPr>
            <w:r>
              <w:t xml:space="preserve">23.2%</w:t>
            </w:r>
          </w:p>
        </w:tc>
        <w:tc>
          <w:tcPr/>
          <w:p>
            <w:pPr>
              <w:pStyle w:val="Compact"/>
              <w:jc w:val="left"/>
            </w:pPr>
            <w:r>
              <w:t xml:space="preserve">15.8%</w:t>
            </w:r>
          </w:p>
        </w:tc>
        <w:tc>
          <w:tcPr/>
          <w:p>
            <w:pPr>
              <w:pStyle w:val="Compact"/>
              <w:jc w:val="left"/>
            </w:pPr>
            <w:r>
              <w:t xml:space="preserve">1.98%</w:t>
            </w:r>
          </w:p>
        </w:tc>
        <w:tc>
          <w:tcPr/>
          <w:p>
            <w:pPr>
              <w:pStyle w:val="Compact"/>
              <w:jc w:val="left"/>
            </w:pPr>
            <w:r>
              <w:t xml:space="preserve">0.28%</w:t>
            </w:r>
          </w:p>
        </w:tc>
      </w:tr>
      <w:tr>
        <w:tc>
          <w:tcPr/>
          <w:p>
            <w:pPr>
              <w:pStyle w:val="Compact"/>
              <w:jc w:val="left"/>
            </w:pPr>
            <w:r>
              <w:t xml:space="preserve">sigma_psi = 0.10</w:t>
            </w:r>
          </w:p>
        </w:tc>
        <w:tc>
          <w:tcPr/>
          <w:p>
            <w:pPr>
              <w:pStyle w:val="Compact"/>
              <w:jc w:val="left"/>
            </w:pPr>
            <w:r>
              <w:t xml:space="preserve">32,000</w:t>
            </w:r>
          </w:p>
        </w:tc>
        <w:tc>
          <w:tcPr/>
          <w:p>
            <w:pPr>
              <w:pStyle w:val="Compact"/>
              <w:jc w:val="left"/>
            </w:pPr>
            <w:r>
              <w:t xml:space="preserve">72.1%</w:t>
            </w:r>
          </w:p>
        </w:tc>
        <w:tc>
          <w:tcPr/>
          <w:p>
            <w:pPr>
              <w:pStyle w:val="Compact"/>
              <w:jc w:val="left"/>
            </w:pPr>
            <w:r>
              <w:t xml:space="preserve">97.0%</w:t>
            </w:r>
          </w:p>
        </w:tc>
        <w:tc>
          <w:tcPr/>
          <w:p>
            <w:pPr>
              <w:pStyle w:val="Compact"/>
              <w:jc w:val="left"/>
            </w:pPr>
            <w:r>
              <w:t xml:space="preserve">0.129</w:t>
            </w:r>
          </w:p>
        </w:tc>
        <w:tc>
          <w:tcPr/>
          <w:p>
            <w:pPr>
              <w:pStyle w:val="Compact"/>
              <w:jc w:val="left"/>
            </w:pPr>
            <w:r>
              <w:t xml:space="preserve">0.246</w:t>
            </w:r>
          </w:p>
        </w:tc>
        <w:tc>
          <w:tcPr/>
          <w:p>
            <w:pPr>
              <w:pStyle w:val="Compact"/>
              <w:jc w:val="left"/>
            </w:pPr>
            <w:r>
              <w:t xml:space="preserve">25.5%</w:t>
            </w:r>
          </w:p>
        </w:tc>
        <w:tc>
          <w:tcPr/>
          <w:p>
            <w:pPr>
              <w:pStyle w:val="Compact"/>
              <w:jc w:val="left"/>
            </w:pPr>
            <w:r>
              <w:t xml:space="preserve">10.6%</w:t>
            </w:r>
          </w:p>
        </w:tc>
        <w:tc>
          <w:tcPr/>
          <w:p>
            <w:pPr>
              <w:pStyle w:val="Compact"/>
              <w:jc w:val="left"/>
            </w:pPr>
            <w:r>
              <w:t xml:space="preserve">7.95%</w:t>
            </w:r>
          </w:p>
        </w:tc>
        <w:tc>
          <w:tcPr/>
          <w:p>
            <w:pPr>
              <w:pStyle w:val="Compact"/>
              <w:jc w:val="left"/>
            </w:pPr>
            <w:r>
              <w:t xml:space="preserve">1.01%</w:t>
            </w:r>
          </w:p>
        </w:tc>
      </w:tr>
    </w:tbl>
    <w:bookmarkEnd w:id="27"/>
    <w:bookmarkStart w:id="28" w:name="X5b6c699e4d41eaa8f249bc039fa1004691ac5e7"/>
    <w:p>
      <w:pPr>
        <w:pStyle w:val="Heading2"/>
      </w:pPr>
      <w:r>
        <w:t xml:space="preserve">eTable 10. Missing-data handling for the question-2 exposure</w:t>
      </w:r>
    </w:p>
    <w:p>
      <w:pPr>
        <w:pStyle w:val="TableCaption"/>
      </w:pPr>
      <w:r>
        <w:t xml:space="preserve">eTable 10. Question 2 under four conventions for the 3,494 patients (23.8%)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w:t>
      </w:r>
    </w:p>
    <w:tbl>
      <w:tblPr>
        <w:tblStyle w:val="Table"/>
        <w:tblW w:type="pct" w:w="5000"/>
        <w:tblLayout w:type="fixed"/>
        <w:tblLook w:firstRow="1" w:lastRow="0" w:firstColumn="0" w:lastColumn="0" w:noHBand="0" w:noVBand="0" w:val="0020"/>
        <w:tblCaption w:val="eTable 10. Question 2 under four conventions for the 3,494 patients (23.8%)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
      </w:tblPr>
      <w:tblGrid>
        <w:gridCol w:w="1969"/>
        <w:gridCol w:w="299"/>
        <w:gridCol w:w="684"/>
        <w:gridCol w:w="984"/>
        <w:gridCol w:w="556"/>
        <w:gridCol w:w="256"/>
        <w:gridCol w:w="1113"/>
        <w:gridCol w:w="770"/>
        <w:gridCol w:w="1284"/>
      </w:tblGrid>
      <w:tr>
        <w:trPr>
          <w:tblHeader w:val="on"/>
        </w:trPr>
        <w:tc>
          <w:tcPr/>
          <w:p>
            <w:pPr>
              <w:pStyle w:val="Compact"/>
              <w:jc w:val="left"/>
            </w:pPr>
            <w:r>
              <w:t xml:space="preserve">Indeterminate exposure handled as</w:t>
            </w:r>
          </w:p>
        </w:tc>
        <w:tc>
          <w:tcPr/>
          <w:p>
            <w:pPr>
              <w:pStyle w:val="Compact"/>
              <w:jc w:val="left"/>
            </w:pPr>
            <w:r>
              <w:t xml:space="preserve">N</w:t>
            </w:r>
          </w:p>
        </w:tc>
        <w:tc>
          <w:tcPr/>
          <w:p>
            <w:pPr>
              <w:pStyle w:val="Compact"/>
              <w:jc w:val="left"/>
            </w:pPr>
            <w:r>
              <w:t xml:space="preserve">Uncalibrated RR</w:t>
            </w:r>
          </w:p>
        </w:tc>
        <w:tc>
          <w:tcPr/>
          <w:p>
            <w:pPr>
              <w:pStyle w:val="Compact"/>
              <w:jc w:val="left"/>
            </w:pPr>
            <w:r>
              <w:t xml:space="preserve">Uncalibrated RR 95% CI</w:t>
            </w:r>
          </w:p>
        </w:tc>
        <w:tc>
          <w:tcPr/>
          <w:p>
            <w:pPr>
              <w:pStyle w:val="Compact"/>
              <w:jc w:val="left"/>
            </w:pPr>
            <w:r>
              <w:t xml:space="preserve">Calibrated P</w:t>
            </w:r>
          </w:p>
        </w:tc>
        <w:tc>
          <w:tcPr/>
          <w:p>
            <w:pPr>
              <w:pStyle w:val="Compact"/>
              <w:jc w:val="left"/>
            </w:pPr>
            <w:r>
              <w:t xml:space="preserve">BAF</w:t>
            </w:r>
          </w:p>
        </w:tc>
        <w:tc>
          <w:tcPr/>
          <w:p>
            <w:pPr>
              <w:pStyle w:val="Compact"/>
              <w:jc w:val="left"/>
            </w:pPr>
            <w:r>
              <w:t xml:space="preserve">BAF 95% credible interval</w:t>
            </w:r>
          </w:p>
        </w:tc>
        <w:tc>
          <w:tcPr/>
          <w:p>
            <w:pPr>
              <w:pStyle w:val="Compact"/>
              <w:jc w:val="left"/>
            </w:pPr>
            <w:r>
              <w:t xml:space="preserve">P(bias-dominated)</w:t>
            </w:r>
          </w:p>
        </w:tc>
        <w:tc>
          <w:tcPr/>
          <w:p>
            <w:pPr>
              <w:pStyle w:val="Compact"/>
              <w:jc w:val="left"/>
            </w:pPr>
            <w:r>
              <w:t xml:space="preserve">Determination</w:t>
            </w:r>
          </w:p>
        </w:tc>
      </w:tr>
      <w:tr>
        <w:tc>
          <w:tcPr/>
          <w:p>
            <w:pPr>
              <w:pStyle w:val="Compact"/>
              <w:jc w:val="left"/>
            </w:pPr>
            <w:r>
              <w:t xml:space="preserve">indeterminate as suboptimal (published)</w:t>
            </w:r>
          </w:p>
        </w:tc>
        <w:tc>
          <w:tcPr/>
          <w:p>
            <w:pPr>
              <w:pStyle w:val="Compact"/>
              <w:jc w:val="left"/>
            </w:pPr>
            <w:r>
              <w:t xml:space="preserve">14,677</w:t>
            </w:r>
          </w:p>
        </w:tc>
        <w:tc>
          <w:tcPr/>
          <w:p>
            <w:pPr>
              <w:pStyle w:val="Compact"/>
              <w:jc w:val="left"/>
            </w:pPr>
            <w:r>
              <w:t xml:space="preserve">0.682</w:t>
            </w:r>
          </w:p>
        </w:tc>
        <w:tc>
          <w:tcPr/>
          <w:p>
            <w:pPr>
              <w:pStyle w:val="Compact"/>
              <w:jc w:val="left"/>
            </w:pPr>
            <w:r>
              <w:t xml:space="preserve">0.597–0.779</w:t>
            </w:r>
          </w:p>
        </w:tc>
        <w:tc>
          <w:tcPr/>
          <w:p>
            <w:pPr>
              <w:pStyle w:val="Compact"/>
              <w:jc w:val="left"/>
            </w:pPr>
            <w:r>
              <w:t xml:space="preserve">.1026</w:t>
            </w:r>
          </w:p>
        </w:tc>
        <w:tc>
          <w:tcPr/>
          <w:p>
            <w:pPr>
              <w:pStyle w:val="Compact"/>
              <w:jc w:val="left"/>
            </w:pPr>
            <w:r>
              <w:t xml:space="preserve">0.460</w:t>
            </w:r>
          </w:p>
        </w:tc>
        <w:tc>
          <w:tcPr/>
          <w:p>
            <w:pPr>
              <w:pStyle w:val="Compact"/>
              <w:jc w:val="left"/>
            </w:pPr>
            <w:r>
              <w:t xml:space="preserve">0.186–0.619</w:t>
            </w:r>
          </w:p>
        </w:tc>
        <w:tc>
          <w:tcPr/>
          <w:p>
            <w:pPr>
              <w:pStyle w:val="Compact"/>
              <w:jc w:val="left"/>
            </w:pPr>
            <w:r>
              <w:t xml:space="preserve">0.502</w:t>
            </w:r>
          </w:p>
        </w:tc>
        <w:tc>
          <w:tcPr/>
          <w:p>
            <w:pPr>
              <w:pStyle w:val="Compact"/>
              <w:jc w:val="left"/>
            </w:pPr>
            <w:r>
              <w:t xml:space="preserve">competitive, no verdict</w:t>
            </w:r>
          </w:p>
        </w:tc>
      </w:tr>
      <w:tr>
        <w:tc>
          <w:tcPr/>
          <w:p>
            <w:pPr>
              <w:pStyle w:val="Compact"/>
              <w:jc w:val="left"/>
            </w:pPr>
            <w:r>
              <w:t xml:space="preserve">complete case (indeterminate dropped)</w:t>
            </w:r>
          </w:p>
        </w:tc>
        <w:tc>
          <w:tcPr/>
          <w:p>
            <w:pPr>
              <w:pStyle w:val="Compact"/>
              <w:jc w:val="left"/>
            </w:pPr>
            <w:r>
              <w:t xml:space="preserve">11,183</w:t>
            </w:r>
          </w:p>
        </w:tc>
        <w:tc>
          <w:tcPr/>
          <w:p>
            <w:pPr>
              <w:pStyle w:val="Compact"/>
              <w:jc w:val="left"/>
            </w:pPr>
            <w:r>
              <w:t xml:space="preserve">0.684</w:t>
            </w:r>
          </w:p>
        </w:tc>
        <w:tc>
          <w:tcPr/>
          <w:p>
            <w:pPr>
              <w:pStyle w:val="Compact"/>
              <w:jc w:val="left"/>
            </w:pPr>
            <w:r>
              <w:t xml:space="preserve">0.602–0.777</w:t>
            </w:r>
          </w:p>
        </w:tc>
        <w:tc>
          <w:tcPr/>
          <w:p>
            <w:pPr>
              <w:pStyle w:val="Compact"/>
              <w:jc w:val="left"/>
            </w:pPr>
            <w:r>
              <w:t xml:space="preserve">.1040</w:t>
            </w:r>
          </w:p>
        </w:tc>
        <w:tc>
          <w:tcPr/>
          <w:p>
            <w:pPr>
              <w:pStyle w:val="Compact"/>
              <w:jc w:val="left"/>
            </w:pPr>
            <w:r>
              <w:t xml:space="preserve">0.463</w:t>
            </w:r>
          </w:p>
        </w:tc>
        <w:tc>
          <w:tcPr/>
          <w:p>
            <w:pPr>
              <w:pStyle w:val="Compact"/>
              <w:jc w:val="left"/>
            </w:pPr>
            <w:r>
              <w:t xml:space="preserve">0.187–0.623</w:t>
            </w:r>
          </w:p>
        </w:tc>
        <w:tc>
          <w:tcPr/>
          <w:p>
            <w:pPr>
              <w:pStyle w:val="Compact"/>
              <w:jc w:val="left"/>
            </w:pPr>
            <w:r>
              <w:t xml:space="preserve">0.502</w:t>
            </w:r>
          </w:p>
        </w:tc>
        <w:tc>
          <w:tcPr/>
          <w:p>
            <w:pPr>
              <w:pStyle w:val="Compact"/>
              <w:jc w:val="left"/>
            </w:pPr>
            <w:r>
              <w:t xml:space="preserve">competitive, no verdict</w:t>
            </w:r>
          </w:p>
        </w:tc>
      </w:tr>
      <w:tr>
        <w:tc>
          <w:tcPr/>
          <w:p>
            <w:pPr>
              <w:pStyle w:val="Compact"/>
              <w:jc w:val="left"/>
            </w:pPr>
            <w:r>
              <w:t xml:space="preserve">indeterminate as optimized (opposite extreme)</w:t>
            </w:r>
          </w:p>
        </w:tc>
        <w:tc>
          <w:tcPr/>
          <w:p>
            <w:pPr>
              <w:pStyle w:val="Compact"/>
              <w:jc w:val="left"/>
            </w:pPr>
            <w:r>
              <w:t xml:space="preserve">14,677</w:t>
            </w:r>
          </w:p>
        </w:tc>
        <w:tc>
          <w:tcPr/>
          <w:p>
            <w:pPr>
              <w:pStyle w:val="Compact"/>
              <w:jc w:val="left"/>
            </w:pPr>
            <w:r>
              <w:t xml:space="preserve">0.912</w:t>
            </w:r>
          </w:p>
        </w:tc>
        <w:tc>
          <w:tcPr/>
          <w:p>
            <w:pPr>
              <w:pStyle w:val="Compact"/>
              <w:jc w:val="left"/>
            </w:pPr>
            <w:r>
              <w:t xml:space="preserve">0.849–0.979</w:t>
            </w:r>
          </w:p>
        </w:tc>
        <w:tc>
          <w:tcPr/>
          <w:p>
            <w:pPr>
              <w:pStyle w:val="Compact"/>
              <w:jc w:val="left"/>
            </w:pPr>
            <w:r>
              <w:t xml:space="preserve">.5258</w:t>
            </w:r>
          </w:p>
        </w:tc>
        <w:tc>
          <w:tcPr/>
          <w:p>
            <w:pPr>
              <w:pStyle w:val="Compact"/>
              <w:jc w:val="left"/>
            </w:pPr>
            <w:r>
              <w:t xml:space="preserve">0.676</w:t>
            </w:r>
          </w:p>
        </w:tc>
        <w:tc>
          <w:tcPr/>
          <w:p>
            <w:pPr>
              <w:pStyle w:val="Compact"/>
              <w:jc w:val="left"/>
            </w:pPr>
            <w:r>
              <w:t xml:space="preserve">0.616–0.933</w:t>
            </w:r>
          </w:p>
        </w:tc>
        <w:tc>
          <w:tcPr/>
          <w:p>
            <w:pPr>
              <w:pStyle w:val="Compact"/>
              <w:jc w:val="left"/>
            </w:pPr>
            <w:r>
              <w:t xml:space="preserve">0.976</w:t>
            </w:r>
          </w:p>
        </w:tc>
        <w:tc>
          <w:tcPr/>
          <w:p>
            <w:pPr>
              <w:pStyle w:val="Compact"/>
              <w:jc w:val="left"/>
            </w:pPr>
            <w:r>
              <w:t xml:space="preserve">not usable as effect evidence</w:t>
            </w:r>
          </w:p>
        </w:tc>
      </w:tr>
      <w:tr>
        <w:tc>
          <w:tcPr/>
          <w:p>
            <w:pPr>
              <w:pStyle w:val="Compact"/>
              <w:jc w:val="left"/>
            </w:pPr>
            <w:r>
              <w:t xml:space="preserve">multiple imputation (m = 10, Rubin)</w:t>
            </w:r>
          </w:p>
        </w:tc>
        <w:tc>
          <w:tcPr/>
          <w:p>
            <w:pPr>
              <w:pStyle w:val="Compact"/>
              <w:jc w:val="left"/>
            </w:pPr>
            <w:r>
              <w:t xml:space="preserve">14,677</w:t>
            </w:r>
          </w:p>
        </w:tc>
        <w:tc>
          <w:tcPr/>
          <w:p>
            <w:pPr>
              <w:pStyle w:val="Compact"/>
              <w:jc w:val="left"/>
            </w:pPr>
            <w:r>
              <w:t xml:space="preserve">0.745</w:t>
            </w:r>
          </w:p>
        </w:tc>
        <w:tc>
          <w:tcPr/>
          <w:p>
            <w:pPr>
              <w:pStyle w:val="Compact"/>
              <w:jc w:val="left"/>
            </w:pPr>
            <w:r>
              <w:t xml:space="preserve">0.653–0.851</w:t>
            </w:r>
          </w:p>
        </w:tc>
        <w:tc>
          <w:tcPr/>
          <w:p>
            <w:pPr>
              <w:pStyle w:val="Compact"/>
              <w:jc w:val="left"/>
            </w:pPr>
            <w:r>
              <w:t xml:space="preserve">.3377</w:t>
            </w:r>
          </w:p>
        </w:tc>
        <w:tc>
          <w:tcPr/>
          <w:p>
            <w:pPr>
              <w:pStyle w:val="Compact"/>
              <w:jc w:val="left"/>
            </w:pPr>
            <w:r>
              <w:t xml:space="preserve">0.598</w:t>
            </w:r>
          </w:p>
        </w:tc>
        <w:tc>
          <w:tcPr/>
          <w:p>
            <w:pPr>
              <w:pStyle w:val="Compact"/>
              <w:jc w:val="left"/>
            </w:pPr>
            <w:r>
              <w:t xml:space="preserve">0.242–0.805</w:t>
            </w:r>
          </w:p>
        </w:tc>
        <w:tc>
          <w:tcPr/>
          <w:p>
            <w:pPr>
              <w:pStyle w:val="Compact"/>
              <w:jc w:val="left"/>
            </w:pPr>
            <w:r>
              <w:t xml:space="preserve">0.928</w:t>
            </w:r>
          </w:p>
        </w:tc>
        <w:tc>
          <w:tcPr/>
          <w:p>
            <w:pPr>
              <w:pStyle w:val="Compact"/>
              <w:jc w:val="left"/>
            </w:pPr>
            <w:r>
              <w:t xml:space="preserve">not usable as effect evidence</w:t>
            </w:r>
          </w:p>
        </w:tc>
      </w:tr>
    </w:tbl>
    <w:bookmarkEnd w:id="28"/>
    <w:bookmarkStart w:id="29" w:name="X34d49bef85a09f2774a0486fc9e328667f7e400"/>
    <w:p>
      <w:pPr>
        <w:pStyle w:val="Heading2"/>
      </w:pPr>
      <w:r>
        <w:t xml:space="preserve">eTable 11. Screening flow for the negative control panel</w:t>
      </w:r>
    </w:p>
    <w:p>
      <w:pPr>
        <w:pStyle w:val="TableCaption"/>
      </w:pPr>
      <w:r>
        <w:t xml:space="preserve">eTable 11. Screening flow from the candidate list to the reported negative control panel. Both quantitative thresholds (50 hospitalizations, then 50 events inside the analysis window) were fixed before screening and applied mechanically, and no candidate was removed on the basis of the strength or direction of its estimated association with the exposure.</w:t>
      </w:r>
    </w:p>
    <w:tbl>
      <w:tblPr>
        <w:tblStyle w:val="Table"/>
        <w:tblW w:type="pct" w:w="5000"/>
        <w:tblLayout w:type="fixed"/>
        <w:tblLook w:firstRow="1" w:lastRow="0" w:firstColumn="0" w:lastColumn="0" w:noHBand="0" w:noVBand="0" w:val="0020"/>
        <w:tblCaption w:val="eTable 11. Screening flow from the candidate list to the reported negative control panel. Both quantitative thresholds (50 hospitalizations, then 50 events inside the analysis window) were fixed before screening and applied mechanically, and no candidate was removed on the basis of the strength or direction of its estimated association with the exposure."/>
      </w:tblPr>
      <w:tblGrid>
        <w:gridCol w:w="1041"/>
        <w:gridCol w:w="2937"/>
        <w:gridCol w:w="334"/>
        <w:gridCol w:w="297"/>
        <w:gridCol w:w="371"/>
        <w:gridCol w:w="2937"/>
      </w:tblGrid>
      <w:tr>
        <w:trPr>
          <w:tblHeader w:val="on"/>
        </w:trPr>
        <w:tc>
          <w:tcPr/>
          <w:p>
            <w:pPr>
              <w:pStyle w:val="Compact"/>
              <w:jc w:val="left"/>
            </w:pPr>
            <w:r>
              <w:t xml:space="preserve">Level</w:t>
            </w:r>
          </w:p>
        </w:tc>
        <w:tc>
          <w:tcPr/>
          <w:p>
            <w:pPr>
              <w:pStyle w:val="Compact"/>
              <w:jc w:val="left"/>
            </w:pPr>
            <w:r>
              <w:t xml:space="preserve">Criterion</w:t>
            </w:r>
          </w:p>
        </w:tc>
        <w:tc>
          <w:tcPr/>
          <w:p>
            <w:pPr>
              <w:pStyle w:val="Compact"/>
              <w:jc w:val="right"/>
            </w:pPr>
            <w:r>
              <w:t xml:space="preserve">Entering</w:t>
            </w:r>
          </w:p>
        </w:tc>
        <w:tc>
          <w:tcPr/>
          <w:p>
            <w:pPr>
              <w:pStyle w:val="Compact"/>
              <w:jc w:val="right"/>
            </w:pPr>
            <w:r>
              <w:t xml:space="preserve">Removed</w:t>
            </w:r>
          </w:p>
        </w:tc>
        <w:tc>
          <w:tcPr/>
          <w:p>
            <w:pPr>
              <w:pStyle w:val="Compact"/>
              <w:jc w:val="right"/>
            </w:pPr>
            <w:r>
              <w:t xml:space="preserve">Remaining</w:t>
            </w:r>
          </w:p>
        </w:tc>
        <w:tc>
          <w:tcPr/>
          <w:p>
            <w:pPr>
              <w:pStyle w:val="Compact"/>
              <w:jc w:val="left"/>
            </w:pPr>
            <w:r>
              <w:t xml:space="preserve">Outcomes removed</w:t>
            </w:r>
          </w:p>
        </w:tc>
      </w:tr>
      <w:tr>
        <w:tc>
          <w:tcPr/>
          <w:p>
            <w:pPr>
              <w:pStyle w:val="Compact"/>
              <w:jc w:val="left"/>
            </w:pPr>
            <w:r>
              <w:t xml:space="preserve">Candidate list</w:t>
            </w:r>
          </w:p>
        </w:tc>
        <w:tc>
          <w:tcPr/>
          <w:p>
            <w:pPr>
              <w:pStyle w:val="Compact"/>
              <w:jc w:val="left"/>
            </w:pPr>
            <w:r>
              <w:t xml:space="preserve">Outcomes with no plausible causal pathway from either treatment strategy</w:t>
            </w:r>
          </w:p>
        </w:tc>
        <w:tc>
          <w:tcPr/>
          <w:p>
            <w:pPr>
              <w:pStyle w:val="Compact"/>
              <w:jc w:val="right"/>
            </w:pPr>
            <w:r>
              <w:t xml:space="preserve">20</w:t>
            </w:r>
          </w:p>
        </w:tc>
        <w:tc>
          <w:tcPr/>
          <w:p>
            <w:pPr>
              <w:pStyle w:val="Compact"/>
              <w:jc w:val="right"/>
            </w:pPr>
            <w:r>
              <w:t xml:space="preserve">4</w:t>
            </w:r>
          </w:p>
        </w:tc>
        <w:tc>
          <w:tcPr/>
          <w:p>
            <w:pPr>
              <w:pStyle w:val="Compact"/>
              <w:jc w:val="right"/>
            </w:pPr>
            <w:r>
              <w:t xml:space="preserve">16</w:t>
            </w:r>
          </w:p>
        </w:tc>
        <w:tc>
          <w:tcPr/>
          <w:p>
            <w:pPr>
              <w:pStyle w:val="Compact"/>
              <w:jc w:val="left"/>
            </w:pPr>
            <w:r>
              <w:t xml:space="preserve">Fracture, burn, poisoning, inguinal hernia (no records in the diagnoses table)</w:t>
            </w:r>
          </w:p>
        </w:tc>
      </w:tr>
      <w:tr>
        <w:tc>
          <w:tcPr/>
          <w:p>
            <w:pPr>
              <w:pStyle w:val="Compact"/>
              <w:jc w:val="left"/>
            </w:pPr>
            <w:r>
              <w:t xml:space="preserve">Code feasibility</w:t>
            </w:r>
          </w:p>
        </w:tc>
        <w:tc>
          <w:tcPr/>
          <w:p>
            <w:pPr>
              <w:pStyle w:val="Compact"/>
              <w:jc w:val="left"/>
            </w:pPr>
            <w:r>
              <w:t xml:space="preserve">Code family represented in the MIMIC-IV diagnoses table</w:t>
            </w:r>
          </w:p>
        </w:tc>
        <w:tc>
          <w:tcPr/>
          <w:p>
            <w:pPr>
              <w:pStyle w:val="Compact"/>
              <w:jc w:val="right"/>
            </w:pPr>
            <w:r>
              <w:t xml:space="preserve">16</w:t>
            </w:r>
          </w:p>
        </w:tc>
        <w:tc>
          <w:tcPr/>
          <w:p>
            <w:pPr>
              <w:pStyle w:val="Compact"/>
              <w:jc w:val="right"/>
            </w:pPr>
            <w:r>
              <w:t xml:space="preserve">0</w:t>
            </w:r>
          </w:p>
        </w:tc>
        <w:tc>
          <w:tcPr/>
          <w:p>
            <w:pPr>
              <w:pStyle w:val="Compact"/>
              <w:jc w:val="right"/>
            </w:pPr>
            <w:r>
              <w:t xml:space="preserve">14</w:t>
            </w:r>
          </w:p>
        </w:tc>
        <w:tc>
          <w:tcPr/>
          <w:p>
            <w:pPr>
              <w:pStyle w:val="Compact"/>
              <w:jc w:val="left"/>
            </w:pPr>
            <w:r>
              <w:t xml:space="preserve">None</w:t>
            </w:r>
          </w:p>
        </w:tc>
      </w:tr>
      <w:tr>
        <w:tc>
          <w:tcPr/>
          <w:p>
            <w:pPr>
              <w:pStyle w:val="Compact"/>
              <w:jc w:val="left"/>
            </w:pPr>
            <w:r>
              <w:t xml:space="preserve">Cohort event count</w:t>
            </w:r>
          </w:p>
        </w:tc>
        <w:tc>
          <w:tcPr/>
          <w:p>
            <w:pPr>
              <w:pStyle w:val="Compact"/>
              <w:jc w:val="left"/>
            </w:pPr>
            <w:r>
              <w:t xml:space="preserve">At least 50 hospitalizations coded for the outcome in the heart-failure cohort</w:t>
            </w:r>
          </w:p>
        </w:tc>
        <w:tc>
          <w:tcPr/>
          <w:p>
            <w:pPr>
              <w:pStyle w:val="Compact"/>
              <w:jc w:val="right"/>
            </w:pPr>
            <w:r>
              <w:t xml:space="preserve">14</w:t>
            </w:r>
          </w:p>
        </w:tc>
        <w:tc>
          <w:tcPr/>
          <w:p>
            <w:pPr>
              <w:pStyle w:val="Compact"/>
              <w:jc w:val="right"/>
            </w:pPr>
            <w:r>
              <w:t xml:space="preserve">2</w:t>
            </w:r>
          </w:p>
        </w:tc>
        <w:tc>
          <w:tcPr/>
          <w:p>
            <w:pPr>
              <w:pStyle w:val="Compact"/>
              <w:jc w:val="right"/>
            </w:pPr>
            <w:r>
              <w:t xml:space="preserve">12</w:t>
            </w:r>
          </w:p>
        </w:tc>
        <w:tc>
          <w:tcPr/>
          <w:p>
            <w:pPr>
              <w:pStyle w:val="Compact"/>
              <w:jc w:val="left"/>
            </w:pPr>
            <w:r>
              <w:t xml:space="preserve">Conjunctivitis; Non-Melanoma Skin Cancer (44 and 38 qualifying patients)</w:t>
            </w:r>
          </w:p>
        </w:tc>
      </w:tr>
      <w:tr>
        <w:tc>
          <w:tcPr/>
          <w:p>
            <w:pPr>
              <w:pStyle w:val="Compact"/>
              <w:jc w:val="left"/>
            </w:pPr>
            <w:r>
              <w:t xml:space="preserve">Analysis-window event count</w:t>
            </w:r>
          </w:p>
        </w:tc>
        <w:tc>
          <w:tcPr/>
          <w:p>
            <w:pPr>
              <w:pStyle w:val="Compact"/>
              <w:jc w:val="left"/>
            </w:pPr>
            <w:r>
              <w:t xml:space="preserve">At least 50 events among patients who survived the 7-day grace period</w:t>
            </w:r>
          </w:p>
        </w:tc>
        <w:tc>
          <w:tcPr/>
          <w:p>
            <w:pPr>
              <w:pStyle w:val="Compact"/>
              <w:jc w:val="right"/>
            </w:pPr>
            <w:r>
              <w:t xml:space="preserve">14</w:t>
            </w:r>
          </w:p>
        </w:tc>
        <w:tc>
          <w:tcPr/>
          <w:p>
            <w:pPr>
              <w:pStyle w:val="Compact"/>
              <w:jc w:val="right"/>
            </w:pPr>
            <w:r>
              <w:t xml:space="preserve">2</w:t>
            </w:r>
          </w:p>
        </w:tc>
        <w:tc>
          <w:tcPr/>
          <w:p>
            <w:pPr>
              <w:pStyle w:val="Compact"/>
              <w:jc w:val="right"/>
            </w:pPr>
            <w:r>
              <w:t xml:space="preserve">12</w:t>
            </w:r>
          </w:p>
        </w:tc>
        <w:tc>
          <w:tcPr/>
          <w:p>
            <w:pPr>
              <w:pStyle w:val="Compact"/>
              <w:jc w:val="left"/>
            </w:pPr>
            <w:r>
              <w:t xml:space="preserve">Dental Caries; Varicose Veins (45 and 36 events in the window)</w:t>
            </w:r>
          </w:p>
        </w:tc>
      </w:tr>
    </w:tbl>
    <w:bookmarkEnd w:id="29"/>
    <w:bookmarkStart w:id="30" w:name="Xb2ffbe78a3b8484b563bf1257c85345479585eb"/>
    <w:p>
      <w:pPr>
        <w:pStyle w:val="Heading2"/>
      </w:pPr>
      <w:r>
        <w:t xml:space="preserve">eTable 12. Ejection-fraction proxy sensitivity analysis</w:t>
      </w:r>
    </w:p>
    <w:p>
      <w:pPr>
        <w:pStyle w:val="TableCaption"/>
      </w:pPr>
      <w:r>
        <w:t xml:space="preserve">eTable 12. Question 1 re-estimated within ejection-fraction proxy subgroups under otherwise identical settings (same cohort definition, same 10 baseline covariates, same 7-day grace period, same estimators, same guideline-matched empirical null). Probable reduced ejection fraction is a systolic heart-failure code (ICD-10-CM I50.2x) or QRS of at least 120 ms with left bundle-branch block; probable preserved ejection fraction is a diastolic code (I50.3x) without a systolic code and without that pattern. The two strata are mutually exclusive; 60.8% of hospitalizations met neither definition and are excluded from both.</w:t>
      </w:r>
    </w:p>
    <w:tbl>
      <w:tblPr>
        <w:tblStyle w:val="Table"/>
        <w:tblW w:type="pct" w:w="5000"/>
        <w:tblLayout w:type="fixed"/>
        <w:tblLook w:firstRow="1" w:lastRow="0" w:firstColumn="0" w:lastColumn="0" w:noHBand="0" w:noVBand="0" w:val="0020"/>
        <w:tblCaption w:val="eTable 12. Question 1 re-estimated within ejection-fraction proxy subgroups under otherwise identical settings (same cohort definition, same 10 baseline covariates, same 7-day grace period, same estimators, same guideline-matched empirical null). Probable reduced ejection fraction is a systolic heart-failure code (ICD-10-CM I50.2x) or QRS of at least 120 ms with left bundle-branch block; probable preserved ejection fraction is a diastolic code (I50.3x) without a systolic code and without that pattern. The two strata are mutually exclusive; 60.8% of hospitalizations met neither definition and are excluded from both."/>
      </w:tblPr>
      <w:tblGrid>
        <w:gridCol w:w="1387"/>
        <w:gridCol w:w="404"/>
        <w:gridCol w:w="693"/>
        <w:gridCol w:w="924"/>
        <w:gridCol w:w="809"/>
        <w:gridCol w:w="751"/>
        <w:gridCol w:w="404"/>
        <w:gridCol w:w="1503"/>
        <w:gridCol w:w="1040"/>
      </w:tblGrid>
      <w:tr>
        <w:trPr>
          <w:tblHeader w:val="on"/>
        </w:trPr>
        <w:tc>
          <w:tcPr/>
          <w:p>
            <w:pPr>
              <w:pStyle w:val="Compact"/>
              <w:jc w:val="left"/>
            </w:pPr>
            <w:r>
              <w:t xml:space="preserve">Subgroup</w:t>
            </w:r>
          </w:p>
        </w:tc>
        <w:tc>
          <w:tcPr/>
          <w:p>
            <w:pPr>
              <w:pStyle w:val="Compact"/>
              <w:jc w:val="left"/>
            </w:pPr>
            <w:r>
              <w:t xml:space="preserve">N</w:t>
            </w:r>
          </w:p>
        </w:tc>
        <w:tc>
          <w:tcPr/>
          <w:p>
            <w:pPr>
              <w:pStyle w:val="Compact"/>
              <w:jc w:val="left"/>
            </w:pPr>
            <w:r>
              <w:t xml:space="preserve">Deaths, No.</w:t>
            </w:r>
          </w:p>
        </w:tc>
        <w:tc>
          <w:tcPr/>
          <w:p>
            <w:pPr>
              <w:pStyle w:val="Compact"/>
              <w:jc w:val="left"/>
            </w:pPr>
            <w:r>
              <w:t xml:space="preserve">Uncalibrated RR</w:t>
            </w:r>
          </w:p>
        </w:tc>
        <w:tc>
          <w:tcPr/>
          <w:p>
            <w:pPr>
              <w:pStyle w:val="Compact"/>
              <w:jc w:val="left"/>
            </w:pPr>
            <w:r>
              <w:t xml:space="preserve">Calibrated RR</w:t>
            </w:r>
          </w:p>
        </w:tc>
        <w:tc>
          <w:tcPr/>
          <w:p>
            <w:pPr>
              <w:pStyle w:val="Compact"/>
              <w:jc w:val="left"/>
            </w:pPr>
            <w:r>
              <w:t xml:space="preserve">Calibrated P</w:t>
            </w:r>
          </w:p>
        </w:tc>
        <w:tc>
          <w:tcPr/>
          <w:p>
            <w:pPr>
              <w:pStyle w:val="Compact"/>
              <w:jc w:val="left"/>
            </w:pPr>
            <w:r>
              <w:t xml:space="preserve">BAFhat</w:t>
            </w:r>
          </w:p>
        </w:tc>
        <w:tc>
          <w:tcPr/>
          <w:p>
            <w:pPr>
              <w:pStyle w:val="Compact"/>
              <w:jc w:val="left"/>
            </w:pPr>
            <w:r>
              <w:t xml:space="preserve">BAF 95% credible interval</w:t>
            </w:r>
          </w:p>
        </w:tc>
        <w:tc>
          <w:tcPr/>
          <w:p>
            <w:pPr>
              <w:pStyle w:val="Compact"/>
              <w:jc w:val="left"/>
            </w:pPr>
            <w:r>
              <w:t xml:space="preserve">P(bias-dominated)</w:t>
            </w:r>
          </w:p>
        </w:tc>
      </w:tr>
      <w:tr>
        <w:tc>
          <w:tcPr/>
          <w:p>
            <w:pPr>
              <w:pStyle w:val="Compact"/>
              <w:jc w:val="left"/>
            </w:pPr>
            <w:r>
              <w:t xml:space="preserve">Full cohort (all I50.x)</w:t>
            </w:r>
          </w:p>
        </w:tc>
        <w:tc>
          <w:tcPr/>
          <w:p>
            <w:pPr>
              <w:pStyle w:val="Compact"/>
              <w:jc w:val="left"/>
            </w:pPr>
            <w:r>
              <w:t xml:space="preserve">14,677</w:t>
            </w:r>
          </w:p>
        </w:tc>
        <w:tc>
          <w:tcPr/>
          <w:p>
            <w:pPr>
              <w:pStyle w:val="Compact"/>
              <w:jc w:val="left"/>
            </w:pPr>
            <w:r>
              <w:t xml:space="preserve">2,781</w:t>
            </w:r>
          </w:p>
        </w:tc>
        <w:tc>
          <w:tcPr/>
          <w:p>
            <w:pPr>
              <w:pStyle w:val="Compact"/>
              <w:jc w:val="left"/>
            </w:pPr>
            <w:r>
              <w:t xml:space="preserve">0.831</w:t>
            </w:r>
          </w:p>
        </w:tc>
        <w:tc>
          <w:tcPr/>
          <w:p>
            <w:pPr>
              <w:pStyle w:val="Compact"/>
              <w:jc w:val="left"/>
            </w:pPr>
            <w:r>
              <w:t xml:space="preserve">0.983</w:t>
            </w:r>
          </w:p>
        </w:tc>
        <w:tc>
          <w:tcPr/>
          <w:p>
            <w:pPr>
              <w:pStyle w:val="Compact"/>
              <w:jc w:val="left"/>
            </w:pPr>
            <w:r>
              <w:t xml:space="preserve">.8938</w:t>
            </w:r>
          </w:p>
        </w:tc>
        <w:tc>
          <w:tcPr/>
          <w:p>
            <w:pPr>
              <w:pStyle w:val="Compact"/>
              <w:jc w:val="left"/>
            </w:pPr>
            <w:r>
              <w:t xml:space="preserve">0.875</w:t>
            </w:r>
          </w:p>
        </w:tc>
        <w:tc>
          <w:tcPr/>
          <w:p>
            <w:pPr>
              <w:pStyle w:val="Compact"/>
              <w:jc w:val="left"/>
            </w:pPr>
            <w:r>
              <w:t xml:space="preserve">0.385–0.992</w:t>
            </w:r>
          </w:p>
        </w:tc>
        <w:tc>
          <w:tcPr/>
          <w:p>
            <w:pPr>
              <w:pStyle w:val="Compact"/>
              <w:jc w:val="left"/>
            </w:pPr>
            <w:r>
              <w:t xml:space="preserve">0.994</w:t>
            </w:r>
          </w:p>
        </w:tc>
      </w:tr>
      <w:tr>
        <w:tc>
          <w:tcPr/>
          <w:p>
            <w:pPr>
              <w:pStyle w:val="Compact"/>
              <w:jc w:val="left"/>
            </w:pPr>
            <w:r>
              <w:t xml:space="preserve">Probable HFrEF</w:t>
            </w:r>
          </w:p>
        </w:tc>
        <w:tc>
          <w:tcPr/>
          <w:p>
            <w:pPr>
              <w:pStyle w:val="Compact"/>
              <w:jc w:val="left"/>
            </w:pPr>
            <w:r>
              <w:t xml:space="preserve">3,278</w:t>
            </w:r>
          </w:p>
        </w:tc>
        <w:tc>
          <w:tcPr/>
          <w:p>
            <w:pPr>
              <w:pStyle w:val="Compact"/>
              <w:jc w:val="left"/>
            </w:pPr>
            <w:r>
              <w:t xml:space="preserve">528</w:t>
            </w:r>
          </w:p>
        </w:tc>
        <w:tc>
          <w:tcPr/>
          <w:p>
            <w:pPr>
              <w:pStyle w:val="Compact"/>
              <w:jc w:val="left"/>
            </w:pPr>
            <w:r>
              <w:t xml:space="preserve">0.813</w:t>
            </w:r>
          </w:p>
        </w:tc>
        <w:tc>
          <w:tcPr/>
          <w:p>
            <w:pPr>
              <w:pStyle w:val="Compact"/>
              <w:jc w:val="left"/>
            </w:pPr>
            <w:r>
              <w:t xml:space="preserve">0.961</w:t>
            </w:r>
          </w:p>
        </w:tc>
        <w:tc>
          <w:tcPr/>
          <w:p>
            <w:pPr>
              <w:pStyle w:val="Compact"/>
              <w:jc w:val="left"/>
            </w:pPr>
            <w:r>
              <w:t xml:space="preserve">.8071</w:t>
            </w:r>
          </w:p>
        </w:tc>
        <w:tc>
          <w:tcPr/>
          <w:p>
            <w:pPr>
              <w:pStyle w:val="Compact"/>
              <w:jc w:val="left"/>
            </w:pPr>
            <w:r>
              <w:t xml:space="preserve">0.841</w:t>
            </w:r>
          </w:p>
        </w:tc>
        <w:tc>
          <w:tcPr/>
          <w:p>
            <w:pPr>
              <w:pStyle w:val="Compact"/>
              <w:jc w:val="left"/>
            </w:pPr>
            <w:r>
              <w:t xml:space="preserve">0.342–0.993</w:t>
            </w:r>
          </w:p>
        </w:tc>
        <w:tc>
          <w:tcPr/>
          <w:p>
            <w:pPr>
              <w:pStyle w:val="Compact"/>
              <w:jc w:val="left"/>
            </w:pPr>
            <w:r>
              <w:t xml:space="preserve">0.994</w:t>
            </w:r>
          </w:p>
        </w:tc>
      </w:tr>
      <w:tr>
        <w:tc>
          <w:tcPr/>
          <w:p>
            <w:pPr>
              <w:pStyle w:val="Compact"/>
              <w:jc w:val="left"/>
            </w:pPr>
            <w:r>
              <w:t xml:space="preserve">Probable HFpEF</w:t>
            </w:r>
          </w:p>
        </w:tc>
        <w:tc>
          <w:tcPr/>
          <w:p>
            <w:pPr>
              <w:pStyle w:val="Compact"/>
              <w:jc w:val="left"/>
            </w:pPr>
            <w:r>
              <w:t xml:space="preserve">2,504</w:t>
            </w:r>
          </w:p>
        </w:tc>
        <w:tc>
          <w:tcPr/>
          <w:p>
            <w:pPr>
              <w:pStyle w:val="Compact"/>
              <w:jc w:val="left"/>
            </w:pPr>
            <w:r>
              <w:t xml:space="preserve">347</w:t>
            </w:r>
          </w:p>
        </w:tc>
        <w:tc>
          <w:tcPr/>
          <w:p>
            <w:pPr>
              <w:pStyle w:val="Compact"/>
              <w:jc w:val="left"/>
            </w:pPr>
            <w:r>
              <w:t xml:space="preserve">0.896</w:t>
            </w:r>
          </w:p>
        </w:tc>
        <w:tc>
          <w:tcPr/>
          <w:p>
            <w:pPr>
              <w:pStyle w:val="Compact"/>
              <w:jc w:val="left"/>
            </w:pPr>
            <w:r>
              <w:t xml:space="preserve">1.060</w:t>
            </w:r>
          </w:p>
        </w:tc>
        <w:tc>
          <w:tcPr/>
          <w:p>
            <w:pPr>
              <w:pStyle w:val="Compact"/>
              <w:jc w:val="left"/>
            </w:pPr>
            <w:r>
              <w:t xml:space="preserve">.7741</w:t>
            </w:r>
          </w:p>
        </w:tc>
        <w:tc>
          <w:tcPr/>
          <w:p>
            <w:pPr>
              <w:pStyle w:val="Compact"/>
              <w:jc w:val="left"/>
            </w:pPr>
            <w:r>
              <w:t xml:space="preserve">0.720</w:t>
            </w:r>
          </w:p>
        </w:tc>
        <w:tc>
          <w:tcPr/>
          <w:p>
            <w:pPr>
              <w:pStyle w:val="Compact"/>
              <w:jc w:val="left"/>
            </w:pPr>
            <w:r>
              <w:t xml:space="preserve">0.629–0.973</w:t>
            </w:r>
          </w:p>
        </w:tc>
        <w:tc>
          <w:tcPr/>
          <w:p>
            <w:pPr>
              <w:pStyle w:val="Compact"/>
              <w:jc w:val="left"/>
            </w:pPr>
            <w:r>
              <w:t xml:space="preserve">0.976</w:t>
            </w:r>
          </w:p>
        </w:tc>
      </w:tr>
    </w:tbl>
    <w:bookmarkEnd w:id="30"/>
    <w:bookmarkStart w:id="31" w:name="X20bb6e4aab109c820eea6097ce7b3cdaba57fdc"/>
    <w:p>
      <w:pPr>
        <w:pStyle w:val="Heading2"/>
      </w:pPr>
      <w:r>
        <w:t xml:space="preserve">eTable 13. Point accuracy of the BAF estimator and coverage of its credible interval</w:t>
      </w:r>
    </w:p>
    <w:p>
      <w:pPr>
        <w:pStyle w:val="TableCaption"/>
      </w:pPr>
      <w:r>
        <w:t xml:space="preserve">eTable 13. Point accuracy of the BAF estimator and coverage of its credible interval when the systematic bias plays each of the four possible roles with respect to the true effect. Inflation is the primary grid, in which the bias has the same sign as the true effect; shrinkage, cancellation, and reversal come from a mirror grid that keeps every other design factor unchanged and gives the bias center a positive sign. The role is assigned by the sign of the expected observed effect, ψ + μB. The mean signed difference and the root mean squared error are on the BAF scale, as is the median half-width of the reported 95% credible interval; coverage is the share of repetitions in which that interval contains the true BAF. The four roles together span 1,920 conditions and 1,920,000 repetitions.</w:t>
      </w:r>
    </w:p>
    <w:tbl>
      <w:tblPr>
        <w:tblStyle w:val="Table"/>
        <w:tblW w:type="pct" w:w="5000"/>
        <w:tblLayout w:type="fixed"/>
        <w:tblLook w:firstRow="1" w:lastRow="0" w:firstColumn="0" w:lastColumn="0" w:noHBand="0" w:noVBand="0" w:val="0020"/>
        <w:tblCaption w:val="eTable 13. Point accuracy of the BAF estimator and coverage of its credible interval when the systematic bias plays each of the four possible roles with respect to the true effect. Inflation is the primary grid, in which the bias has the same sign as the true effect; shrinkage, cancellation, and reversal come from a mirror grid that keeps every other design factor unchanged and gives the bias center a positive sign. The role is assigned by the sign of the expected observed effect, ψ + μB. The mean signed difference and the root mean squared error are on the BAF scale, as is the median half-width of the reported 95% credible interval; coverage is the share of repetitions in which that interval contains the true BAF. The four roles together span 1,920 conditions and 1,920,000 repetitions."/>
      </w:tblPr>
      <w:tblGrid>
        <w:gridCol w:w="1019"/>
        <w:gridCol w:w="862"/>
        <w:gridCol w:w="2038"/>
        <w:gridCol w:w="470"/>
        <w:gridCol w:w="2117"/>
        <w:gridCol w:w="1411"/>
      </w:tblGrid>
      <w:tr>
        <w:trPr>
          <w:tblHeader w:val="on"/>
        </w:trPr>
        <w:tc>
          <w:tcPr/>
          <w:p>
            <w:pPr>
              <w:pStyle w:val="Compact"/>
              <w:jc w:val="left"/>
            </w:pPr>
            <w:r>
              <w:t xml:space="preserve">Role</w:t>
            </w:r>
          </w:p>
        </w:tc>
        <w:tc>
          <w:tcPr/>
          <w:p>
            <w:pPr>
              <w:pStyle w:val="Compact"/>
              <w:jc w:val="left"/>
            </w:pPr>
            <w:r>
              <w:t xml:space="preserve">Conditions</w:t>
            </w:r>
          </w:p>
        </w:tc>
        <w:tc>
          <w:tcPr/>
          <w:p>
            <w:pPr>
              <w:pStyle w:val="Compact"/>
              <w:jc w:val="left"/>
            </w:pPr>
            <w:r>
              <w:t xml:space="preserve">Mean BAFhat minus BAFtrue</w:t>
            </w:r>
          </w:p>
        </w:tc>
        <w:tc>
          <w:tcPr/>
          <w:p>
            <w:pPr>
              <w:pStyle w:val="Compact"/>
              <w:jc w:val="left"/>
            </w:pPr>
            <w:r>
              <w:t xml:space="preserve">RMSE</w:t>
            </w:r>
          </w:p>
        </w:tc>
        <w:tc>
          <w:tcPr/>
          <w:p>
            <w:pPr>
              <w:pStyle w:val="Compact"/>
              <w:jc w:val="left"/>
            </w:pPr>
            <w:r>
              <w:t xml:space="preserve">Median interval half-width</w:t>
            </w:r>
          </w:p>
        </w:tc>
        <w:tc>
          <w:tcPr/>
          <w:p>
            <w:pPr>
              <w:pStyle w:val="Compact"/>
              <w:jc w:val="left"/>
            </w:pPr>
            <w:r>
              <w:t xml:space="preserve">Interval coverage</w:t>
            </w:r>
          </w:p>
        </w:tc>
      </w:tr>
      <w:tr>
        <w:tc>
          <w:tcPr/>
          <w:p>
            <w:pPr>
              <w:pStyle w:val="Compact"/>
              <w:jc w:val="left"/>
            </w:pPr>
            <w:r>
              <w:t xml:space="preserve">Inflation</w:t>
            </w:r>
          </w:p>
        </w:tc>
        <w:tc>
          <w:tcPr/>
          <w:p>
            <w:pPr>
              <w:pStyle w:val="Compact"/>
              <w:jc w:val="left"/>
            </w:pPr>
            <w:r>
              <w:t xml:space="preserve">960</w:t>
            </w:r>
          </w:p>
        </w:tc>
        <w:tc>
          <w:tcPr/>
          <w:p>
            <w:pPr>
              <w:pStyle w:val="Compact"/>
              <w:jc w:val="left"/>
            </w:pPr>
            <w:r>
              <w:t xml:space="preserve">−0.069</w:t>
            </w:r>
          </w:p>
        </w:tc>
        <w:tc>
          <w:tcPr/>
          <w:p>
            <w:pPr>
              <w:pStyle w:val="Compact"/>
              <w:jc w:val="left"/>
            </w:pPr>
            <w:r>
              <w:t xml:space="preserve">0.155</w:t>
            </w:r>
          </w:p>
        </w:tc>
        <w:tc>
          <w:tcPr/>
          <w:p>
            <w:pPr>
              <w:pStyle w:val="Compact"/>
              <w:jc w:val="left"/>
            </w:pPr>
            <w:r>
              <w:t xml:space="preserve">0.130</w:t>
            </w:r>
          </w:p>
        </w:tc>
        <w:tc>
          <w:tcPr/>
          <w:p>
            <w:pPr>
              <w:pStyle w:val="Compact"/>
              <w:jc w:val="left"/>
            </w:pPr>
            <w:r>
              <w:t xml:space="preserve">71.1%</w:t>
            </w:r>
          </w:p>
        </w:tc>
      </w:tr>
      <w:tr>
        <w:tc>
          <w:tcPr/>
          <w:p>
            <w:pPr>
              <w:pStyle w:val="Compact"/>
              <w:jc w:val="left"/>
            </w:pPr>
            <w:r>
              <w:t xml:space="preserve">Shrinkage</w:t>
            </w:r>
          </w:p>
        </w:tc>
        <w:tc>
          <w:tcPr/>
          <w:p>
            <w:pPr>
              <w:pStyle w:val="Compact"/>
              <w:jc w:val="left"/>
            </w:pPr>
            <w:r>
              <w:t xml:space="preserve">420</w:t>
            </w:r>
          </w:p>
        </w:tc>
        <w:tc>
          <w:tcPr/>
          <w:p>
            <w:pPr>
              <w:pStyle w:val="Compact"/>
              <w:jc w:val="left"/>
            </w:pPr>
            <w:r>
              <w:t xml:space="preserve">0.030</w:t>
            </w:r>
          </w:p>
        </w:tc>
        <w:tc>
          <w:tcPr/>
          <w:p>
            <w:pPr>
              <w:pStyle w:val="Compact"/>
              <w:jc w:val="left"/>
            </w:pPr>
            <w:r>
              <w:t xml:space="preserve">0.089</w:t>
            </w:r>
          </w:p>
        </w:tc>
        <w:tc>
          <w:tcPr/>
          <w:p>
            <w:pPr>
              <w:pStyle w:val="Compact"/>
              <w:jc w:val="left"/>
            </w:pPr>
            <w:r>
              <w:t xml:space="preserve">0.037</w:t>
            </w:r>
          </w:p>
        </w:tc>
        <w:tc>
          <w:tcPr/>
          <w:p>
            <w:pPr>
              <w:pStyle w:val="Compact"/>
              <w:jc w:val="left"/>
            </w:pPr>
            <w:r>
              <w:t xml:space="preserve">46.9%</w:t>
            </w:r>
          </w:p>
        </w:tc>
      </w:tr>
      <w:tr>
        <w:tc>
          <w:tcPr/>
          <w:p>
            <w:pPr>
              <w:pStyle w:val="Compact"/>
              <w:jc w:val="left"/>
            </w:pPr>
            <w:r>
              <w:t xml:space="preserve">Cancellation</w:t>
            </w:r>
          </w:p>
        </w:tc>
        <w:tc>
          <w:tcPr/>
          <w:p>
            <w:pPr>
              <w:pStyle w:val="Compact"/>
              <w:jc w:val="left"/>
            </w:pPr>
            <w:r>
              <w:t xml:space="preserve">36</w:t>
            </w:r>
          </w:p>
        </w:tc>
        <w:tc>
          <w:tcPr/>
          <w:p>
            <w:pPr>
              <w:pStyle w:val="Compact"/>
              <w:jc w:val="left"/>
            </w:pPr>
            <w:r>
              <w:t xml:space="preserve">0.004</w:t>
            </w:r>
          </w:p>
        </w:tc>
        <w:tc>
          <w:tcPr/>
          <w:p>
            <w:pPr>
              <w:pStyle w:val="Compact"/>
              <w:jc w:val="left"/>
            </w:pPr>
            <w:r>
              <w:t xml:space="preserve">0.133</w:t>
            </w:r>
          </w:p>
        </w:tc>
        <w:tc>
          <w:tcPr/>
          <w:p>
            <w:pPr>
              <w:pStyle w:val="Compact"/>
              <w:jc w:val="left"/>
            </w:pPr>
            <w:r>
              <w:t xml:space="preserve">0.039</w:t>
            </w:r>
          </w:p>
        </w:tc>
        <w:tc>
          <w:tcPr/>
          <w:p>
            <w:pPr>
              <w:pStyle w:val="Compact"/>
              <w:jc w:val="left"/>
            </w:pPr>
            <w:r>
              <w:t xml:space="preserve">18.4%</w:t>
            </w:r>
          </w:p>
        </w:tc>
      </w:tr>
      <w:tr>
        <w:tc>
          <w:tcPr/>
          <w:p>
            <w:pPr>
              <w:pStyle w:val="Compact"/>
              <w:jc w:val="left"/>
            </w:pPr>
            <w:r>
              <w:t xml:space="preserve">Reversal</w:t>
            </w:r>
          </w:p>
        </w:tc>
        <w:tc>
          <w:tcPr/>
          <w:p>
            <w:pPr>
              <w:pStyle w:val="Compact"/>
              <w:jc w:val="left"/>
            </w:pPr>
            <w:r>
              <w:t xml:space="preserve">504</w:t>
            </w:r>
          </w:p>
        </w:tc>
        <w:tc>
          <w:tcPr/>
          <w:p>
            <w:pPr>
              <w:pStyle w:val="Compact"/>
              <w:jc w:val="left"/>
            </w:pPr>
            <w:r>
              <w:t xml:space="preserve">−0.047</w:t>
            </w:r>
          </w:p>
        </w:tc>
        <w:tc>
          <w:tcPr/>
          <w:p>
            <w:pPr>
              <w:pStyle w:val="Compact"/>
              <w:jc w:val="left"/>
            </w:pPr>
            <w:r>
              <w:t xml:space="preserve">0.142</w:t>
            </w:r>
          </w:p>
        </w:tc>
        <w:tc>
          <w:tcPr/>
          <w:p>
            <w:pPr>
              <w:pStyle w:val="Compact"/>
              <w:jc w:val="left"/>
            </w:pPr>
            <w:r>
              <w:t xml:space="preserve">0.046</w:t>
            </w:r>
          </w:p>
        </w:tc>
        <w:tc>
          <w:tcPr/>
          <w:p>
            <w:pPr>
              <w:pStyle w:val="Compact"/>
              <w:jc w:val="left"/>
            </w:pPr>
            <w:r>
              <w:t xml:space="preserve">36.1%</w:t>
            </w:r>
          </w:p>
        </w:tc>
      </w:tr>
    </w:tbl>
    <w:bookmarkEnd w:id="31"/>
    <w:bookmarkStart w:id="32" w:name="X8e663f8c1fdd6f40aca888a95cf1b7df78723fc"/>
    <w:p>
      <w:pPr>
        <w:pStyle w:val="Heading2"/>
      </w:pPr>
      <w:r>
        <w:t xml:space="preserve">eTable 14. Classification and rule performance by role of the systematic bias</w:t>
      </w:r>
    </w:p>
    <w:p>
      <w:pPr>
        <w:pStyle w:val="TableCaption"/>
      </w:pPr>
      <w:r>
        <w:t xml:space="preserve">eTable 14. Classification and rule performance when the systematic bias plays each of the four possible roles. Zone agreement is the share of repetitions in which the three-zone classification matches the true zone; layer 1 is the calibrated P value below .05; R3 declares an estimate usable only when it passes layer 1 and its whole credible interval lies below 0.5; and the misuse rate is the share of the estimates R3 endorses that are in fact bias-dominated. The final column gives the share of cells in each role whose true BAF lies above 0.5, the boundary of the bias-dominated zone; no cell in the shrinkage or cancellation roles exceeds it and every cell in the reversal role does, so the misuse rate is informative only in the inflation role, where both kinds of cell are present.</w:t>
      </w:r>
    </w:p>
    <w:tbl>
      <w:tblPr>
        <w:tblStyle w:val="Table"/>
        <w:tblW w:type="pct" w:w="5000"/>
        <w:tblLayout w:type="fixed"/>
        <w:tblLook w:firstRow="1" w:lastRow="0" w:firstColumn="0" w:lastColumn="0" w:noHBand="0" w:noVBand="0" w:val="0020"/>
        <w:tblCaption w:val="eTable 14. Classification and rule performance when the systematic bias plays each of the four possible roles. Zone agreement is the share of repetitions in which the three-zone classification matches the true zone; layer 1 is the calibrated P value below .05; R3 declares an estimate usable only when it passes layer 1 and its whole credible interval lies below 0.5; and the misuse rate is the share of the estimates R3 endorses that are in fact bias-dominated. The final column gives the share of cells in each role whose true BAF lies above 0.5, the boundary of the bias-dominated zone; no cell in the shrinkage or cancellation roles exceeds it and every cell in the reversal role does, so the misuse rate is informative only in the inflation role, where both kinds of cell are present."/>
      </w:tblPr>
      <w:tblGrid>
        <w:gridCol w:w="1303"/>
        <w:gridCol w:w="1503"/>
        <w:gridCol w:w="1303"/>
        <w:gridCol w:w="902"/>
        <w:gridCol w:w="1002"/>
        <w:gridCol w:w="1904"/>
      </w:tblGrid>
      <w:tr>
        <w:trPr>
          <w:tblHeader w:val="on"/>
        </w:trPr>
        <w:tc>
          <w:tcPr/>
          <w:p>
            <w:pPr>
              <w:pStyle w:val="Compact"/>
              <w:jc w:val="left"/>
            </w:pPr>
            <w:r>
              <w:t xml:space="preserve">Role</w:t>
            </w:r>
          </w:p>
        </w:tc>
        <w:tc>
          <w:tcPr/>
          <w:p>
            <w:pPr>
              <w:pStyle w:val="Compact"/>
              <w:jc w:val="left"/>
            </w:pPr>
            <w:r>
              <w:t xml:space="preserve">Zone agreement</w:t>
            </w:r>
          </w:p>
        </w:tc>
        <w:tc>
          <w:tcPr/>
          <w:p>
            <w:pPr>
              <w:pStyle w:val="Compact"/>
              <w:jc w:val="left"/>
            </w:pPr>
            <w:r>
              <w:t xml:space="preserve">Layer-1 pass</w:t>
            </w:r>
          </w:p>
        </w:tc>
        <w:tc>
          <w:tcPr/>
          <w:p>
            <w:pPr>
              <w:pStyle w:val="Compact"/>
              <w:jc w:val="left"/>
            </w:pPr>
            <w:r>
              <w:t xml:space="preserve">R3 yield</w:t>
            </w:r>
          </w:p>
        </w:tc>
        <w:tc>
          <w:tcPr/>
          <w:p>
            <w:pPr>
              <w:pStyle w:val="Compact"/>
              <w:jc w:val="left"/>
            </w:pPr>
            <w:r>
              <w:t xml:space="preserve">R3 misuse</w:t>
            </w:r>
          </w:p>
        </w:tc>
        <w:tc>
          <w:tcPr/>
          <w:p>
            <w:pPr>
              <w:pStyle w:val="Compact"/>
              <w:jc w:val="left"/>
            </w:pPr>
            <w:r>
              <w:t xml:space="preserve">True BAF above 0.5</w:t>
            </w:r>
          </w:p>
        </w:tc>
      </w:tr>
      <w:tr>
        <w:tc>
          <w:tcPr/>
          <w:p>
            <w:pPr>
              <w:pStyle w:val="Compact"/>
              <w:jc w:val="left"/>
            </w:pPr>
            <w:r>
              <w:t xml:space="preserve">Inflation</w:t>
            </w:r>
          </w:p>
        </w:tc>
        <w:tc>
          <w:tcPr/>
          <w:p>
            <w:pPr>
              <w:pStyle w:val="Compact"/>
              <w:jc w:val="left"/>
            </w:pPr>
            <w:r>
              <w:t xml:space="preserve">53.1%</w:t>
            </w:r>
          </w:p>
        </w:tc>
        <w:tc>
          <w:tcPr/>
          <w:p>
            <w:pPr>
              <w:pStyle w:val="Compact"/>
              <w:jc w:val="left"/>
            </w:pPr>
            <w:r>
              <w:t xml:space="preserve">61.9%</w:t>
            </w:r>
          </w:p>
        </w:tc>
        <w:tc>
          <w:tcPr/>
          <w:p>
            <w:pPr>
              <w:pStyle w:val="Compact"/>
              <w:jc w:val="left"/>
            </w:pPr>
            <w:r>
              <w:t xml:space="preserve">29.8%</w:t>
            </w:r>
          </w:p>
        </w:tc>
        <w:tc>
          <w:tcPr/>
          <w:p>
            <w:pPr>
              <w:pStyle w:val="Compact"/>
              <w:jc w:val="left"/>
            </w:pPr>
            <w:r>
              <w:t xml:space="preserve">7.4%</w:t>
            </w:r>
          </w:p>
        </w:tc>
        <w:tc>
          <w:tcPr/>
          <w:p>
            <w:pPr>
              <w:pStyle w:val="Compact"/>
              <w:jc w:val="left"/>
            </w:pPr>
            <w:r>
              <w:t xml:space="preserve">52.5%</w:t>
            </w:r>
          </w:p>
        </w:tc>
      </w:tr>
      <w:tr>
        <w:tc>
          <w:tcPr/>
          <w:p>
            <w:pPr>
              <w:pStyle w:val="Compact"/>
              <w:jc w:val="left"/>
            </w:pPr>
            <w:r>
              <w:t xml:space="preserve">Shrinkage</w:t>
            </w:r>
          </w:p>
        </w:tc>
        <w:tc>
          <w:tcPr/>
          <w:p>
            <w:pPr>
              <w:pStyle w:val="Compact"/>
              <w:jc w:val="left"/>
            </w:pPr>
            <w:r>
              <w:t xml:space="preserve">42.5%</w:t>
            </w:r>
          </w:p>
        </w:tc>
        <w:tc>
          <w:tcPr/>
          <w:p>
            <w:pPr>
              <w:pStyle w:val="Compact"/>
              <w:jc w:val="left"/>
            </w:pPr>
            <w:r>
              <w:t xml:space="preserve">86.4%</w:t>
            </w:r>
          </w:p>
        </w:tc>
        <w:tc>
          <w:tcPr/>
          <w:p>
            <w:pPr>
              <w:pStyle w:val="Compact"/>
              <w:jc w:val="left"/>
            </w:pPr>
            <w:r>
              <w:t xml:space="preserve">79.9%</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Cancellation</w:t>
            </w:r>
          </w:p>
        </w:tc>
        <w:tc>
          <w:tcPr/>
          <w:p>
            <w:pPr>
              <w:pStyle w:val="Compact"/>
              <w:jc w:val="left"/>
            </w:pPr>
            <w:r>
              <w:t xml:space="preserve">18.4%</w:t>
            </w:r>
          </w:p>
        </w:tc>
        <w:tc>
          <w:tcPr/>
          <w:p>
            <w:pPr>
              <w:pStyle w:val="Compact"/>
              <w:jc w:val="left"/>
            </w:pPr>
            <w:r>
              <w:t xml:space="preserve">46.6%</w:t>
            </w:r>
          </w:p>
        </w:tc>
        <w:tc>
          <w:tcPr/>
          <w:p>
            <w:pPr>
              <w:pStyle w:val="Compact"/>
              <w:jc w:val="left"/>
            </w:pPr>
            <w:r>
              <w:t xml:space="preserve">30.3%</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Reversal</w:t>
            </w:r>
          </w:p>
        </w:tc>
        <w:tc>
          <w:tcPr/>
          <w:p>
            <w:pPr>
              <w:pStyle w:val="Compact"/>
              <w:jc w:val="left"/>
            </w:pPr>
            <w:r>
              <w:t xml:space="preserve">84.3%</w:t>
            </w:r>
          </w:p>
        </w:tc>
        <w:tc>
          <w:tcPr/>
          <w:p>
            <w:pPr>
              <w:pStyle w:val="Compact"/>
              <w:jc w:val="left"/>
            </w:pPr>
            <w:r>
              <w:t xml:space="preserve">42.4%</w:t>
            </w:r>
          </w:p>
        </w:tc>
        <w:tc>
          <w:tcPr/>
          <w:p>
            <w:pPr>
              <w:pStyle w:val="Compact"/>
              <w:jc w:val="left"/>
            </w:pPr>
            <w:r>
              <w:t xml:space="preserve">9.5%</w:t>
            </w:r>
          </w:p>
        </w:tc>
        <w:tc>
          <w:tcPr/>
          <w:p>
            <w:pPr>
              <w:pStyle w:val="Compact"/>
              <w:jc w:val="left"/>
            </w:pPr>
            <w:r>
              <w:t xml:space="preserve">100.0%</w:t>
            </w:r>
          </w:p>
        </w:tc>
        <w:tc>
          <w:tcPr/>
          <w:p>
            <w:pPr>
              <w:pStyle w:val="Compact"/>
              <w:jc w:val="left"/>
            </w:pPr>
            <w:r>
              <w:t xml:space="preserve">100.0%</w:t>
            </w:r>
          </w:p>
        </w:tc>
      </w:tr>
    </w:tbl>
    <w:bookmarkEnd w:id="32"/>
    <w:bookmarkStart w:id="36" w:name="figures"/>
    <w:p>
      <w:pPr>
        <w:pStyle w:val="Heading2"/>
      </w:pPr>
      <w:r>
        <w:t xml:space="preserve">Figures</w:t>
      </w:r>
    </w:p>
    <w:p>
      <w:pPr>
        <w:pStyle w:val="FirstParagraph"/>
      </w:pPr>
      <w:r>
        <w:drawing>
          <wp:inline>
            <wp:extent cx="5334000" cy="3942521"/>
            <wp:effectExtent b="0" l="0" r="0" t="0"/>
            <wp:docPr descr="" title="" id="34" name="Picture"/>
            <a:graphic>
              <a:graphicData uri="http://schemas.openxmlformats.org/drawingml/2006/picture">
                <pic:pic>
                  <pic:nvPicPr>
                    <pic:cNvPr descr="../output/figures/v40/figP3_direction_roles.png" id="35" name="Picture"/>
                    <pic:cNvPicPr>
                      <a:picLocks noChangeArrowheads="1" noChangeAspect="1"/>
                    </pic:cNvPicPr>
                  </pic:nvPicPr>
                  <pic:blipFill>
                    <a:blip r:embed="rId33"/>
                    <a:stretch>
                      <a:fillRect/>
                    </a:stretch>
                  </pic:blipFill>
                  <pic:spPr bwMode="auto">
                    <a:xfrm>
                      <a:off x="0" y="0"/>
                      <a:ext cx="5334000" cy="3942521"/>
                    </a:xfrm>
                    <a:prstGeom prst="rect">
                      <a:avLst/>
                    </a:prstGeom>
                    <a:noFill/>
                    <a:ln w="9525">
                      <a:noFill/>
                      <a:headEnd/>
                      <a:tailEnd/>
                    </a:ln>
                  </pic:spPr>
                </pic:pic>
              </a:graphicData>
            </a:graphic>
          </wp:inline>
        </w:drawing>
      </w:r>
    </w:p>
    <w:p>
      <w:pPr>
        <w:pStyle w:val="BodyText"/>
      </w:pPr>
      <w:r>
        <w:rPr>
          <w:b/>
          <w:bCs/>
        </w:rPr>
        <w:t xml:space="preserve">eFigure 1.</w:t>
      </w:r>
      <w:r>
        <w:t xml:space="preserve"> </w:t>
      </w:r>
      <w:r>
        <w:t xml:space="preserve">Coverage of the 95% credible interval, and performance of the reporting rule R3, when the systematic bias plays each of the four possible roles with respect to the true effect. Panel A gives interval coverage by role, with the nominal 95% level marked; the number beneath each bar is the mean signed error of BAF̂, which stays within 0.069 of zero in every role, so the accuracy of the point estimate carries across roles while the coverage of its interval does not. Panel B gives the share of repetitions R3 declares usable and the share of those that were truly bias-dominated: the rule is at its most permissive where the bias shrinks the effect and at its most dangerous where the bias reverses it, where 100.0% of the estimates it endorses are false endorsements. The figure is drawn from the same summary file that supplies eTable 13 and eTable 14, so the three cannot drift apart. Every other figure appears in the main text (Figures 1 to 3) or in the companion interactive explainer held with the manuscript repository, which renders the argument chain, the empirical null with its negative controls, the interval coverage, the Bland-Altman agreement, the BAF distribution, the two dual-view heatmaps, the calibration curve, the cascade, the ROC curve, the 3 by 3 confusion matrix, the decision flow, and the two case cards. Every panel is generated from the same JSON that supplies the numbers in this supplement, so the explainer and the manuscript cannot drift apart.</w:t>
      </w:r>
    </w:p>
    <w:bookmarkEnd w:id="36"/>
    <w:bookmarkStart w:id="37" w:name="references"/>
    <w:p>
      <w:pPr>
        <w:pStyle w:val="Heading2"/>
      </w:pPr>
      <w:r>
        <w:t xml:space="preserve">References</w:t>
      </w:r>
    </w:p>
    <w:p>
      <w:pPr>
        <w:pStyle w:val="Compact"/>
        <w:numPr>
          <w:ilvl w:val="0"/>
          <w:numId w:val="1001"/>
        </w:numPr>
      </w:pPr>
      <w:r>
        <w:t xml:space="preserve">Efron B, Tibshirani RJ. An Introduction to the Bootstrap. Chapman &amp; Hall; 1993.</w:t>
      </w:r>
    </w:p>
    <w:p>
      <w:pPr>
        <w:pStyle w:val="Compact"/>
        <w:numPr>
          <w:ilvl w:val="0"/>
          <w:numId w:val="1001"/>
        </w:numPr>
      </w:pPr>
      <w:r>
        <w:t xml:space="preserve">Rubin DB. The Bayesian Bootstrap. Ann Stat. 1981;9(1):130-134. doi:10.1214/aos/1176345338</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jc w:val="left"/>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jc w:val="left"/>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jc w:val="left"/>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jc w:val="left"/>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jc w:val="left"/>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jc w:val="left"/>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jc w:val="left"/>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before="120" w:after="120"/>
      <w:jc w:val="left"/>
    </w:pPr>
    <w:rPr>
      <w:sz w:val="18"/>
    </w:rPr>
  </w:style>
  <w:style w:customStyle="1" w:styleId="ImageCaption" w:type="paragraph">
    <w:name w:val="Image Caption"/>
    <w:basedOn w:val="Caption"/>
    <w:pPr>
      <w:spacing w:line="240" w:lineRule="auto" w:before="120" w:after="120"/>
      <w:jc w:val="left"/>
    </w:pPr>
    <w:rPr>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for ‘Quantifying Bias in Observational Causal Estimates Using Negative Controls: The Bias Attribution Fraction’</dc:title>
  <dc:creator>Zeng Zhechun; Wang Jinwen; Zuo Huijuan; Shu Lixia</dc:creator>
  <cp:keywords/>
  <dcterms:created xsi:type="dcterms:W3CDTF">2026-09-24T08:54:26Z</dcterms:created>
  <dcterms:modified xsi:type="dcterms:W3CDTF">2026-09-24T08:54:26Z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