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493BA" w14:textId="39A59C02" w:rsidR="00CB7573" w:rsidRPr="00C02C93" w:rsidRDefault="002B364E" w:rsidP="00C02C93">
      <w:pPr>
        <w:pStyle w:val="Heading1"/>
      </w:pPr>
      <w:r w:rsidRPr="00C02C93">
        <w:rPr>
          <w:rFonts w:hint="eastAsia"/>
        </w:rPr>
        <w:t>样本量再计算</w:t>
      </w:r>
    </w:p>
    <w:p w14:paraId="6E556BAD" w14:textId="4ACD04AA" w:rsidR="007F4722" w:rsidRDefault="007F4722" w:rsidP="007F4722">
      <w:pPr>
        <w:ind w:firstLine="420"/>
      </w:pPr>
      <w:r>
        <w:rPr>
          <w:rFonts w:hint="eastAsia"/>
        </w:rPr>
        <w:t>样本量再计算，亦称样本量重新估计，是指依据预先设定的期中分析计划，利用累积的试验数据重新计算样本量，以保证最终的统计检验能达到预先设定的目标或修改后的目标，并同时能够控制</w:t>
      </w:r>
      <w:r>
        <w:t xml:space="preserve"> I</w:t>
      </w:r>
      <w:r>
        <w:rPr>
          <w:rFonts w:hint="eastAsia"/>
        </w:rPr>
        <w:t>类错误率</w:t>
      </w:r>
      <w:r>
        <w:fldChar w:fldCharType="begin"/>
      </w:r>
      <w:r>
        <w:instrText xml:space="preserve"> ADDIN NE.Ref.{52B6EFA1-7581-45A3-B3BE-8FD1F14ED81B}</w:instrText>
      </w:r>
      <w:r>
        <w:fldChar w:fldCharType="separate"/>
      </w:r>
      <w:r w:rsidR="00A46350">
        <w:rPr>
          <w:rFonts w:ascii="等线" w:eastAsia="等线" w:cs="等线"/>
          <w:color w:val="000000"/>
          <w:kern w:val="0"/>
          <w:szCs w:val="21"/>
          <w:vertAlign w:val="superscript"/>
        </w:rPr>
        <w:t>1</w:t>
      </w:r>
      <w:r>
        <w:fldChar w:fldCharType="end"/>
      </w:r>
      <w:r>
        <w:rPr>
          <w:rFonts w:hint="eastAsia"/>
        </w:rPr>
        <w:t>。</w:t>
      </w:r>
    </w:p>
    <w:p w14:paraId="0213B617" w14:textId="3E20237C" w:rsidR="007F4722" w:rsidRDefault="007F4722" w:rsidP="007F4722">
      <w:pPr>
        <w:ind w:firstLine="420"/>
      </w:pPr>
      <w:r>
        <w:rPr>
          <w:rFonts w:hint="eastAsia"/>
        </w:rPr>
        <w:t>样本量再计算可分为盲态法和非盲态法。盲态下的样本量重新估算，</w:t>
      </w:r>
      <w:r w:rsidR="00717CA8">
        <w:rPr>
          <w:rFonts w:hint="eastAsia"/>
        </w:rPr>
        <w:t>不揭盲分组信息，</w:t>
      </w:r>
      <w:r>
        <w:rPr>
          <w:rFonts w:hint="eastAsia"/>
        </w:rPr>
        <w:t>样本量根据一些重要的参数（如</w:t>
      </w:r>
      <w:r w:rsidR="00717CA8">
        <w:rPr>
          <w:rFonts w:hint="eastAsia"/>
        </w:rPr>
        <w:t>合并</w:t>
      </w:r>
      <w:r>
        <w:rPr>
          <w:rFonts w:hint="eastAsia"/>
        </w:rPr>
        <w:t>方差或</w:t>
      </w:r>
      <w:r w:rsidR="00717CA8">
        <w:rPr>
          <w:rFonts w:hint="eastAsia"/>
        </w:rPr>
        <w:t>合并</w:t>
      </w:r>
      <w:r>
        <w:rPr>
          <w:rFonts w:hint="eastAsia"/>
        </w:rPr>
        <w:t>事件发生率）进行调整，</w:t>
      </w:r>
      <w:r w:rsidR="00C02C93">
        <w:rPr>
          <w:rFonts w:hint="eastAsia"/>
        </w:rPr>
        <w:t>因</w:t>
      </w:r>
      <w:r>
        <w:rPr>
          <w:rFonts w:hint="eastAsia"/>
        </w:rPr>
        <w:t>不涉及假设检验，一般不需要调整</w:t>
      </w:r>
      <w:r>
        <w:t>I</w:t>
      </w:r>
      <w:r>
        <w:rPr>
          <w:rFonts w:hint="eastAsia"/>
        </w:rPr>
        <w:t>类错误率</w:t>
      </w:r>
      <w:r>
        <w:fldChar w:fldCharType="begin"/>
      </w:r>
      <w:r>
        <w:instrText xml:space="preserve"> ADDIN NE.Ref.{E2E3E6E4-2B19-4895-AC0E-F9BD23B71AA0}</w:instrText>
      </w:r>
      <w:r>
        <w:fldChar w:fldCharType="separate"/>
      </w:r>
      <w:r w:rsidR="00A46350">
        <w:rPr>
          <w:rFonts w:ascii="等线" w:eastAsia="等线" w:cs="等线"/>
          <w:color w:val="000000"/>
          <w:kern w:val="0"/>
          <w:szCs w:val="21"/>
          <w:vertAlign w:val="superscript"/>
        </w:rPr>
        <w:t>1, 2</w:t>
      </w:r>
      <w:r>
        <w:fldChar w:fldCharType="end"/>
      </w:r>
      <w:r>
        <w:rPr>
          <w:rFonts w:hint="eastAsia"/>
        </w:rPr>
        <w:t>。非盲态法，</w:t>
      </w:r>
      <w:r w:rsidR="00717CA8">
        <w:rPr>
          <w:rFonts w:hint="eastAsia"/>
        </w:rPr>
        <w:t>根据分组信息计算了</w:t>
      </w:r>
      <w:r>
        <w:rPr>
          <w:rFonts w:hint="eastAsia"/>
        </w:rPr>
        <w:t>试验的效应量，通常需要对I类错误率进行相应的调整。</w:t>
      </w:r>
      <w:r w:rsidR="00BB3199">
        <w:rPr>
          <w:rFonts w:hint="eastAsia"/>
        </w:rPr>
        <w:t>近年来较为流行的是promising zone（有望区）法，事先设定最大样本量及期中分析条件效能的有望区，</w:t>
      </w:r>
      <w:r w:rsidR="00A42DC3">
        <w:rPr>
          <w:rFonts w:hint="eastAsia"/>
        </w:rPr>
        <w:t>当期中分析的条件效能落入有望区时，</w:t>
      </w:r>
      <w:r w:rsidR="00BB3199">
        <w:rPr>
          <w:rFonts w:hint="eastAsia"/>
        </w:rPr>
        <w:t>可适当增加样本量</w:t>
      </w:r>
      <w:r w:rsidR="00A42DC3">
        <w:rPr>
          <w:rFonts w:hint="eastAsia"/>
        </w:rPr>
        <w:t>直</w:t>
      </w:r>
      <w:r w:rsidR="00BB3199">
        <w:rPr>
          <w:rFonts w:hint="eastAsia"/>
        </w:rPr>
        <w:t>至最大样本量以期最终研究达成；低于该区为不利区（unfavorable zone）,即使样本量</w:t>
      </w:r>
      <w:r w:rsidR="00A42DC3">
        <w:rPr>
          <w:rFonts w:hint="eastAsia"/>
        </w:rPr>
        <w:t>增加</w:t>
      </w:r>
      <w:r w:rsidR="00BB3199">
        <w:rPr>
          <w:rFonts w:hint="eastAsia"/>
        </w:rPr>
        <w:t>至最大样本量，也无法达到预期的检验效能，因此</w:t>
      </w:r>
      <w:r w:rsidR="00A42DC3">
        <w:rPr>
          <w:rFonts w:hint="eastAsia"/>
        </w:rPr>
        <w:t>不增加样本量，继续</w:t>
      </w:r>
      <w:r w:rsidR="00BB3199">
        <w:rPr>
          <w:rFonts w:hint="eastAsia"/>
        </w:rPr>
        <w:t>按原计划完成入组；高于该区为有利区（favorable zone），无需增加样本量，按原计划完成入组</w:t>
      </w:r>
      <w:r w:rsidR="00F50B32">
        <w:rPr>
          <w:rFonts w:hint="eastAsia"/>
        </w:rPr>
        <w:t>即可</w:t>
      </w:r>
      <w:r w:rsidR="00F50B32">
        <w:fldChar w:fldCharType="begin"/>
      </w:r>
      <w:r w:rsidR="00F50B32">
        <w:instrText xml:space="preserve"> ADDIN NE.Ref.{1C841F64-09BA-4B6D-B440-F8424DA713DF}</w:instrText>
      </w:r>
      <w:r w:rsidR="00F50B32">
        <w:fldChar w:fldCharType="separate"/>
      </w:r>
      <w:r w:rsidR="00A46350">
        <w:rPr>
          <w:rFonts w:ascii="等线" w:eastAsia="等线" w:cs="等线"/>
          <w:color w:val="000000"/>
          <w:kern w:val="0"/>
          <w:szCs w:val="21"/>
          <w:vertAlign w:val="superscript"/>
        </w:rPr>
        <w:t>3</w:t>
      </w:r>
      <w:r w:rsidR="00F50B32">
        <w:fldChar w:fldCharType="end"/>
      </w:r>
      <w:r w:rsidR="00BB3199">
        <w:rPr>
          <w:rFonts w:hint="eastAsia"/>
        </w:rPr>
        <w:t>。</w:t>
      </w:r>
    </w:p>
    <w:p w14:paraId="122F91EC" w14:textId="0B866E9D" w:rsidR="001868E4" w:rsidRDefault="001868E4" w:rsidP="00E17232">
      <w:pPr>
        <w:ind w:firstLine="420"/>
      </w:pPr>
      <w:r>
        <w:rPr>
          <w:rFonts w:hint="eastAsia"/>
        </w:rPr>
        <w:t>仅基于外部数据的修改。</w:t>
      </w:r>
      <w:r w:rsidR="00E17232">
        <w:rPr>
          <w:rFonts w:hint="eastAsia"/>
        </w:rPr>
        <w:t>对于产品注册类临床试验，药监局要求必须有充分的依据，并需提前与监管机构进行沟通确认后方可通过试验方案的修正案来体现</w:t>
      </w:r>
      <w:r w:rsidR="00E17232">
        <w:fldChar w:fldCharType="begin"/>
      </w:r>
      <w:r w:rsidR="00E17232">
        <w:instrText xml:space="preserve"> ADDIN NE.Ref.{FB88CD9A-086D-4745-9DC1-9F656F1FCF08}</w:instrText>
      </w:r>
      <w:r w:rsidR="00E17232">
        <w:fldChar w:fldCharType="separate"/>
      </w:r>
      <w:r w:rsidR="00A46350">
        <w:rPr>
          <w:rFonts w:ascii="等线" w:eastAsia="等线" w:cs="等线"/>
          <w:color w:val="000000"/>
          <w:kern w:val="0"/>
          <w:szCs w:val="21"/>
          <w:vertAlign w:val="superscript"/>
        </w:rPr>
        <w:t>1</w:t>
      </w:r>
      <w:r w:rsidR="00E17232">
        <w:fldChar w:fldCharType="end"/>
      </w:r>
      <w:r w:rsidR="00E17232">
        <w:rPr>
          <w:rFonts w:hint="eastAsia"/>
        </w:rPr>
        <w:t>。</w:t>
      </w:r>
    </w:p>
    <w:p w14:paraId="5F064FAA" w14:textId="530EFE2E" w:rsidR="00C02C93" w:rsidRDefault="00C02C93" w:rsidP="00E17232">
      <w:pPr>
        <w:ind w:firstLine="420"/>
      </w:pPr>
      <w:r>
        <w:rPr>
          <w:rFonts w:hint="eastAsia"/>
        </w:rPr>
        <w:t>各种原因造成的非预先计划的样本量再计算，临床研究中并不少见，应给予足够的重视。</w:t>
      </w:r>
    </w:p>
    <w:p w14:paraId="1587037A" w14:textId="16B6662E" w:rsidR="007F4722" w:rsidRPr="00C02C93" w:rsidRDefault="007F4722" w:rsidP="00C02C93">
      <w:pPr>
        <w:pStyle w:val="Heading2"/>
      </w:pPr>
      <w:r w:rsidRPr="00C02C93">
        <w:rPr>
          <w:rFonts w:hint="eastAsia"/>
        </w:rPr>
        <w:t>盲态法样本量再计算</w:t>
      </w:r>
    </w:p>
    <w:p w14:paraId="6057327D" w14:textId="2C99C822" w:rsidR="00CA5A2B" w:rsidRDefault="009672CA" w:rsidP="00CA5A2B">
      <w:pPr>
        <w:ind w:firstLineChars="200" w:firstLine="420"/>
      </w:pPr>
      <w:r>
        <w:t xml:space="preserve">例 </w:t>
      </w:r>
      <w:r w:rsidR="009A2E2B">
        <w:fldChar w:fldCharType="begin"/>
      </w:r>
      <w:r w:rsidR="009A2E2B">
        <w:instrText xml:space="preserve"> STYLEREF 1 \s </w:instrText>
      </w:r>
      <w:r w:rsidR="009A2E2B">
        <w:fldChar w:fldCharType="separate"/>
      </w:r>
      <w:r w:rsidR="009A2E2B">
        <w:rPr>
          <w:noProof/>
        </w:rPr>
        <w:t>13</w:t>
      </w:r>
      <w:r w:rsidR="009A2E2B">
        <w:fldChar w:fldCharType="end"/>
      </w:r>
      <w:r w:rsidR="009A2E2B">
        <w:noBreakHyphen/>
      </w:r>
      <w:r w:rsidR="009A2E2B">
        <w:fldChar w:fldCharType="begin"/>
      </w:r>
      <w:r w:rsidR="009A2E2B">
        <w:instrText xml:space="preserve"> SEQ 例 \* ARABIC \s 1 </w:instrText>
      </w:r>
      <w:r w:rsidR="009A2E2B">
        <w:fldChar w:fldCharType="separate"/>
      </w:r>
      <w:r w:rsidR="009A2E2B">
        <w:rPr>
          <w:noProof/>
        </w:rPr>
        <w:t>1</w:t>
      </w:r>
      <w:r w:rsidR="009A2E2B">
        <w:fldChar w:fldCharType="end"/>
      </w:r>
      <w:r>
        <w:rPr>
          <w:rFonts w:hint="eastAsia"/>
        </w:rPr>
        <w:t xml:space="preserve"> </w:t>
      </w:r>
      <w:r w:rsidR="00CA5A2B">
        <w:rPr>
          <w:rFonts w:hint="eastAsia"/>
        </w:rPr>
        <w:t>VPS</w:t>
      </w:r>
      <w:r w:rsidR="00CA5A2B">
        <w:t xml:space="preserve"> II</w:t>
      </w:r>
      <w:r w:rsidR="00CA5A2B">
        <w:rPr>
          <w:rFonts w:hint="eastAsia"/>
        </w:rPr>
        <w:t>随机对照双盲试验</w:t>
      </w:r>
      <w:r w:rsidR="00CA5A2B">
        <w:fldChar w:fldCharType="begin"/>
      </w:r>
      <w:r w:rsidR="00CA5A2B">
        <w:instrText xml:space="preserve"> ADDIN NE.Ref.{19D20B31-AC3F-4655-90DF-DC4E8CE0DA9D}</w:instrText>
      </w:r>
      <w:r w:rsidR="00CA5A2B">
        <w:fldChar w:fldCharType="separate"/>
      </w:r>
      <w:r w:rsidR="00A46350">
        <w:rPr>
          <w:rFonts w:ascii="等线" w:eastAsia="等线" w:cs="等线"/>
          <w:color w:val="000000"/>
          <w:kern w:val="0"/>
          <w:szCs w:val="21"/>
          <w:vertAlign w:val="superscript"/>
        </w:rPr>
        <w:t>4</w:t>
      </w:r>
      <w:r w:rsidR="00CA5A2B">
        <w:fldChar w:fldCharType="end"/>
      </w:r>
      <w:r w:rsidR="00CA5A2B">
        <w:rPr>
          <w:rFonts w:hint="eastAsia"/>
        </w:rPr>
        <w:t>评价了起搏器在血管迷走性晕厥中的疗效，所有患者均植入带有频率骤降反应功能的双腔起搏器，对照组程控为仅感知，不进行起搏。假设起搏器治疗可以将6个月晕厥事件由6</w:t>
      </w:r>
      <w:r w:rsidR="00CA5A2B">
        <w:t>0%</w:t>
      </w:r>
      <w:r w:rsidR="00CA5A2B">
        <w:rPr>
          <w:rFonts w:hint="eastAsia"/>
        </w:rPr>
        <w:t>降为3</w:t>
      </w:r>
      <w:r w:rsidR="00CA5A2B">
        <w:t>0%</w:t>
      </w:r>
      <w:r w:rsidR="00CA5A2B">
        <w:rPr>
          <w:rFonts w:hint="eastAsia"/>
        </w:rPr>
        <w:t>，检验效能8</w:t>
      </w:r>
      <w:r w:rsidR="00CA5A2B">
        <w:t>0%</w:t>
      </w:r>
      <w:r w:rsidR="00CA5A2B">
        <w:rPr>
          <w:rFonts w:hint="eastAsia"/>
        </w:rPr>
        <w:t>，则共需8</w:t>
      </w:r>
      <w:r w:rsidR="00CA5A2B">
        <w:t>0</w:t>
      </w:r>
      <w:r w:rsidR="00CA5A2B">
        <w:rPr>
          <w:rFonts w:hint="eastAsia"/>
        </w:rPr>
        <w:t>例患者。</w:t>
      </w:r>
    </w:p>
    <w:p w14:paraId="54107716" w14:textId="77777777" w:rsidR="00CA5A2B" w:rsidRDefault="00CA5A2B" w:rsidP="00CA5A2B">
      <w:pPr>
        <w:autoSpaceDE w:val="0"/>
        <w:autoSpaceDN w:val="0"/>
        <w:adjustRightInd w:val="0"/>
        <w:ind w:firstLine="420"/>
        <w:jc w:val="left"/>
      </w:pPr>
      <w:r>
        <w:rPr>
          <w:rFonts w:hint="eastAsia"/>
        </w:rPr>
        <w:t>研究在入组6</w:t>
      </w:r>
      <w:r>
        <w:t>0</w:t>
      </w:r>
      <w:r>
        <w:rPr>
          <w:rFonts w:hint="eastAsia"/>
        </w:rPr>
        <w:t>例患者后发现实际的总事件率低于预期，样本量增加至1</w:t>
      </w:r>
      <w:r>
        <w:t>00</w:t>
      </w:r>
      <w:r>
        <w:rPr>
          <w:rFonts w:hint="eastAsia"/>
        </w:rPr>
        <w:t>例。结果6个月累积晕厥率在对照组为</w:t>
      </w:r>
      <w:r>
        <w:t>40%</w:t>
      </w:r>
      <w:r>
        <w:rPr>
          <w:rFonts w:hint="eastAsia"/>
        </w:rPr>
        <w:t>，试验组为3</w:t>
      </w:r>
      <w:r>
        <w:t>1%</w:t>
      </w:r>
      <w:r>
        <w:rPr>
          <w:rFonts w:hint="eastAsia"/>
        </w:rPr>
        <w:t>，降低了3</w:t>
      </w:r>
      <w:r>
        <w:t>0%</w:t>
      </w:r>
      <w:r>
        <w:rPr>
          <w:rFonts w:hint="eastAsia"/>
        </w:rPr>
        <w:t>（</w:t>
      </w:r>
      <w:r>
        <w:t>95%</w:t>
      </w:r>
      <w:r>
        <w:rPr>
          <w:rFonts w:hint="eastAsia"/>
        </w:rPr>
        <w:t>置信区间</w:t>
      </w:r>
      <w:r>
        <w:t>-33%~63</w:t>
      </w:r>
      <w:r>
        <w:rPr>
          <w:rFonts w:hint="eastAsia"/>
        </w:rPr>
        <w:t>%，log</w:t>
      </w:r>
      <w:r>
        <w:t>-</w:t>
      </w:r>
      <w:r>
        <w:rPr>
          <w:rFonts w:hint="eastAsia"/>
        </w:rPr>
        <w:t>rank</w:t>
      </w:r>
      <w:r>
        <w:t xml:space="preserve"> </w:t>
      </w:r>
      <w:r>
        <w:rPr>
          <w:rFonts w:hint="eastAsia"/>
        </w:rPr>
        <w:t>P</w:t>
      </w:r>
      <w:r>
        <w:t>=0.14</w:t>
      </w:r>
      <w:r>
        <w:rPr>
          <w:rFonts w:hint="eastAsia"/>
        </w:rPr>
        <w:t>），研究未达成。</w:t>
      </w:r>
    </w:p>
    <w:p w14:paraId="6ACD5CA9" w14:textId="50C71295" w:rsidR="009672CA" w:rsidRDefault="009672CA" w:rsidP="00C56ABC">
      <w:pPr>
        <w:ind w:firstLineChars="200" w:firstLine="420"/>
      </w:pPr>
      <w:r>
        <w:t xml:space="preserve">例 </w:t>
      </w:r>
      <w:r w:rsidR="009A2E2B">
        <w:fldChar w:fldCharType="begin"/>
      </w:r>
      <w:r w:rsidR="009A2E2B">
        <w:instrText xml:space="preserve"> STYLEREF 1 \s </w:instrText>
      </w:r>
      <w:r w:rsidR="009A2E2B">
        <w:fldChar w:fldCharType="separate"/>
      </w:r>
      <w:r w:rsidR="009A2E2B">
        <w:rPr>
          <w:noProof/>
        </w:rPr>
        <w:t>13</w:t>
      </w:r>
      <w:r w:rsidR="009A2E2B">
        <w:fldChar w:fldCharType="end"/>
      </w:r>
      <w:r w:rsidR="009A2E2B">
        <w:noBreakHyphen/>
      </w:r>
      <w:r w:rsidR="009A2E2B">
        <w:fldChar w:fldCharType="begin"/>
      </w:r>
      <w:r w:rsidR="009A2E2B">
        <w:instrText xml:space="preserve"> SEQ 例 \* ARABIC \s 1 </w:instrText>
      </w:r>
      <w:r w:rsidR="009A2E2B">
        <w:fldChar w:fldCharType="separate"/>
      </w:r>
      <w:r w:rsidR="009A2E2B">
        <w:rPr>
          <w:noProof/>
        </w:rPr>
        <w:t>2</w:t>
      </w:r>
      <w:r w:rsidR="009A2E2B">
        <w:fldChar w:fldCharType="end"/>
      </w:r>
      <w:r>
        <w:rPr>
          <w:rFonts w:hint="eastAsia"/>
        </w:rPr>
        <w:t xml:space="preserve"> </w:t>
      </w:r>
      <w:r w:rsidR="00E76AD9">
        <w:t>ARISTOTLE</w:t>
      </w:r>
      <w:r>
        <w:rPr>
          <w:rFonts w:hint="eastAsia"/>
        </w:rPr>
        <w:t>研究</w:t>
      </w:r>
      <w:r>
        <w:fldChar w:fldCharType="begin"/>
      </w:r>
      <w:r>
        <w:instrText xml:space="preserve"> ADDIN NE.Ref.{DB31A6BE-BCBD-4371-8164-5F531176BB00}</w:instrText>
      </w:r>
      <w:r>
        <w:fldChar w:fldCharType="separate"/>
      </w:r>
      <w:r w:rsidR="00A46350">
        <w:rPr>
          <w:rFonts w:ascii="等线" w:eastAsia="等线" w:cs="等线"/>
          <w:color w:val="000000"/>
          <w:kern w:val="0"/>
          <w:szCs w:val="21"/>
          <w:vertAlign w:val="superscript"/>
        </w:rPr>
        <w:t>5</w:t>
      </w:r>
      <w:r>
        <w:fldChar w:fldCharType="end"/>
      </w:r>
      <w:r>
        <w:rPr>
          <w:rFonts w:hint="eastAsia"/>
        </w:rPr>
        <w:t>为新型口服抗凝药与华法林在房颤卒中高危患者中的非劣效比较，假设主要终点事件率为1.67/100患者年，研究进展过程中盲态数据显示主要终点事件率为1.2/100患者年，样本量从15000增加至18000。</w:t>
      </w:r>
    </w:p>
    <w:p w14:paraId="0CC9ABB6" w14:textId="71BE8FC5" w:rsidR="002F4741" w:rsidRDefault="002F4741" w:rsidP="00C56ABC">
      <w:pPr>
        <w:ind w:firstLineChars="200" w:firstLine="420"/>
      </w:pPr>
      <w:r>
        <w:rPr>
          <w:rFonts w:hint="eastAsia"/>
        </w:rPr>
        <w:t>FAME3</w:t>
      </w:r>
      <w:r w:rsidR="00884447">
        <w:fldChar w:fldCharType="begin"/>
      </w:r>
      <w:r w:rsidR="00884447">
        <w:instrText xml:space="preserve"> ADDIN NE.Ref.{121E90DC-38A3-4E21-8E13-ECFF9A4EC08C}</w:instrText>
      </w:r>
      <w:r w:rsidR="00884447">
        <w:fldChar w:fldCharType="separate"/>
      </w:r>
      <w:r w:rsidR="00A46350">
        <w:rPr>
          <w:rFonts w:ascii="等线" w:eastAsia="等线" w:cs="等线"/>
          <w:color w:val="000000"/>
          <w:kern w:val="0"/>
          <w:szCs w:val="21"/>
          <w:vertAlign w:val="superscript"/>
        </w:rPr>
        <w:t>6</w:t>
      </w:r>
      <w:r w:rsidR="00884447">
        <w:fldChar w:fldCharType="end"/>
      </w:r>
    </w:p>
    <w:p w14:paraId="18E46F67" w14:textId="77777777" w:rsidR="0011459B" w:rsidRDefault="0011459B" w:rsidP="0011459B">
      <w:pPr>
        <w:ind w:firstLineChars="200" w:firstLine="420"/>
      </w:pPr>
      <w:r>
        <w:t>During recruit</w:t>
      </w:r>
      <w:r>
        <w:t xml:space="preserve">ment and without knowledge of event rates, the </w:t>
      </w:r>
    </w:p>
    <w:p w14:paraId="0E927ED0" w14:textId="77777777" w:rsidR="0011459B" w:rsidRDefault="0011459B" w:rsidP="0011459B">
      <w:pPr>
        <w:ind w:firstLineChars="200" w:firstLine="420"/>
      </w:pPr>
      <w:r>
        <w:t xml:space="preserve">trial steering committee decided to increase the </w:t>
      </w:r>
    </w:p>
    <w:p w14:paraId="2517B47A" w14:textId="77777777" w:rsidR="0011459B" w:rsidRDefault="0011459B" w:rsidP="0011459B">
      <w:pPr>
        <w:ind w:firstLineChars="200" w:firstLine="420"/>
      </w:pPr>
      <w:r>
        <w:t xml:space="preserve">noninferiority margin to an upper boundary of </w:t>
      </w:r>
    </w:p>
    <w:p w14:paraId="197367AB" w14:textId="77777777" w:rsidR="0011459B" w:rsidRDefault="0011459B" w:rsidP="0011459B">
      <w:pPr>
        <w:ind w:firstLineChars="200" w:firstLine="420"/>
      </w:pPr>
      <w:r>
        <w:t xml:space="preserve">less than 1.65 for the 95% confidence interval </w:t>
      </w:r>
    </w:p>
    <w:p w14:paraId="7B5CB933" w14:textId="77777777" w:rsidR="0011459B" w:rsidRDefault="0011459B" w:rsidP="0011459B">
      <w:pPr>
        <w:ind w:firstLineChars="200" w:firstLine="420"/>
      </w:pPr>
      <w:r>
        <w:t xml:space="preserve">of the hazard ratio because it was thought to be </w:t>
      </w:r>
    </w:p>
    <w:p w14:paraId="2F39CE91" w14:textId="77777777" w:rsidR="0011459B" w:rsidRDefault="0011459B" w:rsidP="0011459B">
      <w:pPr>
        <w:ind w:firstLineChars="200" w:firstLine="420"/>
      </w:pPr>
      <w:r>
        <w:t xml:space="preserve">more appropriate </w:t>
      </w:r>
      <w:proofErr w:type="gramStart"/>
      <w:r>
        <w:t>on the basis of</w:t>
      </w:r>
      <w:proofErr w:type="gramEnd"/>
      <w:r>
        <w:t xml:space="preserve"> newly pub</w:t>
      </w:r>
      <w:r>
        <w:t xml:space="preserve">lished clinical trials comparing CABG with PCI, </w:t>
      </w:r>
    </w:p>
    <w:p w14:paraId="57B66006" w14:textId="77777777" w:rsidR="0011459B" w:rsidRDefault="0011459B" w:rsidP="0011459B">
      <w:pPr>
        <w:ind w:firstLineChars="200" w:firstLine="420"/>
      </w:pPr>
      <w:r>
        <w:t>which reported major adverse cardiac or cerebro</w:t>
      </w:r>
      <w:r>
        <w:t xml:space="preserve">vascular events occurring in no more than 10% </w:t>
      </w:r>
    </w:p>
    <w:p w14:paraId="0A8EADBC" w14:textId="77777777" w:rsidR="0011459B" w:rsidRDefault="0011459B" w:rsidP="0011459B">
      <w:pPr>
        <w:ind w:firstLineChars="200" w:firstLine="420"/>
      </w:pPr>
      <w:r>
        <w:t xml:space="preserve">of the patients randomly assigned to undergo </w:t>
      </w:r>
    </w:p>
    <w:p w14:paraId="1EABB9D3" w14:textId="77777777" w:rsidR="0011459B" w:rsidRDefault="0011459B" w:rsidP="0011459B">
      <w:pPr>
        <w:ind w:firstLineChars="200" w:firstLine="420"/>
      </w:pPr>
      <w:r>
        <w:t xml:space="preserve">CABG and used noninferiority margins similar </w:t>
      </w:r>
    </w:p>
    <w:p w14:paraId="3D0493CB" w14:textId="351D48DB" w:rsidR="0011459B" w:rsidRDefault="0011459B" w:rsidP="0011459B">
      <w:pPr>
        <w:ind w:firstLineChars="200" w:firstLine="420"/>
      </w:pPr>
      <w:r>
        <w:t>to a hazard ratio of 1.65.</w:t>
      </w:r>
    </w:p>
    <w:p w14:paraId="73A698CD" w14:textId="77777777" w:rsidR="0011459B" w:rsidRDefault="0011459B" w:rsidP="0011459B">
      <w:pPr>
        <w:ind w:firstLineChars="200" w:firstLine="420"/>
      </w:pPr>
      <w:r>
        <w:t xml:space="preserve"> With this change, a </w:t>
      </w:r>
    </w:p>
    <w:p w14:paraId="5940EA4E" w14:textId="77777777" w:rsidR="0011459B" w:rsidRDefault="0011459B" w:rsidP="0011459B">
      <w:pPr>
        <w:ind w:firstLineChars="200" w:firstLine="420"/>
      </w:pPr>
      <w:r>
        <w:t xml:space="preserve">sample of 645 patients per group (1290 for the </w:t>
      </w:r>
    </w:p>
    <w:p w14:paraId="2A6999AA" w14:textId="77777777" w:rsidR="0011459B" w:rsidRDefault="0011459B" w:rsidP="0011459B">
      <w:pPr>
        <w:ind w:firstLineChars="200" w:firstLine="420"/>
      </w:pPr>
      <w:r>
        <w:t xml:space="preserve">entire trial) was required to achieve 90% power </w:t>
      </w:r>
    </w:p>
    <w:p w14:paraId="3038D4BE" w14:textId="77777777" w:rsidR="0011459B" w:rsidRDefault="0011459B" w:rsidP="0011459B">
      <w:pPr>
        <w:ind w:firstLineChars="200" w:firstLine="420"/>
      </w:pPr>
      <w:r>
        <w:t xml:space="preserve">to claim noninferiority; however, the steering </w:t>
      </w:r>
    </w:p>
    <w:p w14:paraId="0F464987" w14:textId="77777777" w:rsidR="0011459B" w:rsidRDefault="0011459B" w:rsidP="0011459B">
      <w:pPr>
        <w:ind w:firstLineChars="200" w:firstLine="420"/>
      </w:pPr>
      <w:r>
        <w:lastRenderedPageBreak/>
        <w:t xml:space="preserve">committee elected to complete the scheduled </w:t>
      </w:r>
    </w:p>
    <w:p w14:paraId="5894EFE5" w14:textId="167F84FB" w:rsidR="0011459B" w:rsidRDefault="0011459B" w:rsidP="0011459B">
      <w:pPr>
        <w:ind w:firstLineChars="200" w:firstLine="420"/>
      </w:pPr>
      <w:r>
        <w:t>enrollment of 1500 patients</w:t>
      </w:r>
    </w:p>
    <w:p w14:paraId="14BD05D8" w14:textId="77777777" w:rsidR="002F4741" w:rsidRDefault="002F4741" w:rsidP="002F4741">
      <w:pPr>
        <w:ind w:firstLineChars="200" w:firstLine="420"/>
      </w:pPr>
      <w:r>
        <w:t>It is important to note that the decision to change the non</w:t>
      </w:r>
      <w:r>
        <w:t>inferiority margin was made by the steering committee</w:t>
      </w:r>
    </w:p>
    <w:p w14:paraId="3295DF6D" w14:textId="77777777" w:rsidR="002F4741" w:rsidRDefault="002F4741" w:rsidP="002F4741">
      <w:pPr>
        <w:ind w:firstLineChars="200" w:firstLine="420"/>
      </w:pPr>
      <w:r>
        <w:t>without knowledge of the event rates in either of the</w:t>
      </w:r>
    </w:p>
    <w:p w14:paraId="216413E1" w14:textId="3AA915AA" w:rsidR="002F4741" w:rsidRDefault="002F4741" w:rsidP="002F4741">
      <w:pPr>
        <w:ind w:firstLineChars="200" w:firstLine="420"/>
      </w:pPr>
      <w:r>
        <w:t>randomized arms</w:t>
      </w:r>
    </w:p>
    <w:p w14:paraId="0B725264" w14:textId="62CEEB51" w:rsidR="00A46350" w:rsidRDefault="00A46350" w:rsidP="002F4741">
      <w:pPr>
        <w:ind w:firstLineChars="200" w:firstLine="420"/>
      </w:pPr>
      <w:r w:rsidRPr="00A46350">
        <w:t>FULL REVASC</w:t>
      </w:r>
      <w:r>
        <w:fldChar w:fldCharType="begin"/>
      </w:r>
      <w:r>
        <w:instrText xml:space="preserve"> ADDIN NE.Ref.{43B22E04-F208-4AA7-9CEB-B17B00E74CBA}</w:instrText>
      </w:r>
      <w:r>
        <w:fldChar w:fldCharType="separate"/>
      </w:r>
      <w:r>
        <w:rPr>
          <w:rFonts w:ascii="等线" w:eastAsia="等线" w:cs="等线"/>
          <w:color w:val="000000"/>
          <w:kern w:val="0"/>
          <w:szCs w:val="21"/>
          <w:vertAlign w:val="superscript"/>
        </w:rPr>
        <w:t>7</w:t>
      </w:r>
      <w:r>
        <w:fldChar w:fldCharType="end"/>
      </w:r>
    </w:p>
    <w:p w14:paraId="232FD21C" w14:textId="1AAF7EE4" w:rsidR="00A46350" w:rsidRPr="002F4741" w:rsidRDefault="00A46350" w:rsidP="002F4741">
      <w:pPr>
        <w:ind w:firstLineChars="200" w:firstLine="420"/>
        <w:rPr>
          <w:rFonts w:hint="eastAsia"/>
        </w:rPr>
      </w:pPr>
      <w:r w:rsidRPr="00A46350">
        <w:drawing>
          <wp:inline distT="0" distB="0" distL="0" distR="0" wp14:anchorId="59A3ADAB" wp14:editId="5F5C6EE7">
            <wp:extent cx="5486400" cy="1288415"/>
            <wp:effectExtent l="0" t="0" r="0" b="6985"/>
            <wp:docPr id="6" name="Picture 5" descr="A close-up of a text&#10;&#10;Description automatically generated">
              <a:extLst xmlns:a="http://schemas.openxmlformats.org/drawingml/2006/main">
                <a:ext uri="{FF2B5EF4-FFF2-40B4-BE49-F238E27FC236}">
                  <a16:creationId xmlns:a16="http://schemas.microsoft.com/office/drawing/2014/main" id="{62938C0E-1253-971A-DF36-B293E6548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up of a text&#10;&#10;Description automatically generated">
                      <a:extLst>
                        <a:ext uri="{FF2B5EF4-FFF2-40B4-BE49-F238E27FC236}">
                          <a16:creationId xmlns:a16="http://schemas.microsoft.com/office/drawing/2014/main" id="{62938C0E-1253-971A-DF36-B293E65486C0}"/>
                        </a:ext>
                      </a:extLst>
                    </pic:cNvPr>
                    <pic:cNvPicPr>
                      <a:picLocks noChangeAspect="1"/>
                    </pic:cNvPicPr>
                  </pic:nvPicPr>
                  <pic:blipFill>
                    <a:blip r:embed="rId6"/>
                    <a:stretch>
                      <a:fillRect/>
                    </a:stretch>
                  </pic:blipFill>
                  <pic:spPr>
                    <a:xfrm>
                      <a:off x="0" y="0"/>
                      <a:ext cx="5486400" cy="1288415"/>
                    </a:xfrm>
                    <a:prstGeom prst="rect">
                      <a:avLst/>
                    </a:prstGeom>
                  </pic:spPr>
                </pic:pic>
              </a:graphicData>
            </a:graphic>
          </wp:inline>
        </w:drawing>
      </w:r>
    </w:p>
    <w:p w14:paraId="4817BEA0" w14:textId="493B59EA" w:rsidR="00C56ABC" w:rsidRDefault="00C02C93" w:rsidP="006D4B0B">
      <w:pPr>
        <w:pStyle w:val="Heading2"/>
      </w:pPr>
      <w:r>
        <w:rPr>
          <w:rFonts w:hint="eastAsia"/>
        </w:rPr>
        <w:t>非盲态法样本量再计算</w:t>
      </w:r>
    </w:p>
    <w:p w14:paraId="63FE1F8A" w14:textId="3F4847A0" w:rsidR="00C028B6" w:rsidRDefault="009672CA" w:rsidP="00785342">
      <w:pPr>
        <w:ind w:firstLineChars="200" w:firstLine="420"/>
      </w:pPr>
      <w:bookmarkStart w:id="0" w:name="_Ref187589048"/>
      <w:r>
        <w:t xml:space="preserve">例 </w:t>
      </w:r>
      <w:r w:rsidR="009A2E2B">
        <w:fldChar w:fldCharType="begin"/>
      </w:r>
      <w:r w:rsidR="009A2E2B">
        <w:instrText xml:space="preserve"> STYLEREF 1 \s </w:instrText>
      </w:r>
      <w:r w:rsidR="009A2E2B">
        <w:fldChar w:fldCharType="separate"/>
      </w:r>
      <w:r w:rsidR="009A2E2B">
        <w:rPr>
          <w:noProof/>
        </w:rPr>
        <w:t>13</w:t>
      </w:r>
      <w:r w:rsidR="009A2E2B">
        <w:fldChar w:fldCharType="end"/>
      </w:r>
      <w:r w:rsidR="009A2E2B">
        <w:noBreakHyphen/>
      </w:r>
      <w:r w:rsidR="009A2E2B">
        <w:fldChar w:fldCharType="begin"/>
      </w:r>
      <w:r w:rsidR="009A2E2B">
        <w:instrText xml:space="preserve"> SEQ 例 \* ARABIC \s 1 </w:instrText>
      </w:r>
      <w:r w:rsidR="009A2E2B">
        <w:fldChar w:fldCharType="separate"/>
      </w:r>
      <w:r w:rsidR="009A2E2B">
        <w:rPr>
          <w:noProof/>
        </w:rPr>
        <w:t>3</w:t>
      </w:r>
      <w:r w:rsidR="009A2E2B">
        <w:fldChar w:fldCharType="end"/>
      </w:r>
      <w:bookmarkEnd w:id="0"/>
      <w:r w:rsidR="00785342">
        <w:t xml:space="preserve"> </w:t>
      </w:r>
      <w:r w:rsidR="00C028B6">
        <w:rPr>
          <w:rFonts w:hint="eastAsia"/>
        </w:rPr>
        <w:t>PROTECTED</w:t>
      </w:r>
      <w:r w:rsidR="00C028B6">
        <w:t xml:space="preserve"> </w:t>
      </w:r>
      <w:r w:rsidR="00C028B6">
        <w:rPr>
          <w:rFonts w:hint="eastAsia"/>
        </w:rPr>
        <w:t>TAVR研究</w:t>
      </w:r>
      <w:r w:rsidR="00785342">
        <w:fldChar w:fldCharType="begin"/>
      </w:r>
      <w:r w:rsidR="00CA5A2B">
        <w:instrText xml:space="preserve"> ADDIN NE.Ref.{3FAF191F-805B-4FA7-8FFD-2B92A077A131}</w:instrText>
      </w:r>
      <w:r w:rsidR="00785342">
        <w:fldChar w:fldCharType="separate"/>
      </w:r>
      <w:r w:rsidR="00A46350">
        <w:rPr>
          <w:rFonts w:ascii="等线" w:eastAsia="等线" w:cs="等线"/>
          <w:color w:val="000000"/>
          <w:kern w:val="0"/>
          <w:szCs w:val="21"/>
          <w:vertAlign w:val="superscript"/>
        </w:rPr>
        <w:t>8</w:t>
      </w:r>
      <w:r w:rsidR="00785342">
        <w:fldChar w:fldCharType="end"/>
      </w:r>
      <w:r w:rsidR="00C028B6">
        <w:rPr>
          <w:rFonts w:hint="eastAsia"/>
        </w:rPr>
        <w:t>旨在评价脑栓塞保护器械Sentinel在经导管主动脉瓣置换术（TAVR，t</w:t>
      </w:r>
      <w:r w:rsidR="00C028B6" w:rsidRPr="00C028B6">
        <w:t>ranscatheter aortic-valve replacement</w:t>
      </w:r>
      <w:r w:rsidR="00C028B6">
        <w:rPr>
          <w:rFonts w:hint="eastAsia"/>
        </w:rPr>
        <w:t>）中的应用。</w:t>
      </w:r>
      <w:r w:rsidR="00785342">
        <w:rPr>
          <w:rFonts w:hint="eastAsia"/>
        </w:rPr>
        <w:t>患者随机分配入Sentinel组（试验组）或对照组，主要终点为术后7</w:t>
      </w:r>
      <w:r w:rsidR="00785342">
        <w:t>2</w:t>
      </w:r>
      <w:r w:rsidR="00785342">
        <w:rPr>
          <w:rFonts w:hint="eastAsia"/>
        </w:rPr>
        <w:t>小时内的卒中。</w:t>
      </w:r>
      <w:r w:rsidR="00DE1653">
        <w:rPr>
          <w:rFonts w:hint="eastAsia"/>
        </w:rPr>
        <w:t>假设试验组和对照组的卒中率分别为2</w:t>
      </w:r>
      <w:r w:rsidR="00DE1653">
        <w:t>%</w:t>
      </w:r>
      <w:r w:rsidR="00DE1653">
        <w:rPr>
          <w:rFonts w:hint="eastAsia"/>
        </w:rPr>
        <w:t>和4</w:t>
      </w:r>
      <w:r w:rsidR="00DE1653">
        <w:t>%</w:t>
      </w:r>
      <w:r w:rsidR="00DE1653">
        <w:rPr>
          <w:rFonts w:hint="eastAsia"/>
        </w:rPr>
        <w:t>，取双侧</w:t>
      </w:r>
      <w:r w:rsidR="00DE1653">
        <w:rPr>
          <w:rFonts w:asciiTheme="minorEastAsia" w:hAnsiTheme="minorEastAsia" w:hint="eastAsia"/>
        </w:rPr>
        <w:t>α</w:t>
      </w:r>
      <w:r w:rsidR="00DE1653">
        <w:rPr>
          <w:rFonts w:hint="eastAsia"/>
        </w:rPr>
        <w:t>=</w:t>
      </w:r>
      <w:r w:rsidR="00DE1653">
        <w:t>0.05</w:t>
      </w:r>
      <w:r w:rsidR="00DE1653">
        <w:rPr>
          <w:rFonts w:hint="eastAsia"/>
        </w:rPr>
        <w:t>，则3</w:t>
      </w:r>
      <w:r w:rsidR="00DE1653">
        <w:t>000</w:t>
      </w:r>
      <w:r w:rsidR="00DE1653">
        <w:rPr>
          <w:rFonts w:hint="eastAsia"/>
        </w:rPr>
        <w:t>例患者的检验效能可超过9</w:t>
      </w:r>
      <w:r w:rsidR="00DE1653">
        <w:t>0%</w:t>
      </w:r>
      <w:r w:rsidR="00DE1653">
        <w:rPr>
          <w:rFonts w:hint="eastAsia"/>
        </w:rPr>
        <w:t>。拟入组7</w:t>
      </w:r>
      <w:r w:rsidR="00DE1653">
        <w:t>0%</w:t>
      </w:r>
      <w:r w:rsidR="00DE1653">
        <w:rPr>
          <w:rFonts w:hint="eastAsia"/>
        </w:rPr>
        <w:t>（2</w:t>
      </w:r>
      <w:r w:rsidR="00DE1653">
        <w:t>100</w:t>
      </w:r>
      <w:r w:rsidR="00DE1653">
        <w:rPr>
          <w:rFonts w:hint="eastAsia"/>
        </w:rPr>
        <w:t>）患者时进行一次期中分析，</w:t>
      </w:r>
      <w:r w:rsidR="00D45396">
        <w:rPr>
          <w:rFonts w:hint="eastAsia"/>
        </w:rPr>
        <w:t>采用Lan</w:t>
      </w:r>
      <w:r w:rsidR="00D45396">
        <w:t>-Demets</w:t>
      </w:r>
      <w:r w:rsidR="00D45396">
        <w:rPr>
          <w:rFonts w:hint="eastAsia"/>
        </w:rPr>
        <w:t>消耗函数O</w:t>
      </w:r>
      <w:r w:rsidR="00D45396">
        <w:t>’Brien-Fleming</w:t>
      </w:r>
      <w:r w:rsidR="00D45396">
        <w:rPr>
          <w:rFonts w:hint="eastAsia"/>
        </w:rPr>
        <w:t>边界，期中分析和最终分析的</w:t>
      </w:r>
      <w:r w:rsidR="00D45396">
        <w:rPr>
          <w:rFonts w:asciiTheme="minorEastAsia" w:hAnsiTheme="minorEastAsia" w:hint="eastAsia"/>
        </w:rPr>
        <w:t>α</w:t>
      </w:r>
      <w:r w:rsidR="00D45396">
        <w:rPr>
          <w:rFonts w:hint="eastAsia"/>
        </w:rPr>
        <w:t>水平分别为0</w:t>
      </w:r>
      <w:r w:rsidR="00D45396">
        <w:t>.0148</w:t>
      </w:r>
      <w:r w:rsidR="00D45396">
        <w:rPr>
          <w:rFonts w:hint="eastAsia"/>
        </w:rPr>
        <w:t>和0</w:t>
      </w:r>
      <w:r w:rsidR="00D45396">
        <w:t>.0455</w:t>
      </w:r>
      <w:r w:rsidR="00D45396">
        <w:rPr>
          <w:rFonts w:hint="eastAsia"/>
        </w:rPr>
        <w:t>。根据期中分析的结果</w:t>
      </w:r>
      <w:r w:rsidR="00DE1653">
        <w:rPr>
          <w:rFonts w:hint="eastAsia"/>
        </w:rPr>
        <w:t>决定是否</w:t>
      </w:r>
      <w:r w:rsidR="00B0424B">
        <w:rPr>
          <w:rFonts w:hint="eastAsia"/>
        </w:rPr>
        <w:t>宣布有效而</w:t>
      </w:r>
      <w:r w:rsidR="00DE1653">
        <w:rPr>
          <w:rFonts w:hint="eastAsia"/>
        </w:rPr>
        <w:t>提前终止或者调整样本量</w:t>
      </w:r>
      <w:r w:rsidR="00B0424B">
        <w:rPr>
          <w:rFonts w:hint="eastAsia"/>
        </w:rPr>
        <w:t>继续入组</w:t>
      </w:r>
      <w:r w:rsidR="00D45396">
        <w:rPr>
          <w:rFonts w:hint="eastAsia"/>
        </w:rPr>
        <w:t>，样本量最大为6</w:t>
      </w:r>
      <w:r w:rsidR="00D45396">
        <w:t>000</w:t>
      </w:r>
      <w:r w:rsidR="00DE1653">
        <w:rPr>
          <w:rFonts w:hint="eastAsia"/>
        </w:rPr>
        <w:t>。</w:t>
      </w:r>
    </w:p>
    <w:p w14:paraId="0D9A671F" w14:textId="4A1E79C9" w:rsidR="00785342" w:rsidRDefault="00CB69E8" w:rsidP="00785342">
      <w:pPr>
        <w:ind w:firstLineChars="200" w:firstLine="420"/>
      </w:pPr>
      <w:r>
        <w:rPr>
          <w:rFonts w:hint="eastAsia"/>
        </w:rPr>
        <w:t>期中分析时，试验组与对照组的卒中率分别为2</w:t>
      </w:r>
      <w:r>
        <w:t>.2%</w:t>
      </w:r>
      <w:r>
        <w:rPr>
          <w:rFonts w:hint="eastAsia"/>
        </w:rPr>
        <w:t>（2</w:t>
      </w:r>
      <w:r>
        <w:t>3</w:t>
      </w:r>
      <w:r>
        <w:rPr>
          <w:rFonts w:hint="eastAsia"/>
        </w:rPr>
        <w:t>/</w:t>
      </w:r>
      <w:r>
        <w:t>1051</w:t>
      </w:r>
      <w:r>
        <w:rPr>
          <w:rFonts w:hint="eastAsia"/>
        </w:rPr>
        <w:t>）和2</w:t>
      </w:r>
      <w:r>
        <w:t>.4%</w:t>
      </w:r>
      <w:r>
        <w:rPr>
          <w:rFonts w:hint="eastAsia"/>
        </w:rPr>
        <w:t>（2</w:t>
      </w:r>
      <w:r>
        <w:t>5</w:t>
      </w:r>
      <w:r>
        <w:rPr>
          <w:rFonts w:hint="eastAsia"/>
        </w:rPr>
        <w:t>/</w:t>
      </w:r>
      <w:r>
        <w:t>1049</w:t>
      </w:r>
      <w:r>
        <w:rPr>
          <w:rFonts w:hint="eastAsia"/>
        </w:rPr>
        <w:t>），根据既定方案建议</w:t>
      </w:r>
      <w:r w:rsidR="00785342">
        <w:rPr>
          <w:rFonts w:hint="eastAsia"/>
        </w:rPr>
        <w:t>研究</w:t>
      </w:r>
      <w:r w:rsidR="009672CA">
        <w:rPr>
          <w:rFonts w:hint="eastAsia"/>
        </w:rPr>
        <w:t>按原计划</w:t>
      </w:r>
      <w:r>
        <w:rPr>
          <w:rFonts w:hint="eastAsia"/>
        </w:rPr>
        <w:t>入组至</w:t>
      </w:r>
      <w:r w:rsidR="00785342">
        <w:rPr>
          <w:rFonts w:hint="eastAsia"/>
        </w:rPr>
        <w:t>3</w:t>
      </w:r>
      <w:r w:rsidR="00785342">
        <w:t>000</w:t>
      </w:r>
      <w:r w:rsidR="00785342">
        <w:rPr>
          <w:rFonts w:hint="eastAsia"/>
        </w:rPr>
        <w:t>例患者</w:t>
      </w:r>
      <w:r>
        <w:rPr>
          <w:rFonts w:hint="eastAsia"/>
        </w:rPr>
        <w:t>。入组完成后，</w:t>
      </w:r>
      <w:r w:rsidR="00785342">
        <w:rPr>
          <w:rFonts w:hint="eastAsia"/>
        </w:rPr>
        <w:t>主要终点在试验组和对照组分别为2</w:t>
      </w:r>
      <w:r w:rsidR="00785342">
        <w:t>.3%</w:t>
      </w:r>
      <w:r w:rsidR="00785342">
        <w:rPr>
          <w:rFonts w:hint="eastAsia"/>
        </w:rPr>
        <w:t>和2</w:t>
      </w:r>
      <w:r w:rsidR="00785342">
        <w:t>.9%</w:t>
      </w:r>
      <w:r w:rsidR="00785342">
        <w:rPr>
          <w:rFonts w:hint="eastAsia"/>
        </w:rPr>
        <w:t>（差值-</w:t>
      </w:r>
      <w:r w:rsidR="00785342">
        <w:t>0.6%</w:t>
      </w:r>
      <w:r w:rsidR="00785342">
        <w:rPr>
          <w:rFonts w:hint="eastAsia"/>
        </w:rPr>
        <w:t>，9</w:t>
      </w:r>
      <w:r w:rsidR="00785342">
        <w:t>5%</w:t>
      </w:r>
      <w:r w:rsidR="00785342">
        <w:rPr>
          <w:rFonts w:hint="eastAsia"/>
        </w:rPr>
        <w:t>置信区间-</w:t>
      </w:r>
      <w:r w:rsidR="00785342">
        <w:t>1.7%~0.5%</w:t>
      </w:r>
      <w:r w:rsidR="00785342">
        <w:rPr>
          <w:rFonts w:hint="eastAsia"/>
        </w:rPr>
        <w:t>，P</w:t>
      </w:r>
      <w:r w:rsidR="00785342">
        <w:t>=0.3</w:t>
      </w:r>
      <w:r w:rsidR="00785342">
        <w:rPr>
          <w:rFonts w:hint="eastAsia"/>
        </w:rPr>
        <w:t>），</w:t>
      </w:r>
      <w:r w:rsidR="00DE1653">
        <w:rPr>
          <w:rFonts w:hint="eastAsia"/>
        </w:rPr>
        <w:t>致残性卒中在两组分别为0</w:t>
      </w:r>
      <w:r w:rsidR="00DE1653">
        <w:t>.5%</w:t>
      </w:r>
      <w:r w:rsidR="00DE1653">
        <w:rPr>
          <w:rFonts w:hint="eastAsia"/>
        </w:rPr>
        <w:t>和1</w:t>
      </w:r>
      <w:r w:rsidR="00DE1653">
        <w:t>.3%</w:t>
      </w:r>
      <w:r w:rsidR="00DE1653">
        <w:rPr>
          <w:rFonts w:hint="eastAsia"/>
        </w:rPr>
        <w:t>（差值</w:t>
      </w:r>
      <w:r w:rsidR="00D45396">
        <w:rPr>
          <w:rFonts w:hint="eastAsia"/>
        </w:rPr>
        <w:t>-</w:t>
      </w:r>
      <w:r w:rsidR="00D45396">
        <w:t>0.8%</w:t>
      </w:r>
      <w:r w:rsidR="00D45396">
        <w:rPr>
          <w:rFonts w:hint="eastAsia"/>
        </w:rPr>
        <w:t>，9</w:t>
      </w:r>
      <w:r w:rsidR="00D45396">
        <w:t>5%</w:t>
      </w:r>
      <w:r w:rsidR="00D45396">
        <w:rPr>
          <w:rFonts w:hint="eastAsia"/>
        </w:rPr>
        <w:t>置信区间-</w:t>
      </w:r>
      <w:r w:rsidR="00D45396">
        <w:t>1.5%~-0.1%</w:t>
      </w:r>
      <w:r w:rsidR="00DE1653">
        <w:rPr>
          <w:rFonts w:hint="eastAsia"/>
        </w:rPr>
        <w:t>）</w:t>
      </w:r>
      <w:r w:rsidR="00D45396">
        <w:rPr>
          <w:rFonts w:hint="eastAsia"/>
        </w:rPr>
        <w:t>。</w:t>
      </w:r>
    </w:p>
    <w:p w14:paraId="273A1113" w14:textId="32211EBD" w:rsidR="00D45396" w:rsidRDefault="009672CA" w:rsidP="00785342">
      <w:pPr>
        <w:ind w:firstLineChars="200" w:firstLine="420"/>
      </w:pPr>
      <w:r>
        <w:rPr>
          <w:rFonts w:hint="eastAsia"/>
        </w:rPr>
        <w:t>此例Excel表、PASS及R计算的固定设计样本量均略高于3000。</w:t>
      </w:r>
    </w:p>
    <w:p w14:paraId="1DA8BC91" w14:textId="7219D071" w:rsidR="00D45396" w:rsidRDefault="00B03084" w:rsidP="00785342">
      <w:pPr>
        <w:ind w:firstLineChars="200" w:firstLine="420"/>
      </w:pPr>
      <w:r w:rsidRPr="00B03084">
        <w:rPr>
          <w:rFonts w:hint="eastAsia"/>
          <w:noProof/>
        </w:rPr>
        <w:drawing>
          <wp:inline distT="0" distB="0" distL="0" distR="0" wp14:anchorId="04CA802D" wp14:editId="375B2F0C">
            <wp:extent cx="3168650" cy="2863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8650" cy="2863850"/>
                    </a:xfrm>
                    <a:prstGeom prst="rect">
                      <a:avLst/>
                    </a:prstGeom>
                    <a:noFill/>
                    <a:ln>
                      <a:noFill/>
                    </a:ln>
                  </pic:spPr>
                </pic:pic>
              </a:graphicData>
            </a:graphic>
          </wp:inline>
        </w:drawing>
      </w:r>
    </w:p>
    <w:p w14:paraId="635E7C67" w14:textId="3493EA4B" w:rsidR="00B03084" w:rsidRDefault="00B03084" w:rsidP="00785342">
      <w:pPr>
        <w:ind w:firstLineChars="200" w:firstLine="420"/>
      </w:pPr>
    </w:p>
    <w:p w14:paraId="0AA808FE" w14:textId="49038294" w:rsidR="008D7FAB" w:rsidRDefault="00F50B32" w:rsidP="00785342">
      <w:pPr>
        <w:ind w:firstLineChars="200" w:firstLine="420"/>
      </w:pPr>
      <w:r>
        <w:rPr>
          <w:rFonts w:hint="eastAsia"/>
        </w:rPr>
        <w:t>该研究设计使用了promising zone法，但PASS软件尚无此方法。看一下PASS软件的计算，</w:t>
      </w:r>
      <w:r w:rsidR="008D7FAB">
        <w:rPr>
          <w:rFonts w:hint="eastAsia"/>
        </w:rPr>
        <w:t>依次点击：</w:t>
      </w:r>
      <w:r>
        <w:rPr>
          <w:rFonts w:hint="eastAsia"/>
        </w:rPr>
        <w:t xml:space="preserve">Sample Size Reestimation, Proportions, Conditional Power </w:t>
      </w:r>
      <w:r>
        <w:t>and</w:t>
      </w:r>
      <w:r>
        <w:rPr>
          <w:rFonts w:hint="eastAsia"/>
        </w:rPr>
        <w:t xml:space="preserve"> Sample Size Reestimation of Test for </w:t>
      </w:r>
      <w:r>
        <w:t>the</w:t>
      </w:r>
      <w:r>
        <w:rPr>
          <w:rFonts w:hint="eastAsia"/>
        </w:rPr>
        <w:t xml:space="preserve"> Difference Between Two Proportions. 输入界面稍复杂，需先计期中分析的Z1值，此例为-0.262（注意PASS软件使用初始假设的效应值计算），条件效能为0.078，非常低。PASS软件可以据此计算最终需要的样本量，但过低的期中分析条件效能会引起I类错误膨胀</w:t>
      </w:r>
      <w:r>
        <w:fldChar w:fldCharType="begin"/>
      </w:r>
      <w:r>
        <w:instrText xml:space="preserve"> ADDIN NE.Ref.{1C68366B-76A5-4535-A9F0-C4C0F2818644}</w:instrText>
      </w:r>
      <w:r>
        <w:fldChar w:fldCharType="separate"/>
      </w:r>
      <w:r w:rsidR="00A46350">
        <w:rPr>
          <w:rFonts w:ascii="等线" w:eastAsia="等线" w:cs="等线"/>
          <w:color w:val="000000"/>
          <w:kern w:val="0"/>
          <w:szCs w:val="21"/>
          <w:vertAlign w:val="superscript"/>
        </w:rPr>
        <w:t>3</w:t>
      </w:r>
      <w:r>
        <w:fldChar w:fldCharType="end"/>
      </w:r>
      <w:r>
        <w:rPr>
          <w:rFonts w:hint="eastAsia"/>
        </w:rPr>
        <w:t>。</w:t>
      </w:r>
    </w:p>
    <w:p w14:paraId="39AF6003" w14:textId="57296B28" w:rsidR="00F50B32" w:rsidRPr="00F50B32" w:rsidRDefault="00F50B32" w:rsidP="00785342">
      <w:pPr>
        <w:ind w:firstLineChars="200" w:firstLine="420"/>
      </w:pPr>
      <w:r>
        <w:rPr>
          <w:rFonts w:hint="eastAsia"/>
        </w:rPr>
        <w:t>计算条件效能：</w:t>
      </w:r>
    </w:p>
    <w:p w14:paraId="1745AD2F" w14:textId="6B7383F0" w:rsidR="008D7FAB" w:rsidRDefault="008D7FAB" w:rsidP="00785342">
      <w:pPr>
        <w:ind w:firstLineChars="200" w:firstLine="420"/>
      </w:pPr>
      <w:r w:rsidRPr="008D7FAB">
        <w:rPr>
          <w:noProof/>
        </w:rPr>
        <w:drawing>
          <wp:inline distT="0" distB="0" distL="0" distR="0" wp14:anchorId="499979B6" wp14:editId="1FDF07C5">
            <wp:extent cx="4823878" cy="4930567"/>
            <wp:effectExtent l="0" t="0" r="0" b="3810"/>
            <wp:docPr id="4662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6076" name=""/>
                    <pic:cNvPicPr/>
                  </pic:nvPicPr>
                  <pic:blipFill>
                    <a:blip r:embed="rId8"/>
                    <a:stretch>
                      <a:fillRect/>
                    </a:stretch>
                  </pic:blipFill>
                  <pic:spPr>
                    <a:xfrm>
                      <a:off x="0" y="0"/>
                      <a:ext cx="4823878" cy="4930567"/>
                    </a:xfrm>
                    <a:prstGeom prst="rect">
                      <a:avLst/>
                    </a:prstGeom>
                  </pic:spPr>
                </pic:pic>
              </a:graphicData>
            </a:graphic>
          </wp:inline>
        </w:drawing>
      </w:r>
    </w:p>
    <w:p w14:paraId="29D7157B" w14:textId="19EB03C7" w:rsidR="008D7FAB" w:rsidRDefault="008D7FAB" w:rsidP="00785342">
      <w:pPr>
        <w:ind w:firstLineChars="200" w:firstLine="420"/>
      </w:pPr>
      <w:r w:rsidRPr="008D7FAB">
        <w:rPr>
          <w:noProof/>
        </w:rPr>
        <w:drawing>
          <wp:inline distT="0" distB="0" distL="0" distR="0" wp14:anchorId="67FC97F9" wp14:editId="1EAF0960">
            <wp:extent cx="5486400" cy="1616710"/>
            <wp:effectExtent l="0" t="0" r="0" b="2540"/>
            <wp:docPr id="35793147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1479" name="Picture 1" descr="A screenshot of a test&#10;&#10;Description automatically generated"/>
                    <pic:cNvPicPr/>
                  </pic:nvPicPr>
                  <pic:blipFill>
                    <a:blip r:embed="rId9"/>
                    <a:stretch>
                      <a:fillRect/>
                    </a:stretch>
                  </pic:blipFill>
                  <pic:spPr>
                    <a:xfrm>
                      <a:off x="0" y="0"/>
                      <a:ext cx="5486400" cy="1616710"/>
                    </a:xfrm>
                    <a:prstGeom prst="rect">
                      <a:avLst/>
                    </a:prstGeom>
                  </pic:spPr>
                </pic:pic>
              </a:graphicData>
            </a:graphic>
          </wp:inline>
        </w:drawing>
      </w:r>
    </w:p>
    <w:p w14:paraId="715D4C13" w14:textId="77777777" w:rsidR="00F50B32" w:rsidRDefault="00F50B32" w:rsidP="00785342">
      <w:pPr>
        <w:ind w:firstLineChars="200" w:firstLine="420"/>
      </w:pPr>
    </w:p>
    <w:p w14:paraId="696EECC6" w14:textId="0E08597A" w:rsidR="008D7FAB" w:rsidRDefault="00F50B32" w:rsidP="00785342">
      <w:pPr>
        <w:ind w:firstLineChars="200" w:firstLine="420"/>
      </w:pPr>
      <w:r>
        <w:rPr>
          <w:rFonts w:hint="eastAsia"/>
        </w:rPr>
        <w:lastRenderedPageBreak/>
        <w:t>样本量再计算：</w:t>
      </w:r>
    </w:p>
    <w:p w14:paraId="5CD28CFF" w14:textId="50971480" w:rsidR="008D7FAB" w:rsidRDefault="008D7FAB" w:rsidP="00785342">
      <w:pPr>
        <w:ind w:firstLineChars="200" w:firstLine="420"/>
      </w:pPr>
      <w:r w:rsidRPr="008D7FAB">
        <w:rPr>
          <w:noProof/>
        </w:rPr>
        <w:drawing>
          <wp:inline distT="0" distB="0" distL="0" distR="0" wp14:anchorId="4EFA43A6" wp14:editId="2CE4EBCB">
            <wp:extent cx="4778154" cy="4953429"/>
            <wp:effectExtent l="0" t="0" r="3810" b="0"/>
            <wp:docPr id="10557029" name="Picture 1" descr="A screenshot of a test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29" name="Picture 1" descr="A screenshot of a test results&#10;&#10;Description automatically generated"/>
                    <pic:cNvPicPr/>
                  </pic:nvPicPr>
                  <pic:blipFill>
                    <a:blip r:embed="rId10"/>
                    <a:stretch>
                      <a:fillRect/>
                    </a:stretch>
                  </pic:blipFill>
                  <pic:spPr>
                    <a:xfrm>
                      <a:off x="0" y="0"/>
                      <a:ext cx="4778154" cy="4953429"/>
                    </a:xfrm>
                    <a:prstGeom prst="rect">
                      <a:avLst/>
                    </a:prstGeom>
                  </pic:spPr>
                </pic:pic>
              </a:graphicData>
            </a:graphic>
          </wp:inline>
        </w:drawing>
      </w:r>
    </w:p>
    <w:p w14:paraId="6DD559DA" w14:textId="77777777" w:rsidR="008D7FAB" w:rsidRDefault="008D7FAB" w:rsidP="00785342">
      <w:pPr>
        <w:ind w:firstLineChars="200" w:firstLine="420"/>
      </w:pPr>
    </w:p>
    <w:p w14:paraId="1B6B5193" w14:textId="6EF9E8B2" w:rsidR="008D7FAB" w:rsidRDefault="008D7FAB" w:rsidP="00785342">
      <w:pPr>
        <w:ind w:firstLineChars="200" w:firstLine="420"/>
      </w:pPr>
      <w:r w:rsidRPr="008D7FAB">
        <w:rPr>
          <w:noProof/>
        </w:rPr>
        <w:drawing>
          <wp:inline distT="0" distB="0" distL="0" distR="0" wp14:anchorId="0460EE5A" wp14:editId="5114F1AB">
            <wp:extent cx="5486400" cy="1707515"/>
            <wp:effectExtent l="0" t="0" r="0" b="6985"/>
            <wp:docPr id="993638077"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8077" name="Picture 1" descr="A screenshot of a test&#10;&#10;Description automatically generated"/>
                    <pic:cNvPicPr/>
                  </pic:nvPicPr>
                  <pic:blipFill>
                    <a:blip r:embed="rId11"/>
                    <a:stretch>
                      <a:fillRect/>
                    </a:stretch>
                  </pic:blipFill>
                  <pic:spPr>
                    <a:xfrm>
                      <a:off x="0" y="0"/>
                      <a:ext cx="5486400" cy="1707515"/>
                    </a:xfrm>
                    <a:prstGeom prst="rect">
                      <a:avLst/>
                    </a:prstGeom>
                  </pic:spPr>
                </pic:pic>
              </a:graphicData>
            </a:graphic>
          </wp:inline>
        </w:drawing>
      </w:r>
    </w:p>
    <w:p w14:paraId="7B636B06" w14:textId="77777777" w:rsidR="008D7FAB" w:rsidRDefault="008D7FAB" w:rsidP="00785342">
      <w:pPr>
        <w:ind w:firstLineChars="200" w:firstLine="420"/>
      </w:pPr>
    </w:p>
    <w:p w14:paraId="50061AE1" w14:textId="135C6F9C" w:rsidR="0092443D" w:rsidRDefault="0092443D" w:rsidP="00785342">
      <w:pPr>
        <w:ind w:firstLineChars="200" w:firstLine="420"/>
      </w:pPr>
      <w:r>
        <w:rPr>
          <w:rFonts w:hint="eastAsia"/>
        </w:rPr>
        <w:t>R语言gsDesign包</w:t>
      </w:r>
      <w:r w:rsidR="00552FBC">
        <w:rPr>
          <w:rFonts w:hint="eastAsia"/>
        </w:rPr>
        <w:t>样本量再</w:t>
      </w:r>
      <w:r>
        <w:rPr>
          <w:rFonts w:hint="eastAsia"/>
        </w:rPr>
        <w:t>计算</w:t>
      </w:r>
      <w:r w:rsidR="00552FBC">
        <w:rPr>
          <w:rFonts w:hint="eastAsia"/>
        </w:rPr>
        <w:t>部分</w:t>
      </w:r>
      <w:r>
        <w:rPr>
          <w:rFonts w:hint="eastAsia"/>
        </w:rPr>
        <w:t>如下：</w:t>
      </w:r>
    </w:p>
    <w:p w14:paraId="191BA23B" w14:textId="77777777" w:rsidR="00C1047C" w:rsidRDefault="00C1047C" w:rsidP="00C1047C">
      <w:pPr>
        <w:ind w:firstLineChars="200" w:firstLine="420"/>
      </w:pPr>
      <w:r>
        <w:t>library(gsDesign)</w:t>
      </w:r>
    </w:p>
    <w:p w14:paraId="542B65CF" w14:textId="77777777" w:rsidR="00C1047C" w:rsidRDefault="00C1047C" w:rsidP="00C1047C">
      <w:pPr>
        <w:ind w:firstLineChars="200" w:firstLine="420"/>
      </w:pPr>
      <w:r>
        <w:t xml:space="preserve">test &lt;- </w:t>
      </w:r>
      <w:proofErr w:type="gramStart"/>
      <w:r>
        <w:t>gsDesign(</w:t>
      </w:r>
      <w:proofErr w:type="gramEnd"/>
    </w:p>
    <w:p w14:paraId="1FED8EC4" w14:textId="77777777" w:rsidR="00C1047C" w:rsidRDefault="00C1047C" w:rsidP="00C1047C">
      <w:pPr>
        <w:ind w:firstLineChars="200" w:firstLine="420"/>
      </w:pPr>
      <w:r>
        <w:t xml:space="preserve">  k = 2,</w:t>
      </w:r>
    </w:p>
    <w:p w14:paraId="778AC380" w14:textId="77777777" w:rsidR="00C1047C" w:rsidRDefault="00C1047C" w:rsidP="00C1047C">
      <w:pPr>
        <w:ind w:firstLineChars="200" w:firstLine="420"/>
      </w:pPr>
      <w:r>
        <w:t xml:space="preserve">  n.fix = 1,</w:t>
      </w:r>
    </w:p>
    <w:p w14:paraId="217AFE96" w14:textId="77777777" w:rsidR="00C1047C" w:rsidRDefault="00C1047C" w:rsidP="00C1047C">
      <w:pPr>
        <w:ind w:firstLineChars="200" w:firstLine="420"/>
      </w:pPr>
      <w:r>
        <w:lastRenderedPageBreak/>
        <w:t xml:space="preserve">  timing = </w:t>
      </w:r>
      <w:proofErr w:type="gramStart"/>
      <w:r>
        <w:t>c(</w:t>
      </w:r>
      <w:proofErr w:type="gramEnd"/>
      <w:r>
        <w:t>0.7, 1),</w:t>
      </w:r>
    </w:p>
    <w:p w14:paraId="0685885A" w14:textId="77777777" w:rsidR="00C1047C" w:rsidRDefault="00C1047C" w:rsidP="00C1047C">
      <w:pPr>
        <w:ind w:firstLineChars="200" w:firstLine="420"/>
      </w:pPr>
      <w:r>
        <w:t xml:space="preserve">  sfu = sfLDOF,</w:t>
      </w:r>
    </w:p>
    <w:p w14:paraId="4BCC9F97" w14:textId="77777777" w:rsidR="00C1047C" w:rsidRDefault="00C1047C" w:rsidP="00C1047C">
      <w:pPr>
        <w:ind w:firstLineChars="200" w:firstLine="420"/>
      </w:pPr>
      <w:r>
        <w:t xml:space="preserve">  sfl = sfLDOF</w:t>
      </w:r>
    </w:p>
    <w:p w14:paraId="041334DB" w14:textId="77777777" w:rsidR="00C1047C" w:rsidRDefault="00C1047C" w:rsidP="00C1047C">
      <w:pPr>
        <w:ind w:firstLineChars="200" w:firstLine="420"/>
      </w:pPr>
      <w:r>
        <w:t>)</w:t>
      </w:r>
    </w:p>
    <w:p w14:paraId="6FDF7698" w14:textId="77777777" w:rsidR="00C1047C" w:rsidRDefault="00C1047C" w:rsidP="00C1047C">
      <w:pPr>
        <w:ind w:firstLineChars="200" w:firstLine="420"/>
      </w:pPr>
      <w:r>
        <w:t xml:space="preserve">x &lt;- </w:t>
      </w:r>
      <w:proofErr w:type="gramStart"/>
      <w:r>
        <w:t>gsDesign(</w:t>
      </w:r>
      <w:proofErr w:type="gramEnd"/>
    </w:p>
    <w:p w14:paraId="6AD59888" w14:textId="77777777" w:rsidR="00C1047C" w:rsidRDefault="00C1047C" w:rsidP="00C1047C">
      <w:pPr>
        <w:ind w:firstLineChars="200" w:firstLine="420"/>
      </w:pPr>
      <w:r>
        <w:t xml:space="preserve">  k = 2,</w:t>
      </w:r>
    </w:p>
    <w:p w14:paraId="1F49883A" w14:textId="77777777" w:rsidR="00C1047C" w:rsidRDefault="00C1047C" w:rsidP="00C1047C">
      <w:pPr>
        <w:ind w:firstLineChars="200" w:firstLine="420"/>
      </w:pPr>
      <w:r>
        <w:t xml:space="preserve">  n.fix = 3000/test$</w:t>
      </w:r>
      <w:proofErr w:type="gramStart"/>
      <w:r>
        <w:t>n.I</w:t>
      </w:r>
      <w:proofErr w:type="gramEnd"/>
      <w:r>
        <w:t>[2],</w:t>
      </w:r>
    </w:p>
    <w:p w14:paraId="62FBE56C" w14:textId="77777777" w:rsidR="00C1047C" w:rsidRDefault="00C1047C" w:rsidP="00C1047C">
      <w:pPr>
        <w:ind w:firstLineChars="200" w:firstLine="420"/>
      </w:pPr>
      <w:r>
        <w:t xml:space="preserve">  timing = </w:t>
      </w:r>
      <w:proofErr w:type="gramStart"/>
      <w:r>
        <w:t>c(</w:t>
      </w:r>
      <w:proofErr w:type="gramEnd"/>
      <w:r>
        <w:t>0.7, 1),</w:t>
      </w:r>
    </w:p>
    <w:p w14:paraId="749D3D98" w14:textId="77777777" w:rsidR="00C1047C" w:rsidRDefault="00C1047C" w:rsidP="00C1047C">
      <w:pPr>
        <w:ind w:firstLineChars="200" w:firstLine="420"/>
      </w:pPr>
      <w:r>
        <w:t xml:space="preserve">  sfu = sfLDOF,</w:t>
      </w:r>
    </w:p>
    <w:p w14:paraId="4F50D67F" w14:textId="77777777" w:rsidR="00C1047C" w:rsidRDefault="00C1047C" w:rsidP="00C1047C">
      <w:pPr>
        <w:ind w:firstLineChars="200" w:firstLine="420"/>
      </w:pPr>
      <w:r>
        <w:t xml:space="preserve">  sfl = sfLDOF</w:t>
      </w:r>
    </w:p>
    <w:p w14:paraId="6B419DBA" w14:textId="77777777" w:rsidR="00C1047C" w:rsidRDefault="00C1047C" w:rsidP="00C1047C">
      <w:pPr>
        <w:ind w:firstLineChars="200" w:firstLine="420"/>
      </w:pPr>
      <w:r>
        <w:t>)</w:t>
      </w:r>
    </w:p>
    <w:p w14:paraId="638D4566" w14:textId="77777777" w:rsidR="00C1047C" w:rsidRDefault="00C1047C" w:rsidP="00C1047C">
      <w:pPr>
        <w:ind w:firstLineChars="200" w:firstLine="420"/>
      </w:pPr>
      <w:r>
        <w:t xml:space="preserve">z &lt;- </w:t>
      </w:r>
      <w:proofErr w:type="gramStart"/>
      <w:r>
        <w:t>seq(</w:t>
      </w:r>
      <w:proofErr w:type="gramEnd"/>
      <w:r>
        <w:t>1, 3, 0.01)</w:t>
      </w:r>
    </w:p>
    <w:p w14:paraId="3DAC42BB" w14:textId="7235C9FA" w:rsidR="00C1047C" w:rsidRDefault="00C1047C" w:rsidP="00C1047C">
      <w:pPr>
        <w:ind w:firstLineChars="200" w:firstLine="420"/>
      </w:pPr>
      <w:r>
        <w:t xml:space="preserve">cpadj &lt;- </w:t>
      </w:r>
      <w:proofErr w:type="gramStart"/>
      <w:r>
        <w:t>c(</w:t>
      </w:r>
      <w:proofErr w:type="gramEnd"/>
      <w:r>
        <w:t>0.5, 0.9)</w:t>
      </w:r>
    </w:p>
    <w:p w14:paraId="1488D042" w14:textId="77777777" w:rsidR="00C1047C" w:rsidRDefault="00C1047C" w:rsidP="00C1047C">
      <w:pPr>
        <w:ind w:firstLineChars="200" w:firstLine="420"/>
      </w:pPr>
      <w:r>
        <w:t xml:space="preserve">xx &lt;- </w:t>
      </w:r>
      <w:proofErr w:type="gramStart"/>
      <w:r>
        <w:t>ssrCP(</w:t>
      </w:r>
      <w:proofErr w:type="gramEnd"/>
      <w:r>
        <w:t>x = x, z1 = z, beta = 0.1, cpadj = cpadj,</w:t>
      </w:r>
    </w:p>
    <w:p w14:paraId="5FAA4306" w14:textId="794DB62E" w:rsidR="00C1047C" w:rsidRDefault="00C1047C" w:rsidP="00C1047C">
      <w:pPr>
        <w:ind w:firstLineChars="200" w:firstLine="420"/>
      </w:pPr>
      <w:r>
        <w:t xml:space="preserve">            maxinc = 2, z2 = z2</w:t>
      </w:r>
      <w:r w:rsidR="00B84E01">
        <w:rPr>
          <w:rFonts w:hint="eastAsia"/>
        </w:rPr>
        <w:t>Z</w:t>
      </w:r>
      <w:r>
        <w:t>)</w:t>
      </w:r>
    </w:p>
    <w:p w14:paraId="4F9087D3" w14:textId="77777777" w:rsidR="00C1047C" w:rsidRDefault="00C1047C" w:rsidP="00C1047C">
      <w:pPr>
        <w:ind w:firstLineChars="200" w:firstLine="420"/>
      </w:pPr>
      <w:r>
        <w:t>plot(</w:t>
      </w:r>
      <w:proofErr w:type="gramStart"/>
      <w:r>
        <w:t>xx,col</w:t>
      </w:r>
      <w:proofErr w:type="gramEnd"/>
      <w:r>
        <w:t>="red",lwd=2)</w:t>
      </w:r>
    </w:p>
    <w:p w14:paraId="3CEE07C2" w14:textId="14926745" w:rsidR="0092443D" w:rsidRDefault="0092443D" w:rsidP="00C1047C">
      <w:pPr>
        <w:ind w:firstLineChars="200" w:firstLine="420"/>
      </w:pPr>
      <w:r>
        <w:rPr>
          <w:rFonts w:hint="eastAsia"/>
        </w:rPr>
        <w:t>结果输出：</w:t>
      </w:r>
    </w:p>
    <w:p w14:paraId="34227985" w14:textId="029BA791" w:rsidR="0092443D" w:rsidRDefault="00B84E01" w:rsidP="00C1047C">
      <w:pPr>
        <w:jc w:val="center"/>
      </w:pPr>
      <w:r>
        <w:rPr>
          <w:noProof/>
        </w:rPr>
        <w:drawing>
          <wp:inline distT="0" distB="0" distL="0" distR="0" wp14:anchorId="21013981" wp14:editId="4F77231C">
            <wp:extent cx="4350922" cy="3454862"/>
            <wp:effectExtent l="0" t="0" r="0" b="0"/>
            <wp:docPr id="171313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0926" cy="3462806"/>
                    </a:xfrm>
                    <a:prstGeom prst="rect">
                      <a:avLst/>
                    </a:prstGeom>
                    <a:noFill/>
                  </pic:spPr>
                </pic:pic>
              </a:graphicData>
            </a:graphic>
          </wp:inline>
        </w:drawing>
      </w:r>
    </w:p>
    <w:p w14:paraId="3931BBC8" w14:textId="77777777" w:rsidR="00C1047C" w:rsidRDefault="00C1047C" w:rsidP="00C1047C">
      <w:pPr>
        <w:jc w:val="center"/>
      </w:pPr>
    </w:p>
    <w:p w14:paraId="77079BEE" w14:textId="42965F65" w:rsidR="00B03084" w:rsidRDefault="00C1047C" w:rsidP="00785342">
      <w:pPr>
        <w:ind w:firstLineChars="200" w:firstLine="420"/>
      </w:pPr>
      <w:r>
        <w:rPr>
          <w:rFonts w:hint="eastAsia"/>
        </w:rPr>
        <w:t>原文</w:t>
      </w:r>
      <w:r w:rsidR="0092443D">
        <w:rPr>
          <w:rFonts w:hint="eastAsia"/>
        </w:rPr>
        <w:t>未给出promising</w:t>
      </w:r>
      <w:r w:rsidR="0092443D">
        <w:t xml:space="preserve"> </w:t>
      </w:r>
      <w:r w:rsidR="0092443D">
        <w:rPr>
          <w:rFonts w:hint="eastAsia"/>
        </w:rPr>
        <w:t>zone的范围，我们暂假设为0</w:t>
      </w:r>
      <w:r w:rsidR="0092443D">
        <w:t>.</w:t>
      </w:r>
      <w:r>
        <w:rPr>
          <w:rFonts w:hint="eastAsia"/>
        </w:rPr>
        <w:t>5</w:t>
      </w:r>
      <w:r w:rsidR="0092443D">
        <w:t>-0.</w:t>
      </w:r>
      <w:r>
        <w:rPr>
          <w:rFonts w:hint="eastAsia"/>
        </w:rPr>
        <w:t>9</w:t>
      </w:r>
      <w:r w:rsidR="0092443D">
        <w:rPr>
          <w:rFonts w:hint="eastAsia"/>
        </w:rPr>
        <w:t>。</w:t>
      </w:r>
      <w:r w:rsidR="00CB69E8">
        <w:rPr>
          <w:rFonts w:hint="eastAsia"/>
        </w:rPr>
        <w:t>根据期中分析时</w:t>
      </w:r>
      <w:r>
        <w:rPr>
          <w:rFonts w:hint="eastAsia"/>
        </w:rPr>
        <w:t>数据计算z1为</w:t>
      </w:r>
      <w:r w:rsidRPr="00C1047C">
        <w:t>0.2987071</w:t>
      </w:r>
      <w:r>
        <w:rPr>
          <w:rFonts w:hint="eastAsia"/>
        </w:rPr>
        <w:t>（利用期中分析当前的效应值计算，不</w:t>
      </w:r>
      <w:r w:rsidR="00BD50C5">
        <w:rPr>
          <w:rFonts w:hint="eastAsia"/>
        </w:rPr>
        <w:t>同</w:t>
      </w:r>
      <w:r>
        <w:rPr>
          <w:rFonts w:hint="eastAsia"/>
        </w:rPr>
        <w:t>于PASS软件的结果</w:t>
      </w:r>
      <w:r w:rsidR="00BD50C5">
        <w:rPr>
          <w:rFonts w:hint="eastAsia"/>
        </w:rPr>
        <w:t>，并且PASS软件使用的是双侧检验</w:t>
      </w:r>
      <w:r>
        <w:rPr>
          <w:rFonts w:hint="eastAsia"/>
        </w:rPr>
        <w:t>），</w:t>
      </w:r>
      <w:r w:rsidR="00CB69E8">
        <w:rPr>
          <w:rFonts w:hint="eastAsia"/>
        </w:rPr>
        <w:t>条件检验效能</w:t>
      </w:r>
      <w:r w:rsidR="00BD50C5">
        <w:rPr>
          <w:rFonts w:hint="eastAsia"/>
        </w:rPr>
        <w:t>0.001</w:t>
      </w:r>
      <w:r w:rsidR="00CB69E8">
        <w:rPr>
          <w:rFonts w:hint="eastAsia"/>
        </w:rPr>
        <w:t>，</w:t>
      </w:r>
      <w:r w:rsidR="0092443D">
        <w:rPr>
          <w:rFonts w:hint="eastAsia"/>
        </w:rPr>
        <w:t>远小于p</w:t>
      </w:r>
      <w:r w:rsidR="0092443D">
        <w:t>romising zone</w:t>
      </w:r>
      <w:r w:rsidR="0092443D">
        <w:rPr>
          <w:rFonts w:hint="eastAsia"/>
        </w:rPr>
        <w:t>的低限，故不增加样本量，按原计划的3</w:t>
      </w:r>
      <w:r w:rsidR="0092443D">
        <w:t>000</w:t>
      </w:r>
      <w:r w:rsidR="0092443D">
        <w:rPr>
          <w:rFonts w:hint="eastAsia"/>
        </w:rPr>
        <w:t>完成入组。</w:t>
      </w:r>
    </w:p>
    <w:p w14:paraId="595FC90F" w14:textId="4DC21293" w:rsidR="00137E45" w:rsidRDefault="009A2E2B" w:rsidP="00137E45">
      <w:pPr>
        <w:ind w:firstLine="420"/>
      </w:pPr>
      <w:r>
        <w:t xml:space="preserve">例 </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例 \* ARABIC \s 1 </w:instrText>
      </w:r>
      <w:r>
        <w:fldChar w:fldCharType="separate"/>
      </w:r>
      <w:r>
        <w:rPr>
          <w:noProof/>
        </w:rPr>
        <w:t>4</w:t>
      </w:r>
      <w:r>
        <w:fldChar w:fldCharType="end"/>
      </w:r>
      <w:r w:rsidR="005565AB">
        <w:t xml:space="preserve"> </w:t>
      </w:r>
      <w:r w:rsidR="00137E45">
        <w:rPr>
          <w:rFonts w:hint="eastAsia"/>
        </w:rPr>
        <w:t>Agent</w:t>
      </w:r>
      <w:r w:rsidR="00137E45">
        <w:t xml:space="preserve"> </w:t>
      </w:r>
      <w:r w:rsidR="00137E45">
        <w:rPr>
          <w:rFonts w:hint="eastAsia"/>
        </w:rPr>
        <w:t>IDE研究欲比较某药物球囊与非药物球囊在支架内再狭窄病变中的疗效，主要终点为1</w:t>
      </w:r>
      <w:r w:rsidR="00137E45">
        <w:t>2</w:t>
      </w:r>
      <w:r w:rsidR="00137E45">
        <w:rPr>
          <w:rFonts w:hint="eastAsia"/>
        </w:rPr>
        <w:t>个月靶病变失败（TLF，</w:t>
      </w:r>
      <w:r w:rsidR="00137E45" w:rsidRPr="00137E45">
        <w:t>target lesion failure</w:t>
      </w:r>
      <w:r w:rsidR="00137E45">
        <w:rPr>
          <w:rFonts w:hint="eastAsia"/>
        </w:rPr>
        <w:t>）。试验组与对照组按2</w:t>
      </w:r>
      <w:r w:rsidR="00137E45">
        <w:t>:1</w:t>
      </w:r>
      <w:r w:rsidR="00137E45">
        <w:rPr>
          <w:rFonts w:hint="eastAsia"/>
        </w:rPr>
        <w:t>随机分配，预计试验组和对照组主要终点发生率分别为1</w:t>
      </w:r>
      <w:r w:rsidR="00137E45">
        <w:t>0</w:t>
      </w:r>
      <w:r w:rsidR="00137E45">
        <w:rPr>
          <w:rFonts w:hint="eastAsia"/>
        </w:rPr>
        <w:t>.</w:t>
      </w:r>
      <w:r w:rsidR="00137E45">
        <w:t>6%</w:t>
      </w:r>
      <w:r w:rsidR="00137E45">
        <w:rPr>
          <w:rFonts w:hint="eastAsia"/>
        </w:rPr>
        <w:t>和2</w:t>
      </w:r>
      <w:r w:rsidR="00137E45">
        <w:t>1.2%</w:t>
      </w:r>
      <w:r w:rsidR="00137E45">
        <w:rPr>
          <w:rFonts w:hint="eastAsia"/>
        </w:rPr>
        <w:t>，取单侧=</w:t>
      </w:r>
      <w:r w:rsidR="00137E45">
        <w:t>0.025</w:t>
      </w:r>
      <w:r w:rsidR="00137E45">
        <w:rPr>
          <w:rFonts w:hint="eastAsia"/>
        </w:rPr>
        <w:t>，检验效能8</w:t>
      </w:r>
      <w:r w:rsidR="00137E45">
        <w:t>5%</w:t>
      </w:r>
      <w:r w:rsidR="00137E45">
        <w:rPr>
          <w:rFonts w:hint="eastAsia"/>
        </w:rPr>
        <w:t>，则需要4</w:t>
      </w:r>
      <w:r w:rsidR="00137E45">
        <w:t>65</w:t>
      </w:r>
      <w:r w:rsidR="00137E45">
        <w:rPr>
          <w:rFonts w:hint="eastAsia"/>
        </w:rPr>
        <w:t>例患者。假设脱落率为3</w:t>
      </w:r>
      <w:r w:rsidR="00137E45">
        <w:t>%</w:t>
      </w:r>
      <w:r w:rsidR="00137E45">
        <w:rPr>
          <w:rFonts w:hint="eastAsia"/>
        </w:rPr>
        <w:t>，则样本量增加至4</w:t>
      </w:r>
      <w:r w:rsidR="00137E45">
        <w:t>80</w:t>
      </w:r>
      <w:r w:rsidR="00137E45">
        <w:rPr>
          <w:rFonts w:hint="eastAsia"/>
        </w:rPr>
        <w:t>。研究拟在入组9</w:t>
      </w:r>
      <w:r w:rsidR="00137E45">
        <w:t>0%</w:t>
      </w:r>
      <w:r w:rsidR="00137E45">
        <w:rPr>
          <w:rFonts w:hint="eastAsia"/>
        </w:rPr>
        <w:t>（n</w:t>
      </w:r>
      <w:r w:rsidR="00137E45">
        <w:t>=</w:t>
      </w:r>
      <w:r w:rsidR="00137E45">
        <w:rPr>
          <w:rFonts w:hint="eastAsia"/>
        </w:rPr>
        <w:t>4</w:t>
      </w:r>
      <w:r w:rsidR="00137E45">
        <w:t>32</w:t>
      </w:r>
      <w:r w:rsidR="00137E45">
        <w:rPr>
          <w:rFonts w:hint="eastAsia"/>
        </w:rPr>
        <w:t>）患者时</w:t>
      </w:r>
      <w:r w:rsidR="00137E45">
        <w:rPr>
          <w:rFonts w:hint="eastAsia"/>
        </w:rPr>
        <w:lastRenderedPageBreak/>
        <w:t>进行一次期中分析</w:t>
      </w:r>
      <w:r>
        <w:rPr>
          <w:rFonts w:hint="eastAsia"/>
        </w:rPr>
        <w:t>（预期此时有40%的患者完成了1年期的随访）</w:t>
      </w:r>
      <w:r w:rsidR="00137E45">
        <w:rPr>
          <w:rFonts w:hint="eastAsia"/>
        </w:rPr>
        <w:t>，</w:t>
      </w:r>
      <w:r w:rsidR="004106E2">
        <w:rPr>
          <w:rFonts w:hint="eastAsia"/>
        </w:rPr>
        <w:t>设</w:t>
      </w:r>
      <w:r w:rsidR="00C01A21">
        <w:rPr>
          <w:rFonts w:hint="eastAsia"/>
        </w:rPr>
        <w:t>有</w:t>
      </w:r>
      <w:r w:rsidR="004106E2">
        <w:rPr>
          <w:rFonts w:hint="eastAsia"/>
        </w:rPr>
        <w:t>望区的条件检验效能为0</w:t>
      </w:r>
      <w:r w:rsidR="004106E2">
        <w:t>.46~0.85</w:t>
      </w:r>
      <w:r w:rsidR="004106E2">
        <w:rPr>
          <w:rFonts w:hint="eastAsia"/>
        </w:rPr>
        <w:t>，低于0</w:t>
      </w:r>
      <w:r w:rsidR="004106E2">
        <w:t>.46</w:t>
      </w:r>
      <w:r w:rsidR="004106E2">
        <w:rPr>
          <w:rFonts w:hint="eastAsia"/>
        </w:rPr>
        <w:t>为不利区，高于0</w:t>
      </w:r>
      <w:r w:rsidR="004106E2">
        <w:t>.85</w:t>
      </w:r>
      <w:r w:rsidR="004106E2">
        <w:rPr>
          <w:rFonts w:hint="eastAsia"/>
        </w:rPr>
        <w:t>为有利区。如果期中分析的结果落入</w:t>
      </w:r>
      <w:r w:rsidR="00C01A21">
        <w:rPr>
          <w:rFonts w:hint="eastAsia"/>
        </w:rPr>
        <w:t>有</w:t>
      </w:r>
      <w:r w:rsidR="004106E2">
        <w:rPr>
          <w:rFonts w:hint="eastAsia"/>
        </w:rPr>
        <w:t>望区，可增加样本量，</w:t>
      </w:r>
      <w:r w:rsidR="00137E45">
        <w:rPr>
          <w:rFonts w:hint="eastAsia"/>
        </w:rPr>
        <w:t>最大</w:t>
      </w:r>
      <w:r w:rsidR="004106E2">
        <w:rPr>
          <w:rFonts w:hint="eastAsia"/>
        </w:rPr>
        <w:t>至</w:t>
      </w:r>
      <w:r w:rsidR="00137E45">
        <w:rPr>
          <w:rFonts w:hint="eastAsia"/>
        </w:rPr>
        <w:t>6</w:t>
      </w:r>
      <w:r w:rsidR="00137E45">
        <w:t>00</w:t>
      </w:r>
      <w:r w:rsidR="00137E45">
        <w:rPr>
          <w:rFonts w:hint="eastAsia"/>
        </w:rPr>
        <w:t>。</w:t>
      </w:r>
      <w:r w:rsidR="004106E2">
        <w:rPr>
          <w:rFonts w:hint="eastAsia"/>
        </w:rPr>
        <w:t>采用Haybittle</w:t>
      </w:r>
      <w:r w:rsidR="004106E2">
        <w:t>-Peto</w:t>
      </w:r>
      <w:r w:rsidR="00E013B4">
        <w:rPr>
          <w:rFonts w:hint="eastAsia"/>
        </w:rPr>
        <w:t xml:space="preserve"> </w:t>
      </w:r>
      <w:r w:rsidR="00E013B4">
        <w:rPr>
          <w:rFonts w:eastAsiaTheme="minorHAnsi"/>
        </w:rPr>
        <w:t>α</w:t>
      </w:r>
      <w:r w:rsidR="004106E2">
        <w:rPr>
          <w:rFonts w:hint="eastAsia"/>
        </w:rPr>
        <w:t>消耗函数。</w:t>
      </w:r>
    </w:p>
    <w:p w14:paraId="16A40A71" w14:textId="67252DB0" w:rsidR="00137E45" w:rsidRDefault="004106E2" w:rsidP="00137E45">
      <w:pPr>
        <w:ind w:firstLine="420"/>
      </w:pPr>
      <w:r>
        <w:rPr>
          <w:rFonts w:hint="eastAsia"/>
        </w:rPr>
        <w:t>Excel计算合并方差法需样本量4</w:t>
      </w:r>
      <w:r>
        <w:t>65</w:t>
      </w:r>
      <w:r>
        <w:rPr>
          <w:rFonts w:hint="eastAsia"/>
        </w:rPr>
        <w:t>，考虑脱落后为：4</w:t>
      </w:r>
      <w:r>
        <w:t>65</w:t>
      </w:r>
      <w:r>
        <w:rPr>
          <w:rFonts w:hint="eastAsia"/>
        </w:rPr>
        <w:t>/</w:t>
      </w:r>
      <w:r>
        <w:t>(1-3%)=479.4</w:t>
      </w:r>
      <w:r>
        <w:rPr>
          <w:rFonts w:hint="eastAsia"/>
        </w:rPr>
        <w:t>。</w:t>
      </w:r>
    </w:p>
    <w:p w14:paraId="6FF5DB4C" w14:textId="157290AE" w:rsidR="004106E2" w:rsidRDefault="00552FBC" w:rsidP="00137E45">
      <w:pPr>
        <w:ind w:firstLine="420"/>
      </w:pPr>
      <w:r w:rsidRPr="00552FBC">
        <w:rPr>
          <w:noProof/>
        </w:rPr>
        <w:drawing>
          <wp:inline distT="0" distB="0" distL="0" distR="0" wp14:anchorId="420E3D18" wp14:editId="2A6C3D25">
            <wp:extent cx="3171190" cy="1910715"/>
            <wp:effectExtent l="0" t="0" r="0" b="0"/>
            <wp:docPr id="1560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1190" cy="1910715"/>
                    </a:xfrm>
                    <a:prstGeom prst="rect">
                      <a:avLst/>
                    </a:prstGeom>
                    <a:noFill/>
                    <a:ln>
                      <a:noFill/>
                    </a:ln>
                  </pic:spPr>
                </pic:pic>
              </a:graphicData>
            </a:graphic>
          </wp:inline>
        </w:drawing>
      </w:r>
    </w:p>
    <w:p w14:paraId="3F541F5C" w14:textId="1943E883" w:rsidR="004106E2" w:rsidRDefault="004106E2" w:rsidP="00137E45">
      <w:pPr>
        <w:ind w:firstLine="420"/>
      </w:pPr>
    </w:p>
    <w:p w14:paraId="4F74497F" w14:textId="553B12B6" w:rsidR="00552FBC" w:rsidRDefault="00552FBC" w:rsidP="00137E45">
      <w:pPr>
        <w:ind w:firstLine="420"/>
      </w:pPr>
      <w:r>
        <w:rPr>
          <w:rFonts w:hint="eastAsia"/>
        </w:rPr>
        <w:t>PASS软件因无promising zone方法，不再介绍，</w:t>
      </w:r>
      <w:r w:rsidR="00C01A21">
        <w:rPr>
          <w:rFonts w:hint="eastAsia"/>
        </w:rPr>
        <w:t>具体</w:t>
      </w:r>
      <w:r>
        <w:rPr>
          <w:rFonts w:hint="eastAsia"/>
        </w:rPr>
        <w:t>可参看</w:t>
      </w:r>
      <w:r>
        <w:fldChar w:fldCharType="begin"/>
      </w:r>
      <w:r>
        <w:instrText xml:space="preserve"> </w:instrText>
      </w:r>
      <w:r>
        <w:rPr>
          <w:rFonts w:hint="eastAsia"/>
        </w:rPr>
        <w:instrText>REF _Ref187589048 \h</w:instrText>
      </w:r>
      <w:r>
        <w:instrText xml:space="preserve"> </w:instrText>
      </w:r>
      <w:r>
        <w:fldChar w:fldCharType="separate"/>
      </w:r>
      <w:r>
        <w:t xml:space="preserve">例 </w:t>
      </w:r>
      <w:r>
        <w:rPr>
          <w:noProof/>
        </w:rPr>
        <w:t>13</w:t>
      </w:r>
      <w:r>
        <w:noBreakHyphen/>
      </w:r>
      <w:r>
        <w:rPr>
          <w:noProof/>
        </w:rPr>
        <w:t>3</w:t>
      </w:r>
      <w:r>
        <w:fldChar w:fldCharType="end"/>
      </w:r>
      <w:r>
        <w:rPr>
          <w:rFonts w:hint="eastAsia"/>
        </w:rPr>
        <w:t>。</w:t>
      </w:r>
    </w:p>
    <w:p w14:paraId="5D3BA621" w14:textId="636D1BA1" w:rsidR="004106E2" w:rsidRDefault="004106E2" w:rsidP="00137E45">
      <w:pPr>
        <w:ind w:firstLine="420"/>
      </w:pPr>
      <w:r>
        <w:rPr>
          <w:rFonts w:hint="eastAsia"/>
        </w:rPr>
        <w:t>R语言gsDesign包</w:t>
      </w:r>
      <w:r w:rsidR="00552FBC">
        <w:rPr>
          <w:rFonts w:hint="eastAsia"/>
        </w:rPr>
        <w:t>样本量再</w:t>
      </w:r>
      <w:r>
        <w:rPr>
          <w:rFonts w:hint="eastAsia"/>
        </w:rPr>
        <w:t>计算</w:t>
      </w:r>
      <w:r w:rsidR="00552FBC">
        <w:rPr>
          <w:rFonts w:hint="eastAsia"/>
        </w:rPr>
        <w:t>部分</w:t>
      </w:r>
      <w:r>
        <w:rPr>
          <w:rFonts w:hint="eastAsia"/>
        </w:rPr>
        <w:t>如下</w:t>
      </w:r>
      <w:r w:rsidR="00552FBC">
        <w:rPr>
          <w:rFonts w:hint="eastAsia"/>
        </w:rPr>
        <w:t>：</w:t>
      </w:r>
    </w:p>
    <w:p w14:paraId="5F910ADB" w14:textId="77777777" w:rsidR="00E013B4" w:rsidRDefault="00E013B4" w:rsidP="00E013B4">
      <w:pPr>
        <w:ind w:firstLine="420"/>
      </w:pPr>
      <w:r w:rsidRPr="00E013B4">
        <w:t>library(gsDesign)</w:t>
      </w:r>
    </w:p>
    <w:p w14:paraId="26072A64" w14:textId="194AA462" w:rsidR="00E013B4" w:rsidRDefault="00E013B4" w:rsidP="00E013B4">
      <w:pPr>
        <w:ind w:firstLine="420"/>
      </w:pPr>
      <w:r>
        <w:t xml:space="preserve">test &lt;- </w:t>
      </w:r>
      <w:proofErr w:type="gramStart"/>
      <w:r>
        <w:t>gsDesign(</w:t>
      </w:r>
      <w:proofErr w:type="gramEnd"/>
    </w:p>
    <w:p w14:paraId="7BF206B5" w14:textId="77777777" w:rsidR="00E013B4" w:rsidRDefault="00E013B4" w:rsidP="00E013B4">
      <w:pPr>
        <w:ind w:firstLine="420"/>
      </w:pPr>
      <w:r>
        <w:t xml:space="preserve">  alpha = 0.025, </w:t>
      </w:r>
    </w:p>
    <w:p w14:paraId="0EF8396E" w14:textId="77777777" w:rsidR="00E013B4" w:rsidRDefault="00E013B4" w:rsidP="00E013B4">
      <w:pPr>
        <w:ind w:firstLine="420"/>
      </w:pPr>
      <w:r>
        <w:t xml:space="preserve">  beta = 0.15,</w:t>
      </w:r>
    </w:p>
    <w:p w14:paraId="63BFE52F" w14:textId="77777777" w:rsidR="00E013B4" w:rsidRDefault="00E013B4" w:rsidP="00E013B4">
      <w:pPr>
        <w:ind w:firstLine="420"/>
      </w:pPr>
      <w:r>
        <w:t xml:space="preserve">  k=2, </w:t>
      </w:r>
    </w:p>
    <w:p w14:paraId="53C82D11" w14:textId="77777777" w:rsidR="00E013B4" w:rsidRDefault="00E013B4" w:rsidP="00E013B4">
      <w:pPr>
        <w:ind w:firstLine="420"/>
      </w:pPr>
      <w:r>
        <w:t xml:space="preserve">  timing = </w:t>
      </w:r>
      <w:proofErr w:type="gramStart"/>
      <w:r>
        <w:t>c(</w:t>
      </w:r>
      <w:proofErr w:type="gramEnd"/>
      <w:r>
        <w:t>0.4, 1),</w:t>
      </w:r>
    </w:p>
    <w:p w14:paraId="4175BBB8" w14:textId="77777777" w:rsidR="00E013B4" w:rsidRDefault="00E013B4" w:rsidP="00E013B4">
      <w:pPr>
        <w:ind w:firstLine="420"/>
      </w:pPr>
      <w:r>
        <w:t xml:space="preserve">  sfu = sfPoints, </w:t>
      </w:r>
    </w:p>
    <w:p w14:paraId="5CAF53D0" w14:textId="6573566F" w:rsidR="00E013B4" w:rsidRDefault="00E013B4" w:rsidP="00E013B4">
      <w:pPr>
        <w:ind w:firstLine="420"/>
      </w:pPr>
      <w:r>
        <w:t xml:space="preserve">  sfupar = </w:t>
      </w:r>
      <w:proofErr w:type="gramStart"/>
      <w:r>
        <w:t>c(</w:t>
      </w:r>
      <w:proofErr w:type="gramEnd"/>
      <w:r>
        <w:t>0.001, 0.025)/0.025,</w:t>
      </w:r>
    </w:p>
    <w:p w14:paraId="4D2F47D3" w14:textId="77777777" w:rsidR="00E013B4" w:rsidRDefault="00E013B4" w:rsidP="00E013B4">
      <w:pPr>
        <w:ind w:firstLine="420"/>
      </w:pPr>
      <w:r>
        <w:t xml:space="preserve">  sfl = sfPoints,</w:t>
      </w:r>
    </w:p>
    <w:p w14:paraId="29E34DC2" w14:textId="77777777" w:rsidR="00E013B4" w:rsidRDefault="00E013B4" w:rsidP="00E013B4">
      <w:pPr>
        <w:ind w:firstLine="420"/>
      </w:pPr>
      <w:r>
        <w:t xml:space="preserve">  sflpar = </w:t>
      </w:r>
      <w:proofErr w:type="gramStart"/>
      <w:r>
        <w:t>c(</w:t>
      </w:r>
      <w:proofErr w:type="gramEnd"/>
      <w:r>
        <w:t>0.001, 0.025)/0.025</w:t>
      </w:r>
    </w:p>
    <w:p w14:paraId="56C93BD3" w14:textId="71386485" w:rsidR="00E013B4" w:rsidRDefault="00E013B4" w:rsidP="00E013B4">
      <w:pPr>
        <w:ind w:firstLine="420"/>
      </w:pPr>
      <w:r>
        <w:t>)</w:t>
      </w:r>
    </w:p>
    <w:p w14:paraId="0108E8D8" w14:textId="77777777" w:rsidR="00E013B4" w:rsidRDefault="00E013B4" w:rsidP="00E013B4">
      <w:pPr>
        <w:ind w:firstLine="420"/>
      </w:pPr>
      <w:r>
        <w:t xml:space="preserve">x &lt;- </w:t>
      </w:r>
      <w:proofErr w:type="gramStart"/>
      <w:r>
        <w:t>gsDesign(</w:t>
      </w:r>
      <w:proofErr w:type="gramEnd"/>
    </w:p>
    <w:p w14:paraId="4DD95C1E" w14:textId="77777777" w:rsidR="00E013B4" w:rsidRDefault="00E013B4" w:rsidP="00E013B4">
      <w:pPr>
        <w:ind w:firstLine="420"/>
      </w:pPr>
      <w:r>
        <w:t xml:space="preserve">  alpha = 0.025, </w:t>
      </w:r>
    </w:p>
    <w:p w14:paraId="26AFC6D7" w14:textId="77777777" w:rsidR="00E013B4" w:rsidRDefault="00E013B4" w:rsidP="00E013B4">
      <w:pPr>
        <w:ind w:firstLine="420"/>
      </w:pPr>
      <w:r>
        <w:t xml:space="preserve">  beta = 0.15,</w:t>
      </w:r>
    </w:p>
    <w:p w14:paraId="406BE02D" w14:textId="77777777" w:rsidR="00E013B4" w:rsidRDefault="00E013B4" w:rsidP="00E013B4">
      <w:pPr>
        <w:ind w:firstLine="420"/>
      </w:pPr>
      <w:r>
        <w:t xml:space="preserve">  k=2, </w:t>
      </w:r>
    </w:p>
    <w:p w14:paraId="0583EF6D" w14:textId="77777777" w:rsidR="00E013B4" w:rsidRDefault="00E013B4" w:rsidP="00E013B4">
      <w:pPr>
        <w:ind w:firstLine="420"/>
      </w:pPr>
      <w:r>
        <w:t xml:space="preserve">  timing = </w:t>
      </w:r>
      <w:proofErr w:type="gramStart"/>
      <w:r>
        <w:t>c(</w:t>
      </w:r>
      <w:proofErr w:type="gramEnd"/>
      <w:r>
        <w:t>0.4, 1),</w:t>
      </w:r>
    </w:p>
    <w:p w14:paraId="3184CA3E" w14:textId="77777777" w:rsidR="00E013B4" w:rsidRDefault="00E013B4" w:rsidP="00E013B4">
      <w:pPr>
        <w:ind w:firstLine="420"/>
      </w:pPr>
      <w:r>
        <w:t xml:space="preserve">  n.fix = round(480/test$</w:t>
      </w:r>
      <w:proofErr w:type="gramStart"/>
      <w:r>
        <w:t>n.I</w:t>
      </w:r>
      <w:proofErr w:type="gramEnd"/>
      <w:r>
        <w:t>[2]),</w:t>
      </w:r>
    </w:p>
    <w:p w14:paraId="4E4F755A" w14:textId="77777777" w:rsidR="00E013B4" w:rsidRDefault="00E013B4" w:rsidP="00E013B4">
      <w:pPr>
        <w:ind w:firstLine="420"/>
      </w:pPr>
      <w:r>
        <w:t xml:space="preserve">  sfu = sfPoints, </w:t>
      </w:r>
    </w:p>
    <w:p w14:paraId="5955ECD0" w14:textId="77777777" w:rsidR="00E013B4" w:rsidRDefault="00E013B4" w:rsidP="00E013B4">
      <w:pPr>
        <w:ind w:firstLine="420"/>
      </w:pPr>
      <w:r>
        <w:t xml:space="preserve">  sfupar = </w:t>
      </w:r>
      <w:proofErr w:type="gramStart"/>
      <w:r>
        <w:t>c(</w:t>
      </w:r>
      <w:proofErr w:type="gramEnd"/>
      <w:r>
        <w:t xml:space="preserve">0.001, 0.025)/0.025, </w:t>
      </w:r>
    </w:p>
    <w:p w14:paraId="506ACFB6" w14:textId="77777777" w:rsidR="00E013B4" w:rsidRDefault="00E013B4" w:rsidP="00E013B4">
      <w:pPr>
        <w:ind w:firstLine="420"/>
      </w:pPr>
      <w:r>
        <w:t xml:space="preserve">  sfl = sfPoints,</w:t>
      </w:r>
    </w:p>
    <w:p w14:paraId="2CAF6564" w14:textId="77777777" w:rsidR="00E013B4" w:rsidRDefault="00E013B4" w:rsidP="00E013B4">
      <w:pPr>
        <w:ind w:firstLine="420"/>
      </w:pPr>
      <w:r>
        <w:t xml:space="preserve">  sflpar = </w:t>
      </w:r>
      <w:proofErr w:type="gramStart"/>
      <w:r>
        <w:t>c(</w:t>
      </w:r>
      <w:proofErr w:type="gramEnd"/>
      <w:r>
        <w:t xml:space="preserve">0.001, 0.025)/0.025, </w:t>
      </w:r>
    </w:p>
    <w:p w14:paraId="5FD172DC" w14:textId="77777777" w:rsidR="00E013B4" w:rsidRDefault="00E013B4" w:rsidP="00E013B4">
      <w:pPr>
        <w:ind w:firstLine="420"/>
      </w:pPr>
      <w:r>
        <w:t xml:space="preserve">  delta1 = 0.106/0.212</w:t>
      </w:r>
    </w:p>
    <w:p w14:paraId="409C8825" w14:textId="048871DA" w:rsidR="004106E2" w:rsidRDefault="00E013B4" w:rsidP="004106E2">
      <w:pPr>
        <w:ind w:firstLine="420"/>
      </w:pPr>
      <w:r>
        <w:t>)</w:t>
      </w:r>
    </w:p>
    <w:p w14:paraId="3B3B0996" w14:textId="3B8C8DA1" w:rsidR="004106E2" w:rsidRDefault="004106E2" w:rsidP="004106E2">
      <w:pPr>
        <w:ind w:firstLine="420"/>
      </w:pPr>
      <w:r>
        <w:rPr>
          <w:rFonts w:hint="eastAsia"/>
        </w:rPr>
        <w:t>结果输出：</w:t>
      </w:r>
    </w:p>
    <w:p w14:paraId="77CB14E9" w14:textId="5AF6F955" w:rsidR="006B7817" w:rsidRDefault="00B84E01" w:rsidP="006B7817">
      <w:pPr>
        <w:jc w:val="center"/>
      </w:pPr>
      <w:r>
        <w:rPr>
          <w:noProof/>
        </w:rPr>
        <w:lastRenderedPageBreak/>
        <w:drawing>
          <wp:inline distT="0" distB="0" distL="0" distR="0" wp14:anchorId="77459A33" wp14:editId="79F4BCF5">
            <wp:extent cx="4290646" cy="3407000"/>
            <wp:effectExtent l="0" t="0" r="0" b="3175"/>
            <wp:docPr id="197183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8063" cy="3412890"/>
                    </a:xfrm>
                    <a:prstGeom prst="rect">
                      <a:avLst/>
                    </a:prstGeom>
                    <a:noFill/>
                  </pic:spPr>
                </pic:pic>
              </a:graphicData>
            </a:graphic>
          </wp:inline>
        </w:drawing>
      </w:r>
    </w:p>
    <w:p w14:paraId="5ADA8E56" w14:textId="77777777" w:rsidR="006B7817" w:rsidRDefault="006B7817" w:rsidP="006B7817">
      <w:pPr>
        <w:jc w:val="center"/>
      </w:pPr>
    </w:p>
    <w:p w14:paraId="0859A942" w14:textId="3667920B" w:rsidR="00137E45" w:rsidRPr="00137E45" w:rsidRDefault="009A2E2B" w:rsidP="009A2E2B">
      <w:r>
        <w:rPr>
          <w:rFonts w:hint="eastAsia"/>
        </w:rPr>
        <w:t xml:space="preserve">    研究入组过快，在入组完600例患者时尚无人完成1年的随访。FDA仍然建议</w:t>
      </w:r>
      <w:r w:rsidR="006B7817">
        <w:rPr>
          <w:rFonts w:hint="eastAsia"/>
        </w:rPr>
        <w:t>按原计划</w:t>
      </w:r>
      <w:r>
        <w:rPr>
          <w:rFonts w:hint="eastAsia"/>
        </w:rPr>
        <w:t>在40%的患者有1年结果时进行一次期中分析，</w:t>
      </w:r>
      <w:r w:rsidR="006523D3">
        <w:rPr>
          <w:rFonts w:hint="eastAsia"/>
        </w:rPr>
        <w:t>结果支持按原计划入组至480例，但此时入组早已完成600例。于是在前480例患者随访满1年时做了主要终点的分析，结果显示试验组优于对照组（18.2% vs 29.3%，P=0.005）。</w:t>
      </w:r>
      <w:r w:rsidR="00DC71FD">
        <w:rPr>
          <w:rFonts w:hint="eastAsia"/>
        </w:rPr>
        <w:t>最</w:t>
      </w:r>
      <w:r w:rsidR="006523D3">
        <w:rPr>
          <w:rFonts w:hint="eastAsia"/>
        </w:rPr>
        <w:t>终</w:t>
      </w:r>
      <w:r w:rsidR="00DC71FD">
        <w:rPr>
          <w:rFonts w:hint="eastAsia"/>
        </w:rPr>
        <w:t>600例患者</w:t>
      </w:r>
      <w:r w:rsidR="006523D3">
        <w:rPr>
          <w:rFonts w:hint="eastAsia"/>
        </w:rPr>
        <w:t>随访</w:t>
      </w:r>
      <w:r w:rsidR="00DC71FD">
        <w:rPr>
          <w:rFonts w:hint="eastAsia"/>
        </w:rPr>
        <w:t>1年的结果</w:t>
      </w:r>
      <w:r w:rsidR="006523D3">
        <w:rPr>
          <w:rFonts w:hint="eastAsia"/>
        </w:rPr>
        <w:t>与之一致（17.9% vs 28.6%，P=0.003），研究达成。</w:t>
      </w:r>
    </w:p>
    <w:p w14:paraId="2ACC0ED9" w14:textId="667FA845" w:rsidR="001573FD" w:rsidRPr="003959C7" w:rsidRDefault="00A42DC3" w:rsidP="00A42DC3">
      <w:pPr>
        <w:pStyle w:val="Heading2"/>
      </w:pPr>
      <w:r>
        <w:rPr>
          <w:rFonts w:hint="eastAsia"/>
        </w:rPr>
        <w:t>其他情况的样本量再计算</w:t>
      </w:r>
    </w:p>
    <w:p w14:paraId="71625520" w14:textId="5913FD20" w:rsidR="001573FD" w:rsidRDefault="001573FD" w:rsidP="001573FD">
      <w:pPr>
        <w:autoSpaceDE w:val="0"/>
        <w:autoSpaceDN w:val="0"/>
        <w:adjustRightInd w:val="0"/>
        <w:ind w:firstLine="420"/>
        <w:jc w:val="left"/>
      </w:pPr>
      <w:r>
        <w:rPr>
          <w:rFonts w:hint="eastAsia"/>
        </w:rPr>
        <w:t>研究开展过程中对样本量计算进行修改的情形并不少见，原因也是多样的。</w:t>
      </w:r>
      <w:r w:rsidRPr="001573FD">
        <w:rPr>
          <w:rFonts w:hint="eastAsia"/>
          <w:highlight w:val="yellow"/>
        </w:rPr>
        <w:t>本章</w:t>
      </w:r>
      <w:r w:rsidRPr="001573FD">
        <w:rPr>
          <w:highlight w:val="yellow"/>
        </w:rPr>
        <w:fldChar w:fldCharType="begin"/>
      </w:r>
      <w:r w:rsidRPr="001573FD">
        <w:rPr>
          <w:highlight w:val="yellow"/>
        </w:rPr>
        <w:instrText xml:space="preserve"> </w:instrText>
      </w:r>
      <w:r w:rsidRPr="001573FD">
        <w:rPr>
          <w:rFonts w:hint="eastAsia"/>
          <w:highlight w:val="yellow"/>
        </w:rPr>
        <w:instrText>REF _Ref138344393 \h</w:instrText>
      </w:r>
      <w:r w:rsidRPr="001573FD">
        <w:rPr>
          <w:highlight w:val="yellow"/>
        </w:rPr>
        <w:instrText xml:space="preserve"> </w:instrText>
      </w:r>
      <w:r>
        <w:rPr>
          <w:highlight w:val="yellow"/>
        </w:rPr>
        <w:instrText xml:space="preserve"> \* MERGEFORMAT </w:instrText>
      </w:r>
      <w:r w:rsidRPr="001573FD">
        <w:rPr>
          <w:highlight w:val="yellow"/>
        </w:rPr>
      </w:r>
      <w:r w:rsidRPr="001573FD">
        <w:rPr>
          <w:highlight w:val="yellow"/>
        </w:rPr>
        <w:fldChar w:fldCharType="separate"/>
      </w:r>
      <w:r w:rsidRPr="001573FD">
        <w:rPr>
          <w:highlight w:val="yellow"/>
        </w:rPr>
        <w:t xml:space="preserve">例 </w:t>
      </w:r>
      <w:r w:rsidRPr="001573FD">
        <w:rPr>
          <w:noProof/>
          <w:highlight w:val="yellow"/>
        </w:rPr>
        <w:t>4</w:t>
      </w:r>
      <w:r w:rsidRPr="001573FD">
        <w:rPr>
          <w:highlight w:val="yellow"/>
        </w:rPr>
        <w:noBreakHyphen/>
      </w:r>
      <w:r w:rsidRPr="001573FD">
        <w:rPr>
          <w:noProof/>
          <w:highlight w:val="yellow"/>
        </w:rPr>
        <w:t>1</w:t>
      </w:r>
      <w:r w:rsidRPr="001573FD">
        <w:rPr>
          <w:highlight w:val="yellow"/>
        </w:rPr>
        <w:fldChar w:fldCharType="end"/>
      </w:r>
      <w:r w:rsidRPr="001573FD">
        <w:rPr>
          <w:highlight w:val="yellow"/>
        </w:rPr>
        <w:t xml:space="preserve"> </w:t>
      </w:r>
      <w:r w:rsidRPr="001573FD">
        <w:rPr>
          <w:rFonts w:hint="eastAsia"/>
          <w:highlight w:val="yellow"/>
        </w:rPr>
        <w:t>VPS</w:t>
      </w:r>
      <w:r w:rsidRPr="001573FD">
        <w:rPr>
          <w:highlight w:val="yellow"/>
        </w:rPr>
        <w:t xml:space="preserve"> </w:t>
      </w:r>
      <w:r w:rsidRPr="001573FD">
        <w:rPr>
          <w:rFonts w:hint="eastAsia"/>
          <w:highlight w:val="yellow"/>
        </w:rPr>
        <w:t>II研究</w:t>
      </w:r>
      <w:r>
        <w:rPr>
          <w:rFonts w:hint="eastAsia"/>
        </w:rPr>
        <w:t>就在入组6</w:t>
      </w:r>
      <w:r>
        <w:t>0</w:t>
      </w:r>
      <w:r>
        <w:rPr>
          <w:rFonts w:hint="eastAsia"/>
        </w:rPr>
        <w:t>例患者后发现实际的总事件率低于预期，样本量由8</w:t>
      </w:r>
      <w:r>
        <w:t>0</w:t>
      </w:r>
      <w:r>
        <w:rPr>
          <w:rFonts w:hint="eastAsia"/>
        </w:rPr>
        <w:t>例增加至1</w:t>
      </w:r>
      <w:r>
        <w:t>00</w:t>
      </w:r>
      <w:r>
        <w:rPr>
          <w:rFonts w:hint="eastAsia"/>
        </w:rPr>
        <w:t>例。这个研究的结果显示试验组比对照组降低晕厥率3</w:t>
      </w:r>
      <w:r>
        <w:t>0%</w:t>
      </w:r>
      <w:r>
        <w:rPr>
          <w:rFonts w:hint="eastAsia"/>
        </w:rPr>
        <w:t>，但没有统计学意义，事后分析可以看出研究设计时预计降低5</w:t>
      </w:r>
      <w:r>
        <w:t>0%</w:t>
      </w:r>
      <w:r>
        <w:rPr>
          <w:rFonts w:hint="eastAsia"/>
        </w:rPr>
        <w:t>其实是过于乐观了。如果此研究中主要终点事件降低</w:t>
      </w:r>
      <w:r>
        <w:t>30%</w:t>
      </w:r>
      <w:r>
        <w:rPr>
          <w:rFonts w:hint="eastAsia"/>
        </w:rPr>
        <w:t>也具有临床意义的话</w:t>
      </w:r>
      <w:r w:rsidRPr="00D8794B">
        <w:rPr>
          <w:rFonts w:hint="eastAsia"/>
          <w:highlight w:val="yellow"/>
        </w:rPr>
        <w:t>（当前很多研究试验组比对照组的改善也就在3</w:t>
      </w:r>
      <w:r w:rsidRPr="00D8794B">
        <w:rPr>
          <w:highlight w:val="yellow"/>
        </w:rPr>
        <w:t>0%</w:t>
      </w:r>
      <w:r w:rsidRPr="00D8794B">
        <w:rPr>
          <w:rFonts w:hint="eastAsia"/>
          <w:highlight w:val="yellow"/>
        </w:rPr>
        <w:t>左右）</w:t>
      </w:r>
      <w:r>
        <w:rPr>
          <w:rFonts w:hint="eastAsia"/>
        </w:rPr>
        <w:t>，样本量需要增加至</w:t>
      </w:r>
      <w:r>
        <w:t>236</w:t>
      </w:r>
      <w:r>
        <w:rPr>
          <w:rFonts w:hint="eastAsia"/>
        </w:rPr>
        <w:t>例，可见处理效应对样本量的影响是明显的。另外，在8</w:t>
      </w:r>
      <w:r>
        <w:t>0</w:t>
      </w:r>
      <w:r>
        <w:rPr>
          <w:rFonts w:hint="eastAsia"/>
        </w:rPr>
        <w:t>例样本量的设计下，欲发现晕厥率下降3</w:t>
      </w:r>
      <w:r>
        <w:t>0%</w:t>
      </w:r>
      <w:r>
        <w:rPr>
          <w:rFonts w:hint="eastAsia"/>
        </w:rPr>
        <w:t>的差异，检验效能只有3</w:t>
      </w:r>
      <w:r>
        <w:t>7.4%</w:t>
      </w:r>
      <w:r>
        <w:rPr>
          <w:rFonts w:hint="eastAsia"/>
        </w:rPr>
        <w:t>；即使1</w:t>
      </w:r>
      <w:r>
        <w:t>00</w:t>
      </w:r>
      <w:r>
        <w:rPr>
          <w:rFonts w:hint="eastAsia"/>
        </w:rPr>
        <w:t>例时，检验效能也只有</w:t>
      </w:r>
      <w:r>
        <w:t>44.8%</w:t>
      </w:r>
      <w:r>
        <w:rPr>
          <w:rFonts w:hint="eastAsia"/>
        </w:rPr>
        <w:t>，尽管这种事后评价检验效能的做法争议较大。</w:t>
      </w:r>
    </w:p>
    <w:p w14:paraId="6468929A" w14:textId="77777777" w:rsidR="001573FD" w:rsidRDefault="001573FD" w:rsidP="001573FD">
      <w:pPr>
        <w:autoSpaceDE w:val="0"/>
        <w:autoSpaceDN w:val="0"/>
        <w:adjustRightInd w:val="0"/>
        <w:ind w:firstLine="420"/>
        <w:jc w:val="left"/>
      </w:pPr>
      <w:r>
        <w:t xml:space="preserve">library(pwrss) </w:t>
      </w:r>
    </w:p>
    <w:p w14:paraId="1ACD0007" w14:textId="77777777" w:rsidR="001573FD" w:rsidRDefault="001573FD" w:rsidP="001573FD">
      <w:pPr>
        <w:autoSpaceDE w:val="0"/>
        <w:autoSpaceDN w:val="0"/>
        <w:adjustRightInd w:val="0"/>
        <w:ind w:firstLine="420"/>
        <w:jc w:val="left"/>
      </w:pPr>
      <w:r>
        <w:t>pwrss.z.2</w:t>
      </w:r>
      <w:proofErr w:type="gramStart"/>
      <w:r>
        <w:t>props(</w:t>
      </w:r>
      <w:proofErr w:type="gramEnd"/>
      <w:r>
        <w:t>p1 = 0.6*0.7, p2 = 0.6, alpha = 0.05, power = 0.8)</w:t>
      </w:r>
    </w:p>
    <w:p w14:paraId="4586DD77" w14:textId="77777777" w:rsidR="001573FD" w:rsidRDefault="001573FD" w:rsidP="001573FD">
      <w:pPr>
        <w:autoSpaceDE w:val="0"/>
        <w:autoSpaceDN w:val="0"/>
        <w:adjustRightInd w:val="0"/>
        <w:ind w:firstLine="420"/>
        <w:jc w:val="left"/>
      </w:pPr>
      <w:r>
        <w:t>pwrss.z.2</w:t>
      </w:r>
      <w:proofErr w:type="gramStart"/>
      <w:r>
        <w:t>props(</w:t>
      </w:r>
      <w:proofErr w:type="gramEnd"/>
      <w:r>
        <w:t>p1 = 0.6*0.7, p2 = 0.6, alpha = 0.05, n2 = 40)</w:t>
      </w:r>
    </w:p>
    <w:p w14:paraId="61EAFEA9" w14:textId="77777777" w:rsidR="001573FD" w:rsidRDefault="001573FD" w:rsidP="001573FD">
      <w:pPr>
        <w:autoSpaceDE w:val="0"/>
        <w:autoSpaceDN w:val="0"/>
        <w:adjustRightInd w:val="0"/>
        <w:ind w:firstLine="420"/>
        <w:jc w:val="left"/>
      </w:pPr>
      <w:r>
        <w:t>pwrss.z.2</w:t>
      </w:r>
      <w:proofErr w:type="gramStart"/>
      <w:r>
        <w:t>props(</w:t>
      </w:r>
      <w:proofErr w:type="gramEnd"/>
      <w:r>
        <w:t>p1 = 0.6*0.7, p2 = 0.6, alpha = 0.05, n2 = 50)</w:t>
      </w:r>
    </w:p>
    <w:p w14:paraId="0F3890D5" w14:textId="4F08816E" w:rsidR="001573FD" w:rsidRDefault="001573FD" w:rsidP="001573FD">
      <w:pPr>
        <w:autoSpaceDE w:val="0"/>
        <w:autoSpaceDN w:val="0"/>
        <w:adjustRightInd w:val="0"/>
        <w:ind w:firstLine="420"/>
        <w:jc w:val="left"/>
      </w:pPr>
      <w:r>
        <w:rPr>
          <w:rFonts w:hint="eastAsia"/>
        </w:rPr>
        <w:t>临床研究中实际事件率比预估事件率低的情况并不少见。RESCUE</w:t>
      </w:r>
      <w:r>
        <w:t xml:space="preserve"> </w:t>
      </w:r>
      <w:r>
        <w:rPr>
          <w:rFonts w:hint="eastAsia"/>
        </w:rPr>
        <w:t>BT</w:t>
      </w:r>
      <w:r>
        <w:t>2</w:t>
      </w:r>
      <w:r>
        <w:rPr>
          <w:rFonts w:hint="eastAsia"/>
        </w:rPr>
        <w:t>研究</w:t>
      </w:r>
      <w:r>
        <w:fldChar w:fldCharType="begin"/>
      </w:r>
      <w:r>
        <w:instrText xml:space="preserve"> ADDIN NE.Ref.{B150E411-3915-4307-9DFD-FFD5C32C3D58}</w:instrText>
      </w:r>
      <w:r>
        <w:fldChar w:fldCharType="separate"/>
      </w:r>
      <w:r w:rsidR="00A46350">
        <w:rPr>
          <w:rFonts w:ascii="等线" w:eastAsia="等线" w:cs="等线"/>
          <w:color w:val="000000"/>
          <w:kern w:val="0"/>
          <w:szCs w:val="21"/>
          <w:vertAlign w:val="superscript"/>
        </w:rPr>
        <w:t>9</w:t>
      </w:r>
      <w:r>
        <w:fldChar w:fldCharType="end"/>
      </w:r>
      <w:r>
        <w:rPr>
          <w:rFonts w:hint="eastAsia"/>
        </w:rPr>
        <w:t>试验组和对照组的实际预后良好率比样本量计算时的预期值都明显降低，好在是同时降低，研究仍然能够达成，如果采用了单组目标值法（仅试验组），研究就很可能会失败了。</w:t>
      </w:r>
    </w:p>
    <w:p w14:paraId="08190364" w14:textId="12A77ABF" w:rsidR="001573FD" w:rsidRDefault="001573FD" w:rsidP="001573FD">
      <w:pPr>
        <w:autoSpaceDE w:val="0"/>
        <w:autoSpaceDN w:val="0"/>
        <w:adjustRightInd w:val="0"/>
        <w:ind w:firstLine="420"/>
        <w:jc w:val="left"/>
      </w:pPr>
      <w:r>
        <w:rPr>
          <w:rFonts w:hint="eastAsia"/>
        </w:rPr>
        <w:t>PROMPT</w:t>
      </w:r>
      <w:r>
        <w:t>-</w:t>
      </w:r>
      <w:r>
        <w:rPr>
          <w:rFonts w:hint="eastAsia"/>
        </w:rPr>
        <w:t>AF研究，初始假设的试验组和对照组的消融后房颤复发率分别为</w:t>
      </w:r>
      <w:r>
        <w:t>35%</w:t>
      </w:r>
      <w:r>
        <w:rPr>
          <w:rFonts w:hint="eastAsia"/>
        </w:rPr>
        <w:t>和5</w:t>
      </w:r>
      <w:r>
        <w:t>5%</w:t>
      </w:r>
      <w:r>
        <w:rPr>
          <w:rFonts w:hint="eastAsia"/>
        </w:rPr>
        <w:t>，考虑1</w:t>
      </w:r>
      <w:r>
        <w:t>0%</w:t>
      </w:r>
      <w:r>
        <w:rPr>
          <w:rFonts w:hint="eastAsia"/>
        </w:rPr>
        <w:t>的脱落后样本量为2</w:t>
      </w:r>
      <w:r>
        <w:t>76</w:t>
      </w:r>
      <w:r>
        <w:fldChar w:fldCharType="begin"/>
      </w:r>
      <w:r>
        <w:instrText xml:space="preserve"> ADDIN NE.Ref.{7662D666-ECAB-4912-96ED-2E0776813315}</w:instrText>
      </w:r>
      <w:r>
        <w:fldChar w:fldCharType="separate"/>
      </w:r>
      <w:r w:rsidR="00A46350">
        <w:rPr>
          <w:rFonts w:ascii="等线" w:eastAsia="等线" w:cs="等线"/>
          <w:color w:val="000000"/>
          <w:kern w:val="0"/>
          <w:szCs w:val="21"/>
          <w:vertAlign w:val="superscript"/>
        </w:rPr>
        <w:t>10</w:t>
      </w:r>
      <w:r>
        <w:fldChar w:fldCharType="end"/>
      </w:r>
      <w:r>
        <w:rPr>
          <w:rFonts w:hint="eastAsia"/>
        </w:rPr>
        <w:t>。后试验组和对照组的复发率分别假设为</w:t>
      </w:r>
      <w:r>
        <w:t>40%</w:t>
      </w:r>
      <w:r>
        <w:rPr>
          <w:rFonts w:hint="eastAsia"/>
        </w:rPr>
        <w:t>和5</w:t>
      </w:r>
      <w:r>
        <w:t>5%</w:t>
      </w:r>
      <w:r>
        <w:rPr>
          <w:rFonts w:hint="eastAsia"/>
        </w:rPr>
        <w:t>时，双侧</w:t>
      </w:r>
      <w:r>
        <w:rPr>
          <w:rFonts w:asciiTheme="minorEastAsia" w:hAnsiTheme="minorEastAsia" w:hint="eastAsia"/>
        </w:rPr>
        <w:t>α</w:t>
      </w:r>
      <w:r>
        <w:rPr>
          <w:rFonts w:hint="eastAsia"/>
        </w:rPr>
        <w:lastRenderedPageBreak/>
        <w:t>=</w:t>
      </w:r>
      <w:r>
        <w:t>0.05</w:t>
      </w:r>
      <w:r>
        <w:rPr>
          <w:rFonts w:hint="eastAsia"/>
        </w:rPr>
        <w:t>，检验效能9</w:t>
      </w:r>
      <w:r>
        <w:t>0%</w:t>
      </w:r>
      <w:r>
        <w:rPr>
          <w:rFonts w:hint="eastAsia"/>
        </w:rPr>
        <w:t>，则样本量计算为448例，考虑脱落后为498例</w:t>
      </w:r>
      <w:r>
        <w:fldChar w:fldCharType="begin"/>
      </w:r>
      <w:r>
        <w:instrText xml:space="preserve"> ADDIN NE.Ref.{4B0EC148-9A0F-4946-8EFC-E38631326E0F}</w:instrText>
      </w:r>
      <w:r>
        <w:fldChar w:fldCharType="separate"/>
      </w:r>
      <w:r w:rsidR="00A46350">
        <w:rPr>
          <w:rFonts w:ascii="等线" w:eastAsia="等线" w:cs="等线"/>
          <w:color w:val="000000"/>
          <w:kern w:val="0"/>
          <w:szCs w:val="21"/>
          <w:vertAlign w:val="superscript"/>
        </w:rPr>
        <w:t>11</w:t>
      </w:r>
      <w:r>
        <w:fldChar w:fldCharType="end"/>
      </w:r>
      <w:r>
        <w:rPr>
          <w:rFonts w:hint="eastAsia"/>
        </w:rPr>
        <w:t>。研究结果为试验组和对照组的成功率分别为70.7%和61.5%（即复发率分别为29.3%与38.5%），P=0.045，研究达成</w:t>
      </w:r>
      <w:r>
        <w:fldChar w:fldCharType="begin"/>
      </w:r>
      <w:r>
        <w:instrText xml:space="preserve"> ADDIN NE.Ref.{A44B2075-BF81-4253-B017-4B8543FEBF2F}</w:instrText>
      </w:r>
      <w:r>
        <w:fldChar w:fldCharType="separate"/>
      </w:r>
      <w:r w:rsidR="00A46350">
        <w:rPr>
          <w:rFonts w:ascii="等线" w:eastAsia="等线" w:cs="等线"/>
          <w:color w:val="000000"/>
          <w:kern w:val="0"/>
          <w:szCs w:val="21"/>
          <w:vertAlign w:val="superscript"/>
        </w:rPr>
        <w:t>12</w:t>
      </w:r>
      <w:r>
        <w:fldChar w:fldCharType="end"/>
      </w:r>
      <w:r>
        <w:rPr>
          <w:rFonts w:hint="eastAsia"/>
        </w:rPr>
        <w:t>。</w:t>
      </w:r>
    </w:p>
    <w:p w14:paraId="42A3B5CC" w14:textId="333AC076" w:rsidR="001573FD" w:rsidRDefault="001573FD" w:rsidP="001573FD">
      <w:pPr>
        <w:autoSpaceDE w:val="0"/>
        <w:autoSpaceDN w:val="0"/>
        <w:adjustRightInd w:val="0"/>
        <w:ind w:firstLine="420"/>
        <w:jc w:val="left"/>
      </w:pPr>
      <w:r>
        <w:rPr>
          <w:rFonts w:hint="eastAsia"/>
        </w:rPr>
        <w:t>某超声消融治疗帕金森病的研究</w:t>
      </w:r>
      <w:r>
        <w:fldChar w:fldCharType="begin"/>
      </w:r>
      <w:r>
        <w:instrText xml:space="preserve"> ADDIN NE.Ref.{2C06F124-DA65-483C-B49F-249F7BA63C39}</w:instrText>
      </w:r>
      <w:r>
        <w:fldChar w:fldCharType="separate"/>
      </w:r>
      <w:r w:rsidR="00A46350">
        <w:rPr>
          <w:rFonts w:ascii="等线" w:eastAsia="等线" w:cs="等线"/>
          <w:color w:val="000000"/>
          <w:kern w:val="0"/>
          <w:szCs w:val="21"/>
          <w:vertAlign w:val="superscript"/>
        </w:rPr>
        <w:t>13</w:t>
      </w:r>
      <w:r>
        <w:fldChar w:fldCharType="end"/>
      </w:r>
      <w:r>
        <w:rPr>
          <w:rFonts w:hint="eastAsia"/>
        </w:rPr>
        <w:t>，样本量计算的修改过程较为复杂。根据论文网页附件里的方案，第六版原版（2</w:t>
      </w:r>
      <w:r>
        <w:t>017</w:t>
      </w:r>
      <w:r>
        <w:rPr>
          <w:rFonts w:hint="eastAsia"/>
        </w:rPr>
        <w:t>年）提到：试验组评分改善2</w:t>
      </w:r>
      <w:r>
        <w:t>4.0</w:t>
      </w:r>
      <w:r>
        <w:rPr>
          <w:rFonts w:hint="eastAsia"/>
        </w:rPr>
        <w:t>分</w:t>
      </w:r>
      <w:r>
        <w:t>, SD=12.0</w:t>
      </w:r>
      <w:r>
        <w:rPr>
          <w:rFonts w:hint="eastAsia"/>
        </w:rPr>
        <w:t>；对照组改善3</w:t>
      </w:r>
      <w:r>
        <w:t>.5</w:t>
      </w:r>
      <w:r>
        <w:rPr>
          <w:rFonts w:hint="eastAsia"/>
        </w:rPr>
        <w:t>分，SD</w:t>
      </w:r>
      <w:r>
        <w:t>=12.0</w:t>
      </w:r>
      <w:r>
        <w:rPr>
          <w:rFonts w:hint="eastAsia"/>
        </w:rPr>
        <w:t>，按3:</w:t>
      </w:r>
      <w:r>
        <w:t>1</w:t>
      </w:r>
      <w:r>
        <w:rPr>
          <w:rFonts w:hint="eastAsia"/>
        </w:rPr>
        <w:t>随机，t检验双侧</w:t>
      </w:r>
      <w:r>
        <w:rPr>
          <w:rFonts w:asciiTheme="minorEastAsia" w:hAnsiTheme="minorEastAsia" w:hint="eastAsia"/>
        </w:rPr>
        <w:t>α</w:t>
      </w:r>
      <w:r>
        <w:rPr>
          <w:rFonts w:hint="eastAsia"/>
        </w:rPr>
        <w:t>=</w:t>
      </w:r>
      <w:r>
        <w:t>0.</w:t>
      </w:r>
      <w:r>
        <w:rPr>
          <w:rFonts w:hint="eastAsia"/>
        </w:rPr>
        <w:t>0</w:t>
      </w:r>
      <w:r>
        <w:t>5</w:t>
      </w:r>
      <w:r>
        <w:rPr>
          <w:rFonts w:hint="eastAsia"/>
        </w:rPr>
        <w:t>，则总计1</w:t>
      </w:r>
      <w:r>
        <w:t>16</w:t>
      </w:r>
      <w:r>
        <w:rPr>
          <w:rFonts w:hint="eastAsia"/>
        </w:rPr>
        <w:t>例患者可提供至少9</w:t>
      </w:r>
      <w:r>
        <w:t>5%</w:t>
      </w:r>
      <w:r>
        <w:rPr>
          <w:rFonts w:hint="eastAsia"/>
        </w:rPr>
        <w:t>的检验效能（根据这些参数无法重复该样本量计算结果）。方案第六版增补5（2</w:t>
      </w:r>
      <w:r>
        <w:t>020</w:t>
      </w:r>
      <w:r>
        <w:rPr>
          <w:rFonts w:hint="eastAsia"/>
        </w:rPr>
        <w:t>年）提到：假设治疗组反应率为7</w:t>
      </w:r>
      <w:r>
        <w:t>0%</w:t>
      </w:r>
      <w:r>
        <w:rPr>
          <w:rFonts w:hint="eastAsia"/>
        </w:rPr>
        <w:t>，对照组2</w:t>
      </w:r>
      <w:r>
        <w:t>0%</w:t>
      </w:r>
      <w:r>
        <w:rPr>
          <w:rFonts w:hint="eastAsia"/>
        </w:rPr>
        <w:t>，当样本量为试验组为3</w:t>
      </w:r>
      <w:r>
        <w:t>6</w:t>
      </w:r>
      <w:r>
        <w:rPr>
          <w:rFonts w:hint="eastAsia"/>
        </w:rPr>
        <w:t>例，对照组1</w:t>
      </w:r>
      <w:r>
        <w:t>2</w:t>
      </w:r>
      <w:r>
        <w:rPr>
          <w:rFonts w:hint="eastAsia"/>
        </w:rPr>
        <w:t>例，总计4</w:t>
      </w:r>
      <w:r>
        <w:t>8</w:t>
      </w:r>
      <w:r>
        <w:rPr>
          <w:rFonts w:hint="eastAsia"/>
        </w:rPr>
        <w:t>例时可提供至少9</w:t>
      </w:r>
      <w:r>
        <w:t>0%</w:t>
      </w:r>
      <w:r>
        <w:rPr>
          <w:rFonts w:hint="eastAsia"/>
        </w:rPr>
        <w:t>的检验效能。同时假设试验组不良事件率5</w:t>
      </w:r>
      <w:r>
        <w:t>%</w:t>
      </w:r>
      <w:r>
        <w:rPr>
          <w:rFonts w:hint="eastAsia"/>
        </w:rPr>
        <w:t>，希望发现1例不良事件的概率为9</w:t>
      </w:r>
      <w:r>
        <w:t>5%</w:t>
      </w:r>
      <w:r>
        <w:rPr>
          <w:rFonts w:hint="eastAsia"/>
        </w:rPr>
        <w:t>，需样本量5</w:t>
      </w:r>
      <w:r>
        <w:t>9</w:t>
      </w:r>
      <w:r>
        <w:rPr>
          <w:rFonts w:hint="eastAsia"/>
        </w:rPr>
        <w:t>，取6</w:t>
      </w:r>
      <w:r>
        <w:t>0</w:t>
      </w:r>
      <w:r>
        <w:rPr>
          <w:rFonts w:hint="eastAsia"/>
        </w:rPr>
        <w:t>，这样总样本量为8</w:t>
      </w:r>
      <w:r>
        <w:t>0</w:t>
      </w:r>
      <w:r>
        <w:rPr>
          <w:rFonts w:hint="eastAsia"/>
        </w:rPr>
        <w:t>，考虑1</w:t>
      </w:r>
      <w:r>
        <w:t>5%</w:t>
      </w:r>
      <w:r>
        <w:rPr>
          <w:rFonts w:hint="eastAsia"/>
        </w:rPr>
        <w:t>的脱落率，最终样本量为9</w:t>
      </w:r>
      <w:r>
        <w:t>2</w:t>
      </w:r>
      <w:r>
        <w:rPr>
          <w:rFonts w:hint="eastAsia"/>
        </w:rPr>
        <w:t>。而实际发表的论文中的样本量计算的描述为：将患者按3:</w:t>
      </w:r>
      <w:r>
        <w:t>1</w:t>
      </w:r>
      <w:r>
        <w:rPr>
          <w:rFonts w:hint="eastAsia"/>
        </w:rPr>
        <w:t>随机分组进入试验组或假手术对照组，主要终点为</w:t>
      </w:r>
      <w:r>
        <w:t>3</w:t>
      </w:r>
      <w:r>
        <w:rPr>
          <w:rFonts w:hint="eastAsia"/>
        </w:rPr>
        <w:t>个月时治疗反应率。假设对照组治疗反应率为2</w:t>
      </w:r>
      <w:r>
        <w:t>0%</w:t>
      </w:r>
      <w:r>
        <w:rPr>
          <w:rFonts w:hint="eastAsia"/>
        </w:rPr>
        <w:t>，试验组为7</w:t>
      </w:r>
      <w:r>
        <w:t>0%</w:t>
      </w:r>
      <w:r>
        <w:rPr>
          <w:rFonts w:hint="eastAsia"/>
        </w:rPr>
        <w:t>，双侧</w:t>
      </w:r>
      <w:r>
        <w:rPr>
          <w:rFonts w:asciiTheme="minorEastAsia" w:hAnsiTheme="minorEastAsia" w:hint="eastAsia"/>
        </w:rPr>
        <w:t>α=</w:t>
      </w:r>
      <w:r>
        <w:t>0.05</w:t>
      </w:r>
      <w:r>
        <w:rPr>
          <w:rFonts w:hint="eastAsia"/>
        </w:rPr>
        <w:t>，基于Fisher确切概率检验，9</w:t>
      </w:r>
      <w:r>
        <w:t>2</w:t>
      </w:r>
      <w:r>
        <w:rPr>
          <w:rFonts w:hint="eastAsia"/>
        </w:rPr>
        <w:t>例（试验组6</w:t>
      </w:r>
      <w:r>
        <w:t>9</w:t>
      </w:r>
      <w:r>
        <w:rPr>
          <w:rFonts w:hint="eastAsia"/>
        </w:rPr>
        <w:t>例，对照组2</w:t>
      </w:r>
      <w:r>
        <w:t>3</w:t>
      </w:r>
      <w:r>
        <w:rPr>
          <w:rFonts w:hint="eastAsia"/>
        </w:rPr>
        <w:t>例）患者可提供9</w:t>
      </w:r>
      <w:r>
        <w:t>8%</w:t>
      </w:r>
      <w:r>
        <w:rPr>
          <w:rFonts w:hint="eastAsia"/>
        </w:rPr>
        <w:t>的检验效能。实在是大相径庭！如果该研究不是发表在了《新英格兰医学杂志》上，</w:t>
      </w:r>
      <w:r w:rsidR="00C01A21">
        <w:rPr>
          <w:rFonts w:hint="eastAsia"/>
        </w:rPr>
        <w:t>并</w:t>
      </w:r>
      <w:r>
        <w:rPr>
          <w:rFonts w:hint="eastAsia"/>
        </w:rPr>
        <w:t>按要求附上了研究方案，我们可能根本无从知晓其样本量计算发生了如此大的变化。</w:t>
      </w:r>
    </w:p>
    <w:p w14:paraId="1D821BDE" w14:textId="77777777" w:rsidR="001573FD" w:rsidRDefault="001573FD" w:rsidP="001573FD">
      <w:pPr>
        <w:autoSpaceDE w:val="0"/>
        <w:autoSpaceDN w:val="0"/>
        <w:adjustRightInd w:val="0"/>
        <w:ind w:firstLine="420"/>
        <w:jc w:val="left"/>
      </w:pPr>
      <w:r>
        <w:rPr>
          <w:rFonts w:hint="eastAsia"/>
        </w:rPr>
        <w:t>我们将在</w:t>
      </w:r>
      <w:r w:rsidRPr="003B1C7F">
        <w:rPr>
          <w:rFonts w:hint="eastAsia"/>
          <w:highlight w:val="yellow"/>
        </w:rPr>
        <w:t>适应性设计章节</w:t>
      </w:r>
      <w:r>
        <w:rPr>
          <w:rFonts w:hint="eastAsia"/>
        </w:rPr>
        <w:t>中讨论正规的样本量再计算。（</w:t>
      </w:r>
      <w:r w:rsidRPr="00B86626">
        <w:rPr>
          <w:rFonts w:hint="eastAsia"/>
          <w:highlight w:val="yellow"/>
        </w:rPr>
        <w:t>CABANA研究</w:t>
      </w:r>
      <w:r>
        <w:rPr>
          <w:rFonts w:hint="eastAsia"/>
        </w:rPr>
        <w:t>）</w:t>
      </w:r>
    </w:p>
    <w:p w14:paraId="062E7764" w14:textId="77777777" w:rsidR="001573FD" w:rsidRDefault="001573FD"/>
    <w:p w14:paraId="6301353C" w14:textId="0A5538D5" w:rsidR="00C02C93" w:rsidRDefault="00C02C93" w:rsidP="00C02C93">
      <w:pPr>
        <w:ind w:firstLine="420"/>
      </w:pPr>
      <w:r>
        <w:rPr>
          <w:rFonts w:hint="eastAsia"/>
        </w:rPr>
        <w:t>BAOCHE研究</w:t>
      </w:r>
      <w:r>
        <w:fldChar w:fldCharType="begin"/>
      </w:r>
      <w:r>
        <w:instrText xml:space="preserve"> ADDIN NE.Ref.{53469B6A-4F98-405A-97E7-5CD2FBCA9D77}</w:instrText>
      </w:r>
      <w:r>
        <w:fldChar w:fldCharType="separate"/>
      </w:r>
      <w:r w:rsidR="00A46350">
        <w:rPr>
          <w:rFonts w:ascii="等线" w:eastAsia="等线" w:cs="等线"/>
          <w:color w:val="000000"/>
          <w:kern w:val="0"/>
          <w:szCs w:val="21"/>
          <w:vertAlign w:val="superscript"/>
        </w:rPr>
        <w:t>14</w:t>
      </w:r>
      <w:r>
        <w:fldChar w:fldCharType="end"/>
      </w:r>
      <w:r>
        <w:rPr>
          <w:rFonts w:hint="eastAsia"/>
        </w:rPr>
        <w:t>。</w:t>
      </w:r>
    </w:p>
    <w:p w14:paraId="406439C1" w14:textId="77777777" w:rsidR="00C02C93" w:rsidRPr="007F4722" w:rsidRDefault="00C02C93" w:rsidP="00C02C93">
      <w:pPr>
        <w:ind w:firstLine="420"/>
      </w:pPr>
    </w:p>
    <w:p w14:paraId="60087DB9" w14:textId="77777777" w:rsidR="00C02C93" w:rsidRDefault="00C02C93" w:rsidP="00C02C93">
      <w:r>
        <w:rPr>
          <w:rFonts w:hint="eastAsia"/>
        </w:rPr>
        <w:t>PROMPT-AF</w:t>
      </w:r>
    </w:p>
    <w:p w14:paraId="40CC0F87" w14:textId="77777777" w:rsidR="00C02C93" w:rsidRDefault="00C02C93" w:rsidP="00C02C93"/>
    <w:p w14:paraId="6F7C8867" w14:textId="77777777" w:rsidR="00C02C93" w:rsidRDefault="00C02C93" w:rsidP="00C02C93">
      <w:r>
        <w:rPr>
          <w:rFonts w:hint="eastAsia"/>
        </w:rPr>
        <w:t>SOLVE-CRT</w:t>
      </w:r>
    </w:p>
    <w:p w14:paraId="0464D1AA" w14:textId="77777777" w:rsidR="001573FD" w:rsidRPr="00C02C93" w:rsidRDefault="001573FD"/>
    <w:p w14:paraId="544FD912" w14:textId="77777777" w:rsidR="00AB3BB1" w:rsidRPr="00AB3BB1" w:rsidRDefault="00AB3BB1" w:rsidP="00E76AD9">
      <w:pPr>
        <w:autoSpaceDE w:val="0"/>
        <w:autoSpaceDN w:val="0"/>
        <w:adjustRightInd w:val="0"/>
        <w:jc w:val="left"/>
        <w:rPr>
          <w:b/>
          <w:bCs/>
        </w:rPr>
      </w:pPr>
      <w:r w:rsidRPr="00AB3BB1">
        <w:rPr>
          <w:rFonts w:hint="eastAsia"/>
          <w:b/>
          <w:bCs/>
        </w:rPr>
        <w:t>讨论</w:t>
      </w:r>
    </w:p>
    <w:p w14:paraId="7040BFE6" w14:textId="77777777" w:rsidR="007F4722" w:rsidRDefault="007F4722" w:rsidP="00785342">
      <w:pPr>
        <w:autoSpaceDE w:val="0"/>
        <w:autoSpaceDN w:val="0"/>
        <w:adjustRightInd w:val="0"/>
        <w:ind w:firstLineChars="200" w:firstLine="420"/>
        <w:jc w:val="left"/>
      </w:pPr>
    </w:p>
    <w:p w14:paraId="778C3A90" w14:textId="6366917F" w:rsidR="007F4722" w:rsidRDefault="007F4722" w:rsidP="007F4722">
      <w:pPr>
        <w:autoSpaceDE w:val="0"/>
        <w:autoSpaceDN w:val="0"/>
        <w:adjustRightInd w:val="0"/>
        <w:ind w:firstLineChars="200" w:firstLine="420"/>
        <w:jc w:val="left"/>
      </w:pPr>
      <w:r>
        <w:rPr>
          <w:rFonts w:hint="eastAsia"/>
        </w:rPr>
        <w:t>当再计算的样本量少于最初设计的样本量时，通常不接受样本量减少的调整</w:t>
      </w:r>
      <w:r>
        <w:fldChar w:fldCharType="begin"/>
      </w:r>
      <w:r>
        <w:instrText xml:space="preserve"> ADDIN NE.Ref.{175AD97F-65D9-4F9C-B6E6-A064EC059EBD}</w:instrText>
      </w:r>
      <w:r>
        <w:fldChar w:fldCharType="separate"/>
      </w:r>
      <w:r w:rsidR="00A46350">
        <w:rPr>
          <w:rFonts w:ascii="等线" w:eastAsia="等线" w:cs="等线"/>
          <w:color w:val="000000"/>
          <w:kern w:val="0"/>
          <w:szCs w:val="21"/>
          <w:vertAlign w:val="superscript"/>
        </w:rPr>
        <w:t>1</w:t>
      </w:r>
      <w:r>
        <w:fldChar w:fldCharType="end"/>
      </w:r>
      <w:r>
        <w:rPr>
          <w:rFonts w:hint="eastAsia"/>
        </w:rPr>
        <w:t>。</w:t>
      </w:r>
    </w:p>
    <w:p w14:paraId="41FE6E6D" w14:textId="77777777" w:rsidR="007F4722" w:rsidRDefault="007F4722" w:rsidP="00785342">
      <w:pPr>
        <w:autoSpaceDE w:val="0"/>
        <w:autoSpaceDN w:val="0"/>
        <w:adjustRightInd w:val="0"/>
        <w:ind w:firstLineChars="200" w:firstLine="420"/>
        <w:jc w:val="left"/>
      </w:pPr>
    </w:p>
    <w:p w14:paraId="16477829" w14:textId="7F0ED848" w:rsidR="00AB3BB1" w:rsidRDefault="00DD5A58" w:rsidP="00785342">
      <w:pPr>
        <w:autoSpaceDE w:val="0"/>
        <w:autoSpaceDN w:val="0"/>
        <w:adjustRightInd w:val="0"/>
        <w:ind w:firstLineChars="200" w:firstLine="420"/>
        <w:jc w:val="left"/>
      </w:pPr>
      <w:r>
        <w:rPr>
          <w:rFonts w:hint="eastAsia"/>
        </w:rPr>
        <w:t>结果改变行为，测不准</w:t>
      </w:r>
    </w:p>
    <w:p w14:paraId="7F663E43" w14:textId="77777777" w:rsidR="0040577B" w:rsidRDefault="0040577B" w:rsidP="00785342">
      <w:pPr>
        <w:autoSpaceDE w:val="0"/>
        <w:autoSpaceDN w:val="0"/>
        <w:adjustRightInd w:val="0"/>
        <w:ind w:firstLineChars="200" w:firstLine="420"/>
        <w:jc w:val="left"/>
      </w:pPr>
    </w:p>
    <w:p w14:paraId="4ED97098" w14:textId="031BE25B" w:rsidR="00AB3BB1" w:rsidRDefault="0040577B" w:rsidP="00E76AD9">
      <w:pPr>
        <w:autoSpaceDE w:val="0"/>
        <w:autoSpaceDN w:val="0"/>
        <w:adjustRightInd w:val="0"/>
        <w:jc w:val="left"/>
      </w:pPr>
      <w:r>
        <w:rPr>
          <w:rFonts w:hint="eastAsia"/>
        </w:rPr>
        <w:t xml:space="preserve">    与成组序贯的比较。</w:t>
      </w:r>
    </w:p>
    <w:p w14:paraId="06C15DCD" w14:textId="77777777" w:rsidR="00D15ED0" w:rsidRDefault="00D15ED0" w:rsidP="00D15ED0"/>
    <w:p w14:paraId="09BA95BA" w14:textId="09D8AF7C" w:rsidR="00F93717" w:rsidRPr="00CB69E8" w:rsidRDefault="00F93717" w:rsidP="00F93717">
      <w:pPr>
        <w:ind w:firstLineChars="200" w:firstLine="420"/>
      </w:pPr>
      <w:r>
        <w:rPr>
          <w:rFonts w:hint="eastAsia"/>
        </w:rPr>
        <w:t>（PROTECTED TAVR如果提前终止，则不能得到次要终点的阳性结果）。</w:t>
      </w:r>
    </w:p>
    <w:p w14:paraId="43382823" w14:textId="77777777" w:rsidR="00D15ED0" w:rsidRPr="00F93717" w:rsidRDefault="00D15ED0" w:rsidP="00D15ED0">
      <w:pPr>
        <w:autoSpaceDE w:val="0"/>
        <w:autoSpaceDN w:val="0"/>
        <w:adjustRightInd w:val="0"/>
        <w:jc w:val="left"/>
      </w:pPr>
    </w:p>
    <w:p w14:paraId="5C689610" w14:textId="77777777" w:rsidR="00D15ED0" w:rsidRDefault="00D15ED0" w:rsidP="00D15ED0">
      <w:pPr>
        <w:autoSpaceDE w:val="0"/>
        <w:autoSpaceDN w:val="0"/>
        <w:adjustRightInd w:val="0"/>
        <w:jc w:val="left"/>
      </w:pPr>
    </w:p>
    <w:p w14:paraId="3351CB5D" w14:textId="77777777" w:rsidR="00AB3BB1" w:rsidRPr="00D15ED0" w:rsidRDefault="00AB3BB1" w:rsidP="00E76AD9">
      <w:pPr>
        <w:autoSpaceDE w:val="0"/>
        <w:autoSpaceDN w:val="0"/>
        <w:adjustRightInd w:val="0"/>
        <w:jc w:val="left"/>
      </w:pPr>
    </w:p>
    <w:p w14:paraId="5200F782" w14:textId="77777777" w:rsidR="00A46350" w:rsidRDefault="00E76AD9" w:rsidP="00A46350">
      <w:pPr>
        <w:autoSpaceDE w:val="0"/>
        <w:autoSpaceDN w:val="0"/>
        <w:adjustRightInd w:val="0"/>
        <w:jc w:val="left"/>
        <w:rPr>
          <w:rFonts w:ascii="Times New Roman" w:hAnsi="Times New Roman"/>
          <w:kern w:val="0"/>
          <w:sz w:val="24"/>
          <w:szCs w:val="24"/>
        </w:rPr>
      </w:pPr>
      <w:r>
        <w:fldChar w:fldCharType="begin"/>
      </w:r>
      <w:r>
        <w:instrText xml:space="preserve"> ADDIN NE.Bib</w:instrText>
      </w:r>
      <w:r>
        <w:fldChar w:fldCharType="separate"/>
      </w:r>
    </w:p>
    <w:p w14:paraId="0A241A09" w14:textId="77777777" w:rsidR="00A46350" w:rsidRDefault="00A46350" w:rsidP="00A46350">
      <w:pPr>
        <w:autoSpaceDE w:val="0"/>
        <w:autoSpaceDN w:val="0"/>
        <w:adjustRightInd w:val="0"/>
        <w:jc w:val="center"/>
        <w:rPr>
          <w:rFonts w:ascii="Times New Roman" w:hAnsi="Times New Roman"/>
          <w:kern w:val="0"/>
          <w:sz w:val="24"/>
          <w:szCs w:val="24"/>
        </w:rPr>
      </w:pPr>
      <w:r>
        <w:rPr>
          <w:rFonts w:ascii="Times New Roman" w:hAnsi="Times New Roman"/>
          <w:b/>
          <w:bCs/>
          <w:color w:val="000000"/>
          <w:kern w:val="0"/>
          <w:sz w:val="40"/>
          <w:szCs w:val="40"/>
        </w:rPr>
        <w:t>References:</w:t>
      </w:r>
    </w:p>
    <w:p w14:paraId="26077CA6"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1.</w:t>
      </w:r>
      <w:r>
        <w:rPr>
          <w:rFonts w:ascii="Times New Roman" w:hAnsi="Times New Roman"/>
          <w:color w:val="000000"/>
          <w:kern w:val="0"/>
          <w:sz w:val="20"/>
          <w:szCs w:val="20"/>
        </w:rPr>
        <w:tab/>
      </w:r>
      <w:bookmarkStart w:id="1" w:name="_neb0BD0149F_FBE6_4124_8AD3_6880FF00A9BB"/>
      <w:r>
        <w:rPr>
          <w:rFonts w:ascii="宋体" w:eastAsia="宋体" w:hAnsi="Times New Roman" w:cs="宋体" w:hint="eastAsia"/>
          <w:color w:val="000000"/>
          <w:kern w:val="0"/>
          <w:sz w:val="20"/>
          <w:szCs w:val="20"/>
        </w:rPr>
        <w:t>国家药品监督管理局</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药物临床试验适应性设计指导原则（试行）</w:t>
      </w:r>
      <w:r>
        <w:rPr>
          <w:rFonts w:ascii="Times New Roman" w:hAnsi="Times New Roman"/>
          <w:color w:val="000000"/>
          <w:kern w:val="0"/>
          <w:sz w:val="20"/>
          <w:szCs w:val="20"/>
        </w:rPr>
        <w:t>; 2021.</w:t>
      </w:r>
      <w:bookmarkEnd w:id="1"/>
    </w:p>
    <w:p w14:paraId="0845BAAF"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2.</w:t>
      </w:r>
      <w:r>
        <w:rPr>
          <w:rFonts w:ascii="Times New Roman" w:hAnsi="Times New Roman"/>
          <w:color w:val="000000"/>
          <w:kern w:val="0"/>
          <w:sz w:val="20"/>
          <w:szCs w:val="20"/>
        </w:rPr>
        <w:tab/>
      </w:r>
      <w:bookmarkStart w:id="2" w:name="_nebE5902C24_CC14_4C9F_995C_6EC5C77709C1"/>
      <w:r>
        <w:rPr>
          <w:rFonts w:ascii="宋体" w:eastAsia="宋体" w:hAnsi="Times New Roman" w:cs="宋体" w:hint="eastAsia"/>
          <w:color w:val="000000"/>
          <w:kern w:val="0"/>
          <w:sz w:val="20"/>
          <w:szCs w:val="20"/>
        </w:rPr>
        <w:t>陈峰</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olor w:val="000000"/>
          <w:kern w:val="0"/>
          <w:sz w:val="20"/>
          <w:szCs w:val="20"/>
        </w:rPr>
        <w:t>. 4</w:t>
      </w:r>
      <w:r>
        <w:rPr>
          <w:rFonts w:ascii="宋体" w:eastAsia="宋体" w:hAnsi="Times New Roman" w:cs="宋体" w:hint="eastAsia"/>
          <w:color w:val="000000"/>
          <w:kern w:val="0"/>
          <w:sz w:val="20"/>
          <w:szCs w:val="20"/>
        </w:rPr>
        <w:t>版</w:t>
      </w:r>
      <w:r>
        <w:rPr>
          <w:rFonts w:ascii="Times New Roman" w:hAnsi="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olor w:val="000000"/>
          <w:kern w:val="0"/>
          <w:sz w:val="20"/>
          <w:szCs w:val="20"/>
        </w:rPr>
        <w:t>; 2024.</w:t>
      </w:r>
      <w:bookmarkEnd w:id="2"/>
    </w:p>
    <w:p w14:paraId="76177EE6"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3.</w:t>
      </w:r>
      <w:r>
        <w:rPr>
          <w:rFonts w:ascii="Times New Roman" w:hAnsi="Times New Roman"/>
          <w:color w:val="000000"/>
          <w:kern w:val="0"/>
          <w:sz w:val="20"/>
          <w:szCs w:val="20"/>
        </w:rPr>
        <w:tab/>
      </w:r>
      <w:bookmarkStart w:id="3" w:name="_neb3C391E42_3D53_4A13_A8B7_D225C5830266"/>
      <w:r>
        <w:rPr>
          <w:rFonts w:ascii="Times New Roman" w:hAnsi="Times New Roman"/>
          <w:color w:val="000000"/>
          <w:kern w:val="0"/>
          <w:sz w:val="20"/>
          <w:szCs w:val="20"/>
        </w:rPr>
        <w:t xml:space="preserve">Mehta CR, Pocock SJ. Adaptive increase in sample size when interim results are promising: a </w:t>
      </w:r>
      <w:proofErr w:type="gramStart"/>
      <w:r>
        <w:rPr>
          <w:rFonts w:ascii="Times New Roman" w:hAnsi="Times New Roman"/>
          <w:color w:val="000000"/>
          <w:kern w:val="0"/>
          <w:sz w:val="20"/>
          <w:szCs w:val="20"/>
        </w:rPr>
        <w:t>practical  guide</w:t>
      </w:r>
      <w:proofErr w:type="gramEnd"/>
      <w:r>
        <w:rPr>
          <w:rFonts w:ascii="Times New Roman" w:hAnsi="Times New Roman"/>
          <w:color w:val="000000"/>
          <w:kern w:val="0"/>
          <w:sz w:val="20"/>
          <w:szCs w:val="20"/>
        </w:rPr>
        <w:t xml:space="preserve"> with examples. STAT MED </w:t>
      </w:r>
      <w:proofErr w:type="gramStart"/>
      <w:r>
        <w:rPr>
          <w:rFonts w:ascii="Times New Roman" w:hAnsi="Times New Roman"/>
          <w:color w:val="000000"/>
          <w:kern w:val="0"/>
          <w:sz w:val="20"/>
          <w:szCs w:val="20"/>
        </w:rPr>
        <w:t>2011;30:3267</w:t>
      </w:r>
      <w:proofErr w:type="gramEnd"/>
      <w:r>
        <w:rPr>
          <w:rFonts w:ascii="Times New Roman" w:hAnsi="Times New Roman"/>
          <w:color w:val="000000"/>
          <w:kern w:val="0"/>
          <w:sz w:val="20"/>
          <w:szCs w:val="20"/>
        </w:rPr>
        <w:t>-84.</w:t>
      </w:r>
      <w:bookmarkEnd w:id="3"/>
    </w:p>
    <w:p w14:paraId="7E6C27A6"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4.</w:t>
      </w:r>
      <w:r>
        <w:rPr>
          <w:rFonts w:ascii="Times New Roman" w:hAnsi="Times New Roman"/>
          <w:color w:val="000000"/>
          <w:kern w:val="0"/>
          <w:sz w:val="20"/>
          <w:szCs w:val="20"/>
        </w:rPr>
        <w:tab/>
      </w:r>
      <w:bookmarkStart w:id="4" w:name="_neb4C149D8D_74DF_4E9F_8BBA_D667F7F5D298"/>
      <w:r>
        <w:rPr>
          <w:rFonts w:ascii="Times New Roman" w:hAnsi="Times New Roman"/>
          <w:color w:val="000000"/>
          <w:kern w:val="0"/>
          <w:sz w:val="20"/>
          <w:szCs w:val="20"/>
        </w:rPr>
        <w:t xml:space="preserve">Connolly SJ, Sheldon R, Thorpe KE, et al. Pacemaker therapy for prevention of syncope in patients with recurrent </w:t>
      </w:r>
      <w:proofErr w:type="gramStart"/>
      <w:r>
        <w:rPr>
          <w:rFonts w:ascii="Times New Roman" w:hAnsi="Times New Roman"/>
          <w:color w:val="000000"/>
          <w:kern w:val="0"/>
          <w:sz w:val="20"/>
          <w:szCs w:val="20"/>
        </w:rPr>
        <w:t>severe  vasovagal</w:t>
      </w:r>
      <w:proofErr w:type="gramEnd"/>
      <w:r>
        <w:rPr>
          <w:rFonts w:ascii="Times New Roman" w:hAnsi="Times New Roman"/>
          <w:color w:val="000000"/>
          <w:kern w:val="0"/>
          <w:sz w:val="20"/>
          <w:szCs w:val="20"/>
        </w:rPr>
        <w:t xml:space="preserve"> syncope: Second Vasovagal Pacemaker Study (VPS II): a randomized trial. JAMA-J AM MED ASSOC </w:t>
      </w:r>
      <w:proofErr w:type="gramStart"/>
      <w:r>
        <w:rPr>
          <w:rFonts w:ascii="Times New Roman" w:hAnsi="Times New Roman"/>
          <w:color w:val="000000"/>
          <w:kern w:val="0"/>
          <w:sz w:val="20"/>
          <w:szCs w:val="20"/>
        </w:rPr>
        <w:t>2003;289:2224</w:t>
      </w:r>
      <w:proofErr w:type="gramEnd"/>
      <w:r>
        <w:rPr>
          <w:rFonts w:ascii="Times New Roman" w:hAnsi="Times New Roman"/>
          <w:color w:val="000000"/>
          <w:kern w:val="0"/>
          <w:sz w:val="20"/>
          <w:szCs w:val="20"/>
        </w:rPr>
        <w:t>-9.</w:t>
      </w:r>
      <w:bookmarkEnd w:id="4"/>
    </w:p>
    <w:p w14:paraId="163A134D"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5.</w:t>
      </w:r>
      <w:r>
        <w:rPr>
          <w:rFonts w:ascii="Times New Roman" w:hAnsi="Times New Roman"/>
          <w:color w:val="000000"/>
          <w:kern w:val="0"/>
          <w:sz w:val="20"/>
          <w:szCs w:val="20"/>
        </w:rPr>
        <w:tab/>
      </w:r>
      <w:bookmarkStart w:id="5" w:name="_nebBB8DCA52_4B35_4360_9456_7A316B6CCDA3"/>
      <w:r>
        <w:rPr>
          <w:rFonts w:ascii="Times New Roman" w:hAnsi="Times New Roman"/>
          <w:color w:val="000000"/>
          <w:kern w:val="0"/>
          <w:sz w:val="20"/>
          <w:szCs w:val="20"/>
        </w:rPr>
        <w:t xml:space="preserve">Granger CB, Alexander JH, McMurray JJ, et al. Apixaban versus warfarin in patients with atrial fibrillation. NEW ENGL J MED </w:t>
      </w:r>
      <w:proofErr w:type="gramStart"/>
      <w:r>
        <w:rPr>
          <w:rFonts w:ascii="Times New Roman" w:hAnsi="Times New Roman"/>
          <w:color w:val="000000"/>
          <w:kern w:val="0"/>
          <w:sz w:val="20"/>
          <w:szCs w:val="20"/>
        </w:rPr>
        <w:t>2011;365:981</w:t>
      </w:r>
      <w:proofErr w:type="gramEnd"/>
      <w:r>
        <w:rPr>
          <w:rFonts w:ascii="Times New Roman" w:hAnsi="Times New Roman"/>
          <w:color w:val="000000"/>
          <w:kern w:val="0"/>
          <w:sz w:val="20"/>
          <w:szCs w:val="20"/>
        </w:rPr>
        <w:t>-92.</w:t>
      </w:r>
      <w:bookmarkEnd w:id="5"/>
    </w:p>
    <w:p w14:paraId="4D033E86"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6.</w:t>
      </w:r>
      <w:r>
        <w:rPr>
          <w:rFonts w:ascii="Times New Roman" w:hAnsi="Times New Roman"/>
          <w:color w:val="000000"/>
          <w:kern w:val="0"/>
          <w:sz w:val="20"/>
          <w:szCs w:val="20"/>
        </w:rPr>
        <w:tab/>
      </w:r>
      <w:bookmarkStart w:id="6" w:name="_nebA0E864FB_A4A5_46ED_9AAA_AB5663F7884C"/>
      <w:r>
        <w:rPr>
          <w:rFonts w:ascii="Times New Roman" w:hAnsi="Times New Roman"/>
          <w:color w:val="000000"/>
          <w:kern w:val="0"/>
          <w:sz w:val="20"/>
          <w:szCs w:val="20"/>
        </w:rPr>
        <w:t xml:space="preserve">Fearon WF, Zimmermann FM, De Bruyne B, et al. Fractional Flow Reserve-Guided PCI as </w:t>
      </w:r>
      <w:r>
        <w:rPr>
          <w:rFonts w:ascii="Times New Roman" w:hAnsi="Times New Roman"/>
          <w:color w:val="000000"/>
          <w:kern w:val="0"/>
          <w:sz w:val="20"/>
          <w:szCs w:val="20"/>
        </w:rPr>
        <w:lastRenderedPageBreak/>
        <w:t xml:space="preserve">Compared with Coronary Bypass Surgery. NEW ENGL J MED </w:t>
      </w:r>
      <w:proofErr w:type="gramStart"/>
      <w:r>
        <w:rPr>
          <w:rFonts w:ascii="Times New Roman" w:hAnsi="Times New Roman"/>
          <w:color w:val="000000"/>
          <w:kern w:val="0"/>
          <w:sz w:val="20"/>
          <w:szCs w:val="20"/>
        </w:rPr>
        <w:t>2022;386:128</w:t>
      </w:r>
      <w:proofErr w:type="gramEnd"/>
      <w:r>
        <w:rPr>
          <w:rFonts w:ascii="Times New Roman" w:hAnsi="Times New Roman"/>
          <w:color w:val="000000"/>
          <w:kern w:val="0"/>
          <w:sz w:val="20"/>
          <w:szCs w:val="20"/>
        </w:rPr>
        <w:t>-37.</w:t>
      </w:r>
      <w:bookmarkEnd w:id="6"/>
    </w:p>
    <w:p w14:paraId="10827472"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7.</w:t>
      </w:r>
      <w:r>
        <w:rPr>
          <w:rFonts w:ascii="Times New Roman" w:hAnsi="Times New Roman"/>
          <w:color w:val="000000"/>
          <w:kern w:val="0"/>
          <w:sz w:val="20"/>
          <w:szCs w:val="20"/>
        </w:rPr>
        <w:tab/>
      </w:r>
      <w:bookmarkStart w:id="7" w:name="_neb7F44B5A7_50B6_4892_8D6E_E115D2D58754"/>
      <w:r>
        <w:rPr>
          <w:rFonts w:ascii="Times New Roman" w:hAnsi="Times New Roman"/>
          <w:color w:val="000000"/>
          <w:kern w:val="0"/>
          <w:sz w:val="20"/>
          <w:szCs w:val="20"/>
        </w:rPr>
        <w:t xml:space="preserve">Bohm F, Mogensen B, Engstrom T, et al. FFR-Guided Complete or Culprit-Only PCI in Patients with Myocardial Infarction. NEW ENGL J MED </w:t>
      </w:r>
      <w:proofErr w:type="gramStart"/>
      <w:r>
        <w:rPr>
          <w:rFonts w:ascii="Times New Roman" w:hAnsi="Times New Roman"/>
          <w:color w:val="000000"/>
          <w:kern w:val="0"/>
          <w:sz w:val="20"/>
          <w:szCs w:val="20"/>
        </w:rPr>
        <w:t>2024;390:1481</w:t>
      </w:r>
      <w:proofErr w:type="gramEnd"/>
      <w:r>
        <w:rPr>
          <w:rFonts w:ascii="Times New Roman" w:hAnsi="Times New Roman"/>
          <w:color w:val="000000"/>
          <w:kern w:val="0"/>
          <w:sz w:val="20"/>
          <w:szCs w:val="20"/>
        </w:rPr>
        <w:t>-92.</w:t>
      </w:r>
      <w:bookmarkEnd w:id="7"/>
    </w:p>
    <w:p w14:paraId="77BA041D"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8.</w:t>
      </w:r>
      <w:r>
        <w:rPr>
          <w:rFonts w:ascii="Times New Roman" w:hAnsi="Times New Roman"/>
          <w:color w:val="000000"/>
          <w:kern w:val="0"/>
          <w:sz w:val="20"/>
          <w:szCs w:val="20"/>
        </w:rPr>
        <w:tab/>
      </w:r>
      <w:bookmarkStart w:id="8" w:name="_neb38FAA445_5436_4BD7_94A2_49065BFA5BEE"/>
      <w:r>
        <w:rPr>
          <w:rFonts w:ascii="Times New Roman" w:hAnsi="Times New Roman"/>
          <w:color w:val="000000"/>
          <w:kern w:val="0"/>
          <w:sz w:val="20"/>
          <w:szCs w:val="20"/>
        </w:rPr>
        <w:t xml:space="preserve">Kapadia SR, Makkar R, Leon M, et al. Cerebral Embolic Protection during Transcatheter Aortic-Valve Replacement. NEW ENGL J MED </w:t>
      </w:r>
      <w:proofErr w:type="gramStart"/>
      <w:r>
        <w:rPr>
          <w:rFonts w:ascii="Times New Roman" w:hAnsi="Times New Roman"/>
          <w:color w:val="000000"/>
          <w:kern w:val="0"/>
          <w:sz w:val="20"/>
          <w:szCs w:val="20"/>
        </w:rPr>
        <w:t>2022;387:1253</w:t>
      </w:r>
      <w:proofErr w:type="gramEnd"/>
      <w:r>
        <w:rPr>
          <w:rFonts w:ascii="Times New Roman" w:hAnsi="Times New Roman"/>
          <w:color w:val="000000"/>
          <w:kern w:val="0"/>
          <w:sz w:val="20"/>
          <w:szCs w:val="20"/>
        </w:rPr>
        <w:t>-63.</w:t>
      </w:r>
      <w:bookmarkEnd w:id="8"/>
    </w:p>
    <w:p w14:paraId="363CD069"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9.</w:t>
      </w:r>
      <w:r>
        <w:rPr>
          <w:rFonts w:ascii="Times New Roman" w:hAnsi="Times New Roman"/>
          <w:color w:val="000000"/>
          <w:kern w:val="0"/>
          <w:sz w:val="20"/>
          <w:szCs w:val="20"/>
        </w:rPr>
        <w:tab/>
      </w:r>
      <w:bookmarkStart w:id="9" w:name="_nebA741FE92_E1C5_4F59_8C50_949EE3B1EA89"/>
      <w:r>
        <w:rPr>
          <w:rFonts w:ascii="Times New Roman" w:hAnsi="Times New Roman"/>
          <w:color w:val="000000"/>
          <w:kern w:val="0"/>
          <w:sz w:val="20"/>
          <w:szCs w:val="20"/>
        </w:rPr>
        <w:t xml:space="preserve">Zi W, Song J, Kong W, et al. Tirofiban for Stroke without Large or Medium-Sized Vessel Occlusion. NEW ENGL J MED </w:t>
      </w:r>
      <w:proofErr w:type="gramStart"/>
      <w:r>
        <w:rPr>
          <w:rFonts w:ascii="Times New Roman" w:hAnsi="Times New Roman"/>
          <w:color w:val="000000"/>
          <w:kern w:val="0"/>
          <w:sz w:val="20"/>
          <w:szCs w:val="20"/>
        </w:rPr>
        <w:t>2023;388:2025</w:t>
      </w:r>
      <w:proofErr w:type="gramEnd"/>
      <w:r>
        <w:rPr>
          <w:rFonts w:ascii="Times New Roman" w:hAnsi="Times New Roman"/>
          <w:color w:val="000000"/>
          <w:kern w:val="0"/>
          <w:sz w:val="20"/>
          <w:szCs w:val="20"/>
        </w:rPr>
        <w:t>-36.</w:t>
      </w:r>
      <w:bookmarkEnd w:id="9"/>
    </w:p>
    <w:p w14:paraId="561419FE"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10.</w:t>
      </w:r>
      <w:r>
        <w:rPr>
          <w:rFonts w:ascii="Times New Roman" w:hAnsi="Times New Roman"/>
          <w:color w:val="000000"/>
          <w:kern w:val="0"/>
          <w:sz w:val="20"/>
          <w:szCs w:val="20"/>
        </w:rPr>
        <w:tab/>
      </w:r>
      <w:bookmarkStart w:id="10" w:name="_nebF66D9C7F_BD30_47C9_B9B7_6C225A603C5D"/>
      <w:r>
        <w:rPr>
          <w:rFonts w:ascii="Times New Roman" w:hAnsi="Times New Roman"/>
          <w:color w:val="000000"/>
          <w:kern w:val="0"/>
          <w:sz w:val="20"/>
          <w:szCs w:val="20"/>
        </w:rPr>
        <w:t xml:space="preserve">Liu XX, Sang CH, Long DY, et al. Withdrawal: Prospective randomized comparison between upgraded "2C3L" versus </w:t>
      </w:r>
      <w:proofErr w:type="gramStart"/>
      <w:r>
        <w:rPr>
          <w:rFonts w:ascii="Times New Roman" w:hAnsi="Times New Roman"/>
          <w:color w:val="000000"/>
          <w:kern w:val="0"/>
          <w:sz w:val="20"/>
          <w:szCs w:val="20"/>
        </w:rPr>
        <w:t>PVI  approach</w:t>
      </w:r>
      <w:proofErr w:type="gramEnd"/>
      <w:r>
        <w:rPr>
          <w:rFonts w:ascii="Times New Roman" w:hAnsi="Times New Roman"/>
          <w:color w:val="000000"/>
          <w:kern w:val="0"/>
          <w:sz w:val="20"/>
          <w:szCs w:val="20"/>
        </w:rPr>
        <w:t xml:space="preserve"> for catheter ablation of persistent atrial fibrillation: PROMPT-AF trial  design. PACE </w:t>
      </w:r>
      <w:proofErr w:type="gramStart"/>
      <w:r>
        <w:rPr>
          <w:rFonts w:ascii="Times New Roman" w:hAnsi="Times New Roman"/>
          <w:color w:val="000000"/>
          <w:kern w:val="0"/>
          <w:sz w:val="20"/>
          <w:szCs w:val="20"/>
        </w:rPr>
        <w:t>2021;44:1651</w:t>
      </w:r>
      <w:proofErr w:type="gramEnd"/>
      <w:r>
        <w:rPr>
          <w:rFonts w:ascii="Times New Roman" w:hAnsi="Times New Roman"/>
          <w:color w:val="000000"/>
          <w:kern w:val="0"/>
          <w:sz w:val="20"/>
          <w:szCs w:val="20"/>
        </w:rPr>
        <w:t>.</w:t>
      </w:r>
      <w:bookmarkEnd w:id="10"/>
    </w:p>
    <w:p w14:paraId="5C361AE9"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11.</w:t>
      </w:r>
      <w:r>
        <w:rPr>
          <w:rFonts w:ascii="Times New Roman" w:hAnsi="Times New Roman"/>
          <w:color w:val="000000"/>
          <w:kern w:val="0"/>
          <w:sz w:val="20"/>
          <w:szCs w:val="20"/>
        </w:rPr>
        <w:tab/>
      </w:r>
      <w:bookmarkStart w:id="11" w:name="_neb2EF9E575_1901_4562_B771_6DEFBD0F69FA"/>
      <w:r>
        <w:rPr>
          <w:rFonts w:ascii="Times New Roman" w:hAnsi="Times New Roman"/>
          <w:color w:val="000000"/>
          <w:kern w:val="0"/>
          <w:sz w:val="20"/>
          <w:szCs w:val="20"/>
        </w:rPr>
        <w:t xml:space="preserve">Liu XX, Liu Q, Lai YW, et al. Prospective randomized comparison between upgraded '2C3L' vs. PVI approach </w:t>
      </w:r>
      <w:proofErr w:type="gramStart"/>
      <w:r>
        <w:rPr>
          <w:rFonts w:ascii="Times New Roman" w:hAnsi="Times New Roman"/>
          <w:color w:val="000000"/>
          <w:kern w:val="0"/>
          <w:sz w:val="20"/>
          <w:szCs w:val="20"/>
        </w:rPr>
        <w:t>for  catheter</w:t>
      </w:r>
      <w:proofErr w:type="gramEnd"/>
      <w:r>
        <w:rPr>
          <w:rFonts w:ascii="Times New Roman" w:hAnsi="Times New Roman"/>
          <w:color w:val="000000"/>
          <w:kern w:val="0"/>
          <w:sz w:val="20"/>
          <w:szCs w:val="20"/>
        </w:rPr>
        <w:t xml:space="preserve"> ablation of persistent atrial fibrillation: PROMPT-AF trial design. AM HEART J </w:t>
      </w:r>
      <w:proofErr w:type="gramStart"/>
      <w:r>
        <w:rPr>
          <w:rFonts w:ascii="Times New Roman" w:hAnsi="Times New Roman"/>
          <w:color w:val="000000"/>
          <w:kern w:val="0"/>
          <w:sz w:val="20"/>
          <w:szCs w:val="20"/>
        </w:rPr>
        <w:t>2023;260:34</w:t>
      </w:r>
      <w:proofErr w:type="gramEnd"/>
      <w:r>
        <w:rPr>
          <w:rFonts w:ascii="Times New Roman" w:hAnsi="Times New Roman"/>
          <w:color w:val="000000"/>
          <w:kern w:val="0"/>
          <w:sz w:val="20"/>
          <w:szCs w:val="20"/>
        </w:rPr>
        <w:t>-43.</w:t>
      </w:r>
      <w:bookmarkEnd w:id="11"/>
    </w:p>
    <w:p w14:paraId="22B33D3B"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12.</w:t>
      </w:r>
      <w:r>
        <w:rPr>
          <w:rFonts w:ascii="Times New Roman" w:hAnsi="Times New Roman"/>
          <w:color w:val="000000"/>
          <w:kern w:val="0"/>
          <w:sz w:val="20"/>
          <w:szCs w:val="20"/>
        </w:rPr>
        <w:tab/>
      </w:r>
      <w:bookmarkStart w:id="12" w:name="_neb8CFC3DF9_02B0_4A84_86CC_7530A280E555"/>
      <w:r>
        <w:rPr>
          <w:rFonts w:ascii="Times New Roman" w:hAnsi="Times New Roman"/>
          <w:color w:val="000000"/>
          <w:kern w:val="0"/>
          <w:sz w:val="20"/>
          <w:szCs w:val="20"/>
        </w:rPr>
        <w:t xml:space="preserve">Sang C, Liu Q, Lai Y, et al. Pulmonary Vein Isolation With Optimized Linear Ablation vs Pulmonary </w:t>
      </w:r>
      <w:proofErr w:type="gramStart"/>
      <w:r>
        <w:rPr>
          <w:rFonts w:ascii="Times New Roman" w:hAnsi="Times New Roman"/>
          <w:color w:val="000000"/>
          <w:kern w:val="0"/>
          <w:sz w:val="20"/>
          <w:szCs w:val="20"/>
        </w:rPr>
        <w:t>Vein  Isolation</w:t>
      </w:r>
      <w:proofErr w:type="gramEnd"/>
      <w:r>
        <w:rPr>
          <w:rFonts w:ascii="Times New Roman" w:hAnsi="Times New Roman"/>
          <w:color w:val="000000"/>
          <w:kern w:val="0"/>
          <w:sz w:val="20"/>
          <w:szCs w:val="20"/>
        </w:rPr>
        <w:t xml:space="preserve"> Alone for Persistent AF: The PROMPT-AF Randomized Clinical Trial. JAMA-J AM MED ASSOC 2024.</w:t>
      </w:r>
      <w:bookmarkEnd w:id="12"/>
    </w:p>
    <w:p w14:paraId="5140B914"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13.</w:t>
      </w:r>
      <w:r>
        <w:rPr>
          <w:rFonts w:ascii="Times New Roman" w:hAnsi="Times New Roman"/>
          <w:color w:val="000000"/>
          <w:kern w:val="0"/>
          <w:sz w:val="20"/>
          <w:szCs w:val="20"/>
        </w:rPr>
        <w:tab/>
      </w:r>
      <w:bookmarkStart w:id="13" w:name="_neb473DAA59_8171_4626_A015_A8320BB93BDC"/>
      <w:r>
        <w:rPr>
          <w:rFonts w:ascii="Times New Roman" w:hAnsi="Times New Roman"/>
          <w:color w:val="000000"/>
          <w:kern w:val="0"/>
          <w:sz w:val="20"/>
          <w:szCs w:val="20"/>
        </w:rPr>
        <w:t xml:space="preserve">Krishna V, Fishman PS, Eisenberg HM, et al. Trial of Globus Pallidus Focused Ultrasound Ablation in Parkinson's Disease. NEW ENGL J MED </w:t>
      </w:r>
      <w:proofErr w:type="gramStart"/>
      <w:r>
        <w:rPr>
          <w:rFonts w:ascii="Times New Roman" w:hAnsi="Times New Roman"/>
          <w:color w:val="000000"/>
          <w:kern w:val="0"/>
          <w:sz w:val="20"/>
          <w:szCs w:val="20"/>
        </w:rPr>
        <w:t>2023;388:683</w:t>
      </w:r>
      <w:proofErr w:type="gramEnd"/>
      <w:r>
        <w:rPr>
          <w:rFonts w:ascii="Times New Roman" w:hAnsi="Times New Roman"/>
          <w:color w:val="000000"/>
          <w:kern w:val="0"/>
          <w:sz w:val="20"/>
          <w:szCs w:val="20"/>
        </w:rPr>
        <w:t>-93.</w:t>
      </w:r>
      <w:bookmarkEnd w:id="13"/>
    </w:p>
    <w:p w14:paraId="3B091A65" w14:textId="77777777" w:rsidR="00A46350" w:rsidRDefault="00A46350" w:rsidP="00A46350">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14.</w:t>
      </w:r>
      <w:r>
        <w:rPr>
          <w:rFonts w:ascii="Times New Roman" w:hAnsi="Times New Roman"/>
          <w:color w:val="000000"/>
          <w:kern w:val="0"/>
          <w:sz w:val="20"/>
          <w:szCs w:val="20"/>
        </w:rPr>
        <w:tab/>
      </w:r>
      <w:bookmarkStart w:id="14" w:name="_nebA1CA0943_0367_49FF_82AD_84E1A0FDF65C"/>
      <w:r>
        <w:rPr>
          <w:rFonts w:ascii="Times New Roman" w:hAnsi="Times New Roman"/>
          <w:color w:val="000000"/>
          <w:kern w:val="0"/>
          <w:sz w:val="20"/>
          <w:szCs w:val="20"/>
        </w:rPr>
        <w:t xml:space="preserve">Jovin TG, Li C, Wu L, et al. Trial of Thrombectomy 6 to 24 Hours after Stroke Due to Basilar-Artery Occlusion. NEW ENGL J MED </w:t>
      </w:r>
      <w:proofErr w:type="gramStart"/>
      <w:r>
        <w:rPr>
          <w:rFonts w:ascii="Times New Roman" w:hAnsi="Times New Roman"/>
          <w:color w:val="000000"/>
          <w:kern w:val="0"/>
          <w:sz w:val="20"/>
          <w:szCs w:val="20"/>
        </w:rPr>
        <w:t>2022;387:1373</w:t>
      </w:r>
      <w:proofErr w:type="gramEnd"/>
      <w:r>
        <w:rPr>
          <w:rFonts w:ascii="Times New Roman" w:hAnsi="Times New Roman"/>
          <w:color w:val="000000"/>
          <w:kern w:val="0"/>
          <w:sz w:val="20"/>
          <w:szCs w:val="20"/>
        </w:rPr>
        <w:t>-84.</w:t>
      </w:r>
      <w:bookmarkEnd w:id="14"/>
    </w:p>
    <w:p w14:paraId="3EEF3774" w14:textId="32C18D64" w:rsidR="00E76AD9" w:rsidRDefault="00E76AD9" w:rsidP="00E76AD9">
      <w:r>
        <w:fldChar w:fldCharType="end"/>
      </w:r>
    </w:p>
    <w:sectPr w:rsidR="00E76AD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0540A"/>
    <w:multiLevelType w:val="multilevel"/>
    <w:tmpl w:val="FFFFFFFF"/>
    <w:lvl w:ilvl="0">
      <w:start w:val="1"/>
      <w:numFmt w:val="decimal"/>
      <w:lvlText w:val="%1"/>
      <w:lvlJc w:val="left"/>
      <w:pPr>
        <w:ind w:left="372" w:hanging="372"/>
      </w:pPr>
      <w:rPr>
        <w:rFonts w:cs="Times New Roman" w:hint="default"/>
      </w:rPr>
    </w:lvl>
    <w:lvl w:ilvl="1">
      <w:start w:val="1"/>
      <w:numFmt w:val="decimal"/>
      <w:lvlText w:val="%1.%2"/>
      <w:lvlJc w:val="left"/>
      <w:pPr>
        <w:ind w:left="372" w:hanging="372"/>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20E65BE3"/>
    <w:multiLevelType w:val="multilevel"/>
    <w:tmpl w:val="F976BAFC"/>
    <w:lvl w:ilvl="0">
      <w:start w:val="13"/>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543250C6"/>
    <w:multiLevelType w:val="multilevel"/>
    <w:tmpl w:val="9AF088B8"/>
    <w:lvl w:ilvl="0">
      <w:start w:val="1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623846299">
    <w:abstractNumId w:val="0"/>
  </w:num>
  <w:num w:numId="2" w16cid:durableId="1126388226">
    <w:abstractNumId w:val="2"/>
  </w:num>
  <w:num w:numId="3" w16cid:durableId="1897356131">
    <w:abstractNumId w:val="1"/>
  </w:num>
  <w:num w:numId="4" w16cid:durableId="554199304">
    <w:abstractNumId w:val="1"/>
    <w:lvlOverride w:ilvl="0">
      <w:lvl w:ilvl="0">
        <w:start w:val="13"/>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04DEA0CA-DA51-40B9-8564-05DD2CB17A1D}" w:val=" ADDIN NE.Ref.{04DEA0CA-DA51-40B9-8564-05DD2CB17A1D}&lt;Citation&gt;&lt;Group&gt;&lt;References&gt;&lt;Item&gt;&lt;ID&gt;76&lt;/ID&gt;&lt;UID&gt;{B525AA77-3683-4064-AB65-FDFAFA7B419C}&lt;/UID&gt;&lt;Title&gt;Gemcitabine and Cisplatin Induction Chemotherapy in Nasopharyngeal Carcinoma&lt;/Title&gt;&lt;Template&gt;Journal Article&lt;/Template&gt;&lt;Star&gt;0&lt;/Star&gt;&lt;Tag&gt;0&lt;/Tag&gt;&lt;Author&gt;Zhang, Y; Chen, L; Hu, G Q; Zhang, N; Zhu, X D; Yang, K Y; Jin, F; Shi, M; Chen, Y P; Hu, W H; Cheng, Z B; Wang, S Y; Tian, Y; Wang, X C; Sun, Y; Li, J G; Li, W F; Li, Y H; Tang, L L; Mao, Y P; Zhou, G Q; Sun, R; Liu, X; Guo, R; Long, G X; Liang, S Q; Li, L; Huang, J; Long, J H; Zang, J; Liu, Q D; Zou, L; Su, Q F; Zheng, B M; Xiao, Y; Guo, Y; Han, F; Mo, H Y; Lv, J W; &amp;quot;Du XJ&amp;quot;; Xu, C; Liu, N; Li, Y Q; Chua, MLK; Xie, F Y; Sun, Y; Ma, J&lt;/Author&gt;&lt;Year&gt;2019&lt;/Year&gt;&lt;Details&gt;&lt;_accessed&gt;64945336&lt;/_accessed&gt;&lt;_accession_num&gt;31150573&lt;/_accession_num&gt;&lt;_author_adr&gt;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
    <w:docVar w:name="NE.Data.1{121E90DC-38A3-4E21-8E13-ECFF9A4EC08C}" w:val=" ADDIN NE.Ref.{121E90DC-38A3-4E21-8E13-ECFF9A4EC08C}&lt;Citation&gt;&lt;Group&gt;&lt;References&gt;&lt;Item&gt;&lt;ID&gt;116&lt;/ID&gt;&lt;UID&gt;{A0E864FB-A4A5-46ED-9AAA-AB5663F7884C}&lt;/UID&gt;&lt;Title&gt;Fractional Flow Reserve-Guided PCI as Compared with Coronary Bypass Surgery&lt;/Title&gt;&lt;Template&gt;Journal Article&lt;/Template&gt;&lt;Star&gt;0&lt;/Star&gt;&lt;Tag&gt;0&lt;/Tag&gt;&lt;Author&gt;Fearon, W F; Zimmermann, F M; De Bruyne, B; Piroth, Z; van Straten, AHM; Szekely, L; Davidavicius, G; Kalinauskas, G; Mansour, S; Kharbanda, R; Ostlund-Papadogeorgos, N; Aminian, A; Oldroyd, K G; Al-Attar, N; Jagic, N; Dambrink, J E; Kala, P; Angeras, O; MacCarthy, P; Wendler, O; Casselman, F; Witt, N; Mavromatis, K; Miner, SES; Sarma, J; Engstrom, T; Christiansen, E H; Tonino, PAL; Reardon, M J; Lu, D; Ding, V Y; Kobayashi, Y; Hlatky, M A; Mahaffey, K W; Desai, M; Woo, Y J; Yeung, A C; Pijls, NHJ&lt;/Author&gt;&lt;Year&gt;2022&lt;/Year&gt;&lt;Details&gt;&lt;_accession_num&gt;34735046&lt;/_accession_num&gt;&lt;_author_adr&gt;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
    <w:docVar w:name="NE.Data.1{53469B6A-4F98-405A-97E7-5CD2FBCA9D77}" w:val=" ADDIN NE.Ref.{53469B6A-4F98-405A-97E7-5CD2FBCA9D77}&lt;Citation&gt;&lt;Group&gt;&lt;References&gt;&lt;Item&gt;&lt;ID&gt;107&lt;/ID&gt;&lt;UID&gt;{A1CA0943-0367-49FF-82AD-84E1A0FDF65C}&lt;/UID&gt;&lt;Title&gt;Trial of Thrombectomy 6 to 24 Hours after Stroke Due to Basilar-Artery Occlusion&lt;/Title&gt;&lt;Template&gt;Journal Article&lt;/Template&gt;&lt;Star&gt;0&lt;/Star&gt;&lt;Tag&gt;0&lt;/Tag&gt;&lt;Author&gt;Jovin, T G; Li, C; Wu, L; Wu, C; Chen, J; Jiang, C; Shi, Z; Gao, Z; Song, C; Chen, W; Peng, Y; Yao, C; Wei, M; Li, T; Wei, L; Xiao, G; Yang, H; Ren, M; Duan, J; Liu, X; Yang, Q; Liu, Y; Zhu, Q; Shi, W; Zhu, Q; Li, X; Guo, Z; Yang, Q; Hou, C; Zhao, W; Ma, Q; Zhang, Y; Jiao, L; Zhang, H; Liebeskind, D S; Liang, H; Jadhav, A P; Wen, C; Brown, S; Zhu, L; Ye, H; Ribo, M; Chang, M; Song, H; Chen, J; Ji, X&lt;/Author&gt;&lt;Year&gt;2022&lt;/Year&gt;&lt;Details&gt;&lt;_accessed&gt;65755267&lt;/_accessed&gt;&lt;_accession_num&gt;36239645&lt;/_accession_num&gt;&lt;_author_adr&gt;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
    <w:docVar w:name="NE.Data.1{B150E411-3915-4307-9DFD-FFD5C32C3D58}" w:val=" ADDIN NE.Ref.{B150E411-3915-4307-9DFD-FFD5C32C3D58}&lt;Citation&gt;&lt;Group&gt;&lt;References&gt;&lt;Item&gt;&lt;ID&gt;49&lt;/ID&gt;&lt;UID&gt;{A741FE92-E1C5-4F59-8C50-949EE3B1EA89}&lt;/UID&gt;&lt;Title&gt;Tirofiban for Stroke without Large or Medium-Sized Vessel Occlusion&lt;/Title&gt;&lt;Template&gt;Journal Article&lt;/Template&gt;&lt;Star&gt;0&lt;/Star&gt;&lt;Tag&gt;0&lt;/Tag&gt;&lt;Author&gt;Zi, W; Song, J; Kong, W; Huang, J; Guo, C; He, W; Yu, Y; Zhang, B; Geng, W; Tan, X; Tian, Y; Liu, Z; Cao, M; Cheng, D; Li, B; Huang, W; Liu, J; Wang, P; Yu, Z; Liang, H; Yang, S; Tang, M; Liu, W; Huang, X; Liu, S; Tang, Y; Wu, Y; Yao, L; Shi, Z; He, P; Zhao, H; Chen, Z; Luo, J; Wan, Y; Shi, Q; Wang, M; Yang, D; Chen, X; Huang, F; Mu, J; Li, H; Li, Z; Zheng, J; Xie, S; Cai, T; Peng, Y; Xie, W; Qiu, Z; Liu, C; Yue, C; Li, L; Tian, Y; Yang, D; Miao, J; Yang, J; Hu, J; Nogueira, R G; Wang, D; Saver, J L; Li, F; Yang, Q&lt;/Author&gt;&lt;Year&gt;2023&lt;/Year&gt;&lt;Details&gt;&lt;_accessed&gt;65758860&lt;/_accessed&gt;&lt;_accession_num&gt;37256974&lt;/_accession_num&gt;&lt;_author_adr&gt;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
    <w:docVar w:name="NE.Data.2{04DEA0CA-DA51-40B9-8564-05DD2CB17A1D}" w:val="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lt;/_author_adr&gt;&lt;_collection_scope&gt;SCIE&lt;/_collection_scope&gt;&lt;_created&gt;64944862&lt;/_created&gt;&lt;_date&gt;2019-09-19&lt;/_date&gt;&lt;_date_display&gt;2019 Sep 19&lt;/_date_display&gt;&lt;_db_updated&gt;PubMed&lt;/_db_updated&gt;&lt;_doi&gt;10.1056/NEJMoa1905287&lt;/_doi&gt;&lt;_impact_factor&gt; 176.079&lt;/_impact_factor&gt;&lt;_isbn&gt;1533-4406 (Electronic); 0028-4793 (Linking)&lt;/_isbn&gt;&lt;_issue&gt;12&lt;/_issue&gt;&lt;_journal&gt;N Engl J Med&lt;/_journal&gt;&lt;_language&gt;eng&lt;/_language&gt;&lt;_modified&gt;64945336&lt;/_modified&gt;&lt;_ori_publication&gt;Copyright (c) 2019 Massachusetts Medical Society.&lt;/_ori_publication&gt;&lt;_pages&gt;1124-1135&lt;/_pages&gt;&lt;_social_category&gt;医学：内科(1)&lt;/_social_category&gt;&lt;_subject_headings&gt;Adolescent; Adult; Antineoplastic Combined Chemotherapy Protocols/*therapeutic use; *Chemoradiotherapy; Cisplatin/*administration &amp;amp; dosage/adverse effects; Deoxycytidine/administration &amp;amp; dosage/adverse effects/*analogs &amp;amp; derivatives; Female; Humans; *Induction Chemotherapy/adverse effects; Leukopenia/chemically induced; Male; Middle Aged; Nasopharyngeal Carcinoma/*drug therapy/therapy; Survival Analysis; Young Adult; Gemcitabine&lt;/_subject_headings&gt;&lt;_tertiary_title&gt;The New England journal of medicine&lt;/_tertiary_title&gt;&lt;_type_work&gt;Clinical Trial, Phase III; Journal Article; Multicenter Study; Randomized Controlled Trial; Research Support, Non-U.S. Gov&amp;apos;t&lt;/_type_work&gt;&lt;_url&gt;http://www.ncbi.nlm.nih.gov/entrez/query.fcgi?cmd=Retrieve&amp;amp;db=pubmed&amp;amp;dopt=Abstract&amp;amp;list_uids=31150573&amp;amp;query_hl=1&lt;/_url&gt;&lt;_volume&gt;381&lt;/_volume&gt;&lt;/Details&gt;&lt;Extra&gt;&lt;DBUID&gt;{1F004544-7F3B-46C7-B932-C63AA7CCA45F}&lt;/DBUID&gt;&lt;/Extra&gt;&lt;/Item&gt;&lt;/References&gt;&lt;/Group&gt;&lt;/Citation&gt;_x000a_"/>
    <w:docVar w:name="NE.Data.2{121E90DC-38A3-4E21-8E13-ECFF9A4EC08C}" w:val=".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 From the Division of Cardiovascular Medicine and Stanford Cardiovascular  Institute (W.F.F., M.A.H., A.C.Y.), the Quantitative Sciences Unit (D.L., V.Y.D.,  M.D.), and the Departments of Health Policy (M.A.H.) and Cardiothoracic Surgery  (Y.J.W.), Stanford University, and the Stanford Center for Clinical Research,  Department of Medicine, Stanford University School of Medicine (K.W.M.),  Stanford, and the VA Palo Alto Health Care System, Palo Alto (W.F.F.) - all in  California; Catharina Hospital, Eindhoven (F.M.Z., A.H.M.S., P.A.L.T., N.H.J.P.),  and Isala Hospital, Zwolle (J.-H.E.D.) - both in the Netherlands; Cardiovascular  Center Aalst, Aalst (B.D.B., F.C.), and Centre Hospitalier Universitaire de  Charleroi, Charleroi (A.A.) - both in Belgium; Lausanne University Center  Hospital, Lausanne, Switzerland (B.D.B.); Gottsegen National Cardiovascular  Center, Budapest, Hungary (Z.P., L.S.); the Clinic of Cardiac and Vascular  Diseases, Institute of Clinical Medicine, Vilnius University, and Vilnius  University Hospital Santaros Klinikos, Vilnius, Lithuania (G.D., G.K.); Centre  Hospitalier de l&amp;apos;Universite de Montreal, Montreal (S.M.), and Southlake Regional  Health Centre, Newmarket, ON (S.E.S.M.) - both in Canada; Oxford University  Hospitals NHS Foundation Trust, Oxford (R.K.), Golden Jubilee National Hospital,  Glasgow (K.G.O., N.A.-A.), and Wythenshawe Hospital, Manchester (J.S.) - all in  the United Kingdom; Danderyd University Hospital (N.O.-P.) and Karolinska  Institutet (N.O.-P., N.W.), Solna, and Sahlgrenska University Hospital,  Gothenburg (O.A.) - all in Sweden; Clinical Hospital Centre Zemun, University of  Belgrade, Belgrade, Serbia (N.J.); Medical Faculty of Masaryk University and  University Hospital Brno, Brno, Czech Republic (P.K.); Kings College Hospital,  London (P.M., O.W.); the Atlanta VA Healthcare System, Decatur, GA (K.M.);  Rigshospitalet, Copenhagen (T.E.), and Aarhus University Hospital, Aarhus  (E.H.C.) - both in Denmark; Houston Methodist Hospital, Houston (M.J.R.); and  Montefiore Medical Center, New York (Y.K.).&lt;/_author_adr&gt;&lt;_date_display&gt;2022 Jan 13&lt;/_date_display&gt;&lt;_date&gt;2022-01-13&lt;/_date&gt;&lt;_doi&gt;10.1056/NEJMoa2112299&lt;/_doi&gt;&lt;_isbn&gt;1533-4406 (Electronic); 0028-4793 (Linking)&lt;/_isbn&gt;&lt;_issue&gt;2&lt;/_issue&gt;&lt;_journal&gt;N Engl J Med&lt;/_journal&gt;&lt;_language&gt;eng&lt;/_language&gt;&lt;_ori_publication&gt;Copyright (c) 2021 Massachusetts Medical Society.&lt;/_ori_publication&gt;&lt;_pages&gt;128-137&lt;/_pages&gt;&lt;_subject_headings&gt;Aged; Cardiovascular Diseases/epidemiology; *Coronary Artery Bypass/adverse effects; Coronary Stenosis/mortality/*surgery; Female; *Fractional Flow Reserve, Myocardial; Humans; Kaplan-Meier Estimate; Length of Stay; Male; Middle Aged; Operative Time; Percutaneous Coronary Intervention/adverse effects/*methods; Reoperation; Stents&lt;/_subject_headings&gt;&lt;_tertiary_title&gt;The New England journal of medicine&lt;/_tertiary_title&gt;&lt;_type_work&gt;Comparative Study; Equivalence Trial; Journal Article; Multicenter Study; Randomized Controlled Trial; Research Support, Non-U.S. Gov&amp;apos;t&lt;/_type_work&gt;&lt;_url&gt;http://www.ncbi.nlm.nih.gov/entrez/query.fcgi?cmd=Retrieve&amp;amp;db=pubmed&amp;amp;dopt=Abstract&amp;amp;list_uids=34735046&amp;amp;query_hl=1&lt;/_url&gt;&lt;_volume&gt;386&lt;/_volume&gt;&lt;_created&gt;65775743&lt;/_created&gt;&lt;_modified&gt;65775743&lt;/_modified&gt;&lt;_db_updated&gt;PubMed&lt;/_db_updated&gt;&lt;_impact_factor&gt; 176.079&lt;/_impact_factor&gt;&lt;_social_category&gt;医学：内科(1)&lt;/_social_category&gt;&lt;_collection_scope&gt;SCIE&lt;/_collection_scope&gt;&lt;_accessed&gt;65775744&lt;/_accessed&gt;&lt;/Details&gt;&lt;Extra&gt;&lt;DBUID&gt;{1F004544-7F3B-46C7-B932-C63AA7CCA45F}&lt;/DBUID&gt;&lt;/Extra&gt;&lt;/Item&gt;&lt;/References&gt;&lt;/Group&gt;&lt;/Citation&gt;_x000a_"/>
    <w:docVar w:name="NE.Data.2{53469B6A-4F98-405A-97E7-5CD2FBCA9D77}" w:val="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w:docVar w:name="NE.Data.2{B150E411-3915-4307-9DFD-FFD5C32C3D58}" w:val="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
    <w:docVar w:name="NE.Data.3{53469B6A-4F98-405A-97E7-5CD2FBCA9D77}" w:v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lt;/_author_adr&gt;&lt;_collection_scope&gt;SCIE&lt;/_collection_scope&gt;&lt;_created&gt;65754149&lt;/_created&gt;&lt;_date&gt;2022-10-13&lt;/_date&gt;&lt;_date_display&gt;2022 Oct 13&lt;/_date_display&gt;&lt;_db_updated&gt;PubMed&lt;/_db_updated&gt;&lt;_doi&gt;10.1056/NEJMoa2207576&lt;/_doi&gt;&lt;_impact_factor&gt; 176.079&lt;/_impact_factor&gt;&lt;_isbn&gt;1533-4406 (Electronic); 0028-4793 (Linking)&lt;/_isbn&gt;&lt;_issue&gt;15&lt;/_issue&gt;&lt;_journal&gt;N Engl J Med&lt;/_journal&gt;&lt;_language&gt;eng&lt;/_language&gt;&lt;_modified&gt;65755220&lt;/_modified&gt;&lt;_ori_publication&gt;Copyright (c) 2022 Massachusetts Medical Society.&lt;/_ori_publication&gt;&lt;_pages&gt;1373-1384&lt;/_pages&gt;&lt;_social_category&gt;医学：内科(1)&lt;/_social_category&gt;&lt;_subject_headings&gt;Humans; *Arterial Occlusive Diseases/complications/drug therapy/mortality/surgery; *Basilar Artery/drug effects/surgery; Brain Ischemia/drug therapy/etiology/mortality/surgery; Disability Evaluation; *Endovascular Procedures/adverse effects/methods; Fibrinolytic Agents/adverse effects/therapeutic use; Intracranial Hemorrhages/chemically induced/etiology; Recovery of Function; *Stroke/drug therapy/etiology/mortality/surgery; *Thrombectomy/adverse effects/methods; Time Factors; Treatment Outcome&lt;/_subject_headings&gt;&lt;_tertiary_title&gt;The New England journal of medicine&lt;/_tertiary_title&gt;&lt;_type_work&gt;Comparative Study; Journal Article; Randomized Controlled Trial; Research Support, Non-U.S. Gov&amp;apos;t&lt;/_type_work&gt;&lt;_url&gt;http://www.ncbi.nlm.nih.gov/entrez/query.fcgi?cmd=Retrieve&amp;amp;db=pubmed&amp;amp;dopt=Abstract&amp;amp;list_uids=36239645&amp;amp;query_hl=1&lt;/_url&gt;&lt;_volume&gt;387&lt;/_volume&gt;&lt;/Details&gt;&lt;Extra&gt;&lt;DBUID&gt;{1F004544-7F3B-46C7-B932-C63AA7CCA45F}&lt;/DBUID&gt;&lt;/Extra&gt;&lt;/Item&gt;&lt;/References&gt;&lt;/Group&gt;&lt;/Citation&gt;_x000a_"/>
    <w:docVar w:name="NE.Data.3{B150E411-3915-4307-9DFD-FFD5C32C3D58}" w:val="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
    <w:docVar w:name="NE.Data.4{B150E411-3915-4307-9DFD-FFD5C32C3D58}" w:val="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
    <w:docVar w:name="NE.Data.5{B150E411-3915-4307-9DFD-FFD5C32C3D58}" w:val="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 From the Department of Neurology, Xinqiao Hospital and the Second Affiliated  Hospital, Army Medical University (Third Military Medical University) (W.Z.,  J.S., W.K., J.H., C.G., Z.Q., C.Y., L.L., Yan Tian, Dahong Yang, J.Y., J.H.,  F.L., Q.Y.), Guangyang Bay Laboratory, Chongqing Institute for Brain and  Intelligence (W.Z., F.L., Q.Y.), the Department of Neurology, People&amp;apos;s Hospital  of Chongqing Banan District (M.T.), the Department of Neurology, Chongqing  University Fuling Hospital (De Yang), No. 2 Department of Internal Medicine,  Chongqing Sanbo Chang&amp;apos;an Hospital (J.Z.), the Department of Neurology, Youyang  County People&amp;apos;s Hospital (S.X., T.C.), and the Department of Neurology, Second  Affiliated Hospital of Chongqing Medical University (C.L.), Chongqing, the  Department of Neurology, Guiping People&amp;apos;s Hospital, Guiping (W.H.), the  Department of Neurology, Bazhong Hospital of Traditional Chinese Medicine (Y.Y.),  the Department of Neurology, Bazhong Central Hospital (B.L.), the Department of  Neurology, People&amp;apos;s Hospital of Pingchang (J.L.), and the Department of  Neurology, Nanjiang Hospital of Traditional Chinese Medicine (J.M.), Bazhong, the  Department of Neurology, Suining First People&amp;apos;s Hospital, Suining (B.Z), the  Department of Neurology, Taihe County People&amp;apos;s Hospital (W.G.), and the  Department of Neurology, Taihe County Hospital of Traditional Chinese Medicine  (Z.L.), Fuyang, the Department of Neurology, Meishan Second People&amp;apos;s Hospital,  Meishan (X.T.), the Department of Neurology, Qian Xi Nan People&amp;apos;s Hospital, Qian  Xi Nan (Yaoyu Tian), the Department of Neurology, Jingdezhen No. 1 People&amp;apos;s  Hospital, Jingdezhen (M.C.), the Department of Neurology, Xingyi People&amp;apos;s  Hospital, Xingyi (D.C.), the Department of Encephalopathy, Maoming Hospital of  Traditional Chinese Medicine, Maoming (W.H.), the Department of Neurology, Weihai  Municipal Hospital, Weihai (P.W.), the Department of Neurology, Liangshan First  People&amp;apos;s Hospital, Xichang (Z.Y.), the Department of Neurology, People&amp;apos;s Hospital  of Luyi, Zhoukou (H.L.), the Department of Neurology, People&amp;apos;s Hospital of Zunyi  City Bo Zhou District, Zunyi (S.Y.), the Department of Neurology, Wuhan Hospital  of Traditional Chinese and Western Medicine (W.L.), and the Department of  Neurology, Third People&amp;apos;s Hospital of Hubei Province, (Y.W.), Wuhan, the  Department of Neurology, First Affiliated Hospital of Wannan Medical College,  Wuhu (X.H.), the Department of Cerebrovascular Diseases, Guangyuan Central  Hospital, Guangyuan (S.L), the Department of Neurology, Mianyang Central Hospital  (Y. Tang), the Department of Cerebrovascular Diseases, Sichuan Mianyang 404  Hospital (J.L.), the Department of Neurology, People&amp;apos;s Hospital of Zitong County  (M.W.), and the Department of Neurology, Sichuan Science City Hospital (Y.P.),  Mianyang, the Department of Neurology, Chongzhou People&amp;apos;s Hospital, Chengdu  (Y.W.), the Department of Neurology, Xian XD Group Hospital, Xi&amp;apos;an (L.Y.), the  Department of Neurology, Southern Medical University-affiliated Dongguan People&amp;apos;s  Hospital, Dongguan (Z.S.), the Department of Neurology, People&amp;apos;s Hospital of  Nanbu County (P.H.), and the Department of Neurology, Affiliated Hospital of  North Sichuan Medical College (Z.L.), Nanchong, the Department of Neurology,  Second People&amp;apos;s Hospital of Mengjin District, Luoyang (H.Z.), the Department of  Neurology, Mianzhu People&amp;apos;s Hospital, Deyang (Z.C.), the Department of Neurology,  Zigong First People&amp;apos;s Hospital, Zigong (Q.S.), the Department of Neurology, Sixth  Affiliated Hospital of Guangzhou Medical University, Qingyuan People&amp;apos;s Hospital,  Qingyuan (X.C.), the Department of Cerebrovascular Diseases, People&amp;apos;s Hospital of  Yuxi City, Yuxi (F.H.), the Department of Neurology, First People&amp;apos;s Hospital of  Yibin, Yibin (H.L.), the Department of Neurology, People&amp;apos;s Hospital of Mengzi,  Hani-Yi Autonomous Prefecture of Honghe, Mengzi (W.X.); and the Department of  Neurology, Xianyang Hospital of Yan&amp;apos;an University, Xianyang (J.M.) - all in  China; University of Pittsburgh Medical Center Stroke Institute, Departments of  Neurology and Neurosurgery, University of Pittsburgh School of Medicine,  Pittsburgh (R.G.N.); the Global Health Trials Unit, Liverpool School of Tropical  Medicine, Liverpool, United Kingdom (D.W.); and the Department of Neurology,  David Geffen School of Medicine at UCLA, Los Angeles (J.L.S.).&lt;/_author_adr&gt;&lt;_collection_scope&gt;SCIE&lt;/_collection_scope&gt;&lt;_created&gt;64912140&lt;/_created&gt;&lt;_date&gt;2023-06-01&lt;/_date&gt;&lt;_date_display&gt;2023 Jun 1&lt;/_date_display&gt;&lt;_db_updated&gt;PubMed&lt;/_db_updated&gt;&lt;_doi&gt;10.1056/NEJMoa2214299&lt;/_doi&gt;&lt;_impact_factor&gt; 176.079&lt;/_impact_factor&gt;&lt;_isbn&gt;1533-4406 (Electronic); 0028-4793 (Linking)&lt;/_isbn&gt;&lt;_issue&gt;22&lt;/_issue&gt;&lt;_journal&gt;N Engl J Med&lt;/_journal&gt;&lt;_language&gt;eng&lt;/_language&gt;&lt;_modified&gt;65742365&lt;/_modified&gt;&lt;_ori_publication&gt;Copyright (c) 2023 Massachusetts Medical Society.&lt;/_ori_publication&gt;&lt;_pages&gt;2025-2036&lt;/_pages&gt;&lt;_social_category&gt;医学：内科(1)&lt;/_social_category&gt;&lt;_subject_headings&gt;Humans; Tirofiban/adverse effects; *Ischemic Stroke/drug therapy; Platelet Aggregation Inhibitors/adverse effects; *Brain Ischemia/drug therapy; Treatment Outcome; *Stroke/drug therapy/diagnosis; Intracranial Hemorrhages/chemically induced/drug therapy; Aspirin/adverse effects; Fibrinolytic Agents/adverse effects&lt;/_subject_headings&gt;&lt;_tertiary_title&gt;The New England journal of medicine&lt;/_tertiary_title&gt;&lt;_type_work&gt;Journal Article; Multicenter Study&lt;/_type_work&gt;&lt;_url&gt;http://www.ncbi.nlm.nih.gov/entrez/query.fcgi?cmd=Retrieve&amp;amp;db=pubmed&amp;amp;dopt=Abstract&amp;amp;list_uids=37256974&amp;amp;query_hl=1&lt;/_url&gt;&lt;_volume&gt;388&lt;/_volume&gt;&lt;/Details&gt;&lt;Extra&gt;&lt;DBUID&gt;{1F004544-7F3B-46C7-B932-C63AA7CCA45F}&lt;/DBUID&gt;&lt;/Extra&gt;&lt;/Item&gt;&lt;/References&gt;&lt;/Group&gt;&lt;/Citation&gt;_x000a_"/>
    <w:docVar w:name="NE.Ref{04DEA0CA-DA51-40B9-8564-05DD2CB17A1D}" w:val="NE.Data.1{04DEA0CA-DA51-40B9-8564-05DD2CB17A1D}=NE.Data.2{04DEA0CA-DA51-40B9-8564-05DD2CB17A1D}"/>
    <w:docVar w:name="NE.Ref{04ED6D7A-923B-41F5-8E97-BC5BFDC60907}" w:val=" ADDIN NE.Ref.{04ED6D7A-923B-41F5-8E97-BC5BFDC60907}&lt;Citation&gt;&lt;Group&gt;&lt;References&gt;&lt;Item&gt;&lt;ID&gt;92&lt;/ID&gt;&lt;UID&gt;{242E388B-EB99-49FD-AEC3-BEA65D21B122}&lt;/UID&gt;&lt;Title&gt;Subthalamic nucleus deep brain stimulation with a multiple independent constant  current-controlled device in Parkinson&amp;apos;s disease (INTREPID): a multicentre,  double-blind, randomised, sham-controlled study&lt;/Title&gt;&lt;Template&gt;Journal Article&lt;/Template&gt;&lt;Star&gt;0&lt;/Star&gt;&lt;Tag&gt;0&lt;/Tag&gt;&lt;Author&gt;Vitek, J L; Jain, R; Chen, L; Troster, A I; Schrock, L E; House, P A; Giroux, M L; Hebb, A O; Farris, S M; Whiting, D M; Leichliter, T A; Ostrem, J L; San, Luciano M; Galifianakis, N; Verhagen, Metman L; Sani, S; Karl, J A; Siddiqui, M S; Tatter, S B; Ul, Haq I; Machado, A G; Gostkowski, M; Tagliati, M; Mamelak, A N; Okun, M S; Foote, K D; Moguel-Cobos, G; Ponce, F A; Pahwa, R; Nazzaro, J M; Buetefisch, C M; Gross, R E; Luca, C C; Jagid, J R; Revuelta, G J; Takacs, I; Pourfar, M H; Mogilner, A Y; Duker, A P; Mandybur, G T; Rosenow, J M; Cooper, S E; Park, M C; Khandhar, S M; Sedrak, M; Phibbs, F T; Pilitsis, J G; Uitti, R J; Starr, P A&lt;/Author&gt;&lt;Year&gt;2020&lt;/Year&gt;&lt;Details&gt;&lt;_accessed&gt;65090039&lt;/_accessed&gt;&lt;_accession_num&gt;32470421&lt;/_accession_num&gt;&lt;_author_adr&gt;Department of Neurology, University of Minnesota School of Medicine, Minneapolis,  MN, USA. Electronic address: vitek004@umn.edu.; Division of Neuromodulation, Boston Scientific, Valencia, CA, USA.; Division of Neuromodulation, Boston Scientific, Valencia, CA, USA.; Department of Clinical Neuropsychology, Barrow Neurological Institute, Phoenix,  AZ, USA.; Department of Neurology, University of Minnesota School of Medicine, Minneapolis,  MN, USA.; Neurosurgical Associates, Murray, UT, USA.; Movement and Neuroperformance Center of Colorado, Englewood, CO, USA; Clinical  Research Neurology, Eisai, Woodcliff Lake, NJ, USA.; Department of Neurological Surgery, Kaiser Permanente, Denver, CO, USA.; Division of Neuromodulation, Boston Scientific, Valencia, CA, USA; Movement and  Neuroperformance Center of Colorado, Englewood, CO, USA.; Department of Neurosurgery, Allegheny General Hospital, Pittsburgh, PA, USA.; Department of Neurology, Allegheny General Hospital, Pittsburgh, PA, USA.; Department of Neurology, University of California, San Francisco, San Francisco,  CA, USA.; Department of Neurology, University of California, San Francisco, San Francisco,  CA, USA.; Department of Neurology, University of California, San Francisco, San Francisco,  CA, USA.; Department of Neurological Sciences, Rush University Medical Center, Chicago, IL,  USA.; Department of Neurological Surgery, Rush University Medical Center, Chicago, IL,  USA.; Department of Neurological Sciences, Rush University Medical Center, Chicago, IL,  USA.; Department of Neurology, Wake Forest School of Medicine, Winston-Salem, NC, USA.; Department of Neurosurgery, Wake Forest School of Medicine, Winston-Salem, NC,  USA.; Department of Neurology, Wake Forest School of Medicine, Winston-Salem, NC, USA.; Center for Neurological Restoration, Cleveland Clinic, Cleveland, OH, USA.; Center for Neurological Restoration, Cleveland Clinic, Cleveland, OH, USA.; Department of Neurology, Cedars-Sinai Medical Center, Los Angeles, CA, USA.; Department of Neurosurgery, Cedars-Sinai Medical Center, Los Angeles, CA, USA.; Department of Neurology, College of Medicine, University of Florida, Gainesville,  FL, USA.; Department of Neurosurgery, College of Medicine, University of Florida,  Gainesville, FL, USA.; Department of Neurology, Barrow Neurological Institute, Phoenix, AZ, USA.; Department of Neurosurgery, Barrow Neurological Institute, Phoenix, AZ, USA.; Department of Neurology, University of Kansas Medical Center, Kansas City, KS,  USA.; Department of Neurosurgery, University of Kansas Medical Center, Kansas City, KS,  USA.; Department of Neurology, Emory University School of Medicine, Atlanta, GA, USA.; Department of Neurosurgery, Emory University School of Medicine, Atlanta, GA,  USA.; Department of Neurology, University of Miami School of Medicine, Miami, FL, USA.; Department of Neurosurgery, University of Miami School of Medicine, Miami, FL,  USA.; Department of Neurology, Medical University of South Carolina, Charleston, SC,  USA.; Department of Neurosurgery, Medical University of South Carolina, Charleston, SC,  USA.; Department of Neurology, New York University Medical Center, New York City, NY,  USA.; Department of Neurosurgery, New York University Medical Center, New York City,  NY, USA.; Department of Neurology, University of Cincinnati Medical Center, Cincinnati, OH,  USA.; Department of Neurosurgery, University of Cincinnati Medical Center, Cincinnati,  OH, USA.; Department of Neurosurgery, Northwestern University School of Medicine, Chicago,  IL, USA.; Department of Neurology, University of Minnesota School of Medicine, Minneapolis,  MN, USA.; Department of Neurosurgery, University of Minnesota School of Medicine,  Minneapolis, MN, USA.; Department of Neurology, Kaiser Permanente Medical Center, Sacramento, CA, USA.; Department of Neurosurgery, Kaiser Permanente Medical Center, Redwood City, CA,  USA.; Department of Neurology, Vanderbilt University Medical Center, Nashville, TN,  USA.; Department of Neurosurgery, Albany Medical Center, Albany, NY, USA.; Department of Neurology, Mayo Clinic, Jacksonville, FL, USA.; Department of Neurosurgery, University of California, San Francisco, San  Francisco, CA, USA.&lt;/_author_adr&gt;&lt;_collection_scope&gt;SCIE&lt;/_collection_scope&gt;&lt;_created&gt;65089167&lt;/_created&gt;&lt;_date&gt;2020-06-01&lt;/_date&gt;&lt;_date_display&gt;2020 Jun&lt;/_date_display&gt;&lt;_db_updated&gt;PubMed&lt;/_db_updated&gt;&lt;_doi&gt;10.1016/S1474-4422(20)30108-3&lt;/_doi&gt;&lt;_impact_factor&gt;  59.935&lt;/_impact_factor&gt;&lt;_isbn&gt;1474-4465 (Electronic); 1474-4422 (Linking)&lt;/_isbn&gt;&lt;_issue&gt;6&lt;/_issue&gt;&lt;_journal&gt;Lancet Neurol&lt;/_journal&gt;&lt;_language&gt;eng&lt;/_language&gt;&lt;_modified&gt;65090039&lt;/_modified&gt;&lt;_ori_publication&gt;Copyright (c) 2020 Elsevier Ltd. All rights reserved.&lt;/_ori_publication&gt;&lt;_pages&gt;491-501&lt;/_pages&gt;&lt;_social_category&gt;临床神经病学(1)&lt;/_social_category&gt;&lt;_subject_headings&gt;Adult; Aged; Deep Brain Stimulation/*methods; Double-Blind Method; Dyskinesias/therapy; Female; Humans; Longitudinal Studies; Male; Middle Aged; Parkinson Disease/*therapy; Severity of Illness Index; Subthalamic Nucleus/*metabolism; Treatment Outcome&lt;/_subject_headings&gt;&lt;_tertiary_title&gt;The Lancet. Neurology&lt;/_tertiary_title&gt;&lt;_type_work&gt;Journal Article; Randomized Controlled Trial; Research Support, Non-U.S. Gov&amp;apos;t&lt;/_type_work&gt;&lt;_url&gt;http://www.ncbi.nlm.nih.gov/entrez/query.fcgi?cmd=Retrieve&amp;amp;db=pubmed&amp;amp;dopt=Abstract&amp;amp;list_uids=32470421&amp;amp;query_hl=1&lt;/_url&gt;&lt;_volume&gt;19&lt;/_volume&gt;&lt;/Details&gt;&lt;Extra&gt;&lt;DBUID&gt;{1F004544-7F3B-46C7-B932-C63AA7CCA45F}&lt;/DBUID&gt;&lt;/Extra&gt;&lt;/Item&gt;&lt;/References&gt;&lt;/Group&gt;&lt;/Citation&gt;_x000a_"/>
    <w:docVar w:name="NE.Ref{0D7C7E61-FA04-456B-B2AC-3FD4F34A8063}" w:val=" ADDIN NE.Ref.{0D7C7E61-FA04-456B-B2AC-3FD4F34A8063}&lt;Citation&gt;&lt;Group&gt;&lt;References&gt;&lt;Item&gt;&lt;ID&gt;91&lt;/ID&gt;&lt;UID&gt;{49E43328-D219-48E5-ACA5-A43C38DDF719}&lt;/UID&gt;&lt;Title&gt;Interim analysis: the alpha spending function approach&lt;/Title&gt;&lt;Template&gt;Journal Article&lt;/Template&gt;&lt;Star&gt;0&lt;/Star&gt;&lt;Tag&gt;0&lt;/Tag&gt;&lt;Author&gt;DeMets, D L; Lan, K K&lt;/Author&gt;&lt;Year&gt;1994&lt;/Year&gt;&lt;Details&gt;&lt;_accessed&gt;65089167&lt;/_accessed&gt;&lt;_accession_num&gt;7973215&lt;/_accession_num&gt;&lt;_author_adr&gt;University of Wisconsin Medical School, Madison 53706-1532.&lt;/_author_adr&gt;&lt;_collection_scope&gt;SCIE&lt;/_collection_scope&gt;&lt;_created&gt;64995449&lt;/_created&gt;&lt;_date&gt;1994-07-15&lt;/_date&gt;&lt;_date_display&gt;1994 Jul 15-30&lt;/_date_display&gt;&lt;_db_updated&gt;PubMed&lt;/_db_updated&gt;&lt;_doi&gt;10.1002/sim.4780131308&lt;/_doi&gt;&lt;_impact_factor&gt;   2.497&lt;/_impact_factor&gt;&lt;_isbn&gt;0277-6715 (Print); 0277-6715 (Linking)&lt;/_isbn&gt;&lt;_issue&gt;13-14&lt;/_issue&gt;&lt;_journal&gt;Stat Med&lt;/_journal&gt;&lt;_language&gt;eng&lt;/_language&gt;&lt;_modified&gt;65089167&lt;/_modified&gt;&lt;_pages&gt;1341-52; discussion 1353-6&lt;/_pages&gt;&lt;_social_category&gt;数学与计算生物学(2) &amp;amp; 医学：信息(4) &amp;amp; 医学：研究与实验(3) &amp;amp; 公共卫生、环境卫生与职业卫生(3) &amp;amp; 统计学与概率论(3)&lt;/_social_category&gt;&lt;_subject_headings&gt;Bias; Clinical Trials as Topic/*statistics &amp;amp; numerical data; *Data Interpretation, Statistical; Double-Blind Method; Humans; Longitudinal Studies; Multicenter Studies as Topic; Myocardial Infarction/drug therapy/mortality; Propranolol/therapeutic use; Randomized Controlled Trials as Topic/statistics &amp;amp; numerical data; Survival Analysis&lt;/_subject_headings&gt;&lt;_tertiary_title&gt;Statistics in medicine&lt;/_tertiary_title&gt;&lt;_type_work&gt;Journal Article&lt;/_type_work&gt;&lt;_url&gt;http://www.ncbi.nlm.nih.gov/entrez/query.fcgi?cmd=Retrieve&amp;amp;db=pubmed&amp;amp;dopt=Abstract&amp;amp;list_uids=7973215&amp;amp;query_hl=1&lt;/_url&gt;&lt;_volume&gt;13&lt;/_volume&gt;&lt;/Details&gt;&lt;Extra&gt;&lt;DBUID&gt;{1F004544-7F3B-46C7-B932-C63AA7CCA45F}&lt;/DBUID&gt;&lt;/Extra&gt;&lt;/Item&gt;&lt;/References&gt;&lt;/Group&gt;&lt;/Citation&gt;_x000a_"/>
    <w:docVar w:name="NE.Ref{121E90DC-38A3-4E21-8E13-ECFF9A4EC08C}" w:val="NE.Data.1{121E90DC-38A3-4E21-8E13-ECFF9A4EC08C}=NE.Data.2{121E90DC-38A3-4E21-8E13-ECFF9A4EC08C}"/>
    <w:docVar w:name="NE.Ref{175AD97F-65D9-4F9C-B6E6-A064EC059EBD}" w:val=" ADDIN NE.Ref.{175AD97F-65D9-4F9C-B6E6-A064EC059EBD}&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41&lt;/_accessed&gt;&lt;_created&gt;64986667&lt;/_created&gt;&lt;_modified&gt;64988476&lt;/_modified&gt;&lt;_translated_author&gt;Guo, Jia yao pin jian&lt;/_translated_author&gt;&lt;/Details&gt;&lt;Extra&gt;&lt;DBUID&gt;{1F004544-7F3B-46C7-B932-C63AA7CCA45F}&lt;/DBUID&gt;&lt;/Extra&gt;&lt;/Item&gt;&lt;/References&gt;&lt;/Group&gt;&lt;/Citation&gt;_x000a_"/>
    <w:docVar w:name="NE.Ref{19D20B31-AC3F-4655-90DF-DC4E8CE0DA9D}" w:val=" ADDIN NE.Ref.{19D20B31-AC3F-4655-90DF-DC4E8CE0DA9D}&lt;Citation&gt;&lt;Group&gt;&lt;References&gt;&lt;Item&gt;&lt;ID&gt;16&lt;/ID&gt;&lt;UID&gt;{4C149D8D-74DF-4E9F-8BBA-D667F7F5D298}&lt;/UID&gt;&lt;Title&gt;Pacemaker therapy for prevention of syncope in patients with recurrent severe  vasovagal syncope: Second Vasovagal Pacemaker Study (VPS II): a randomized trial&lt;/Title&gt;&lt;Template&gt;Journal Article&lt;/Template&gt;&lt;Star&gt;0&lt;/Star&gt;&lt;Tag&gt;0&lt;/Tag&gt;&lt;Author&gt;Connolly, S J; Sheldon, R; Thorpe, K E; Roberts, R S; Ellenbogen, K A; Wilkoff, B L; Morillo, C; Gent, M&lt;/Author&gt;&lt;Year&gt;2003&lt;/Year&gt;&lt;Details&gt;&lt;_accessed&gt;65741358&lt;/_accessed&gt;&lt;_accession_num&gt;12734133&lt;/_accession_num&gt;&lt;_author_adr&gt;Department of Medicine, McMaster University, Hamilton, Ontario. connostu@hhsc.ca&lt;/_author_adr&gt;&lt;_collection_scope&gt;SCIE&lt;/_collection_scope&gt;&lt;_created&gt;64879838&lt;/_created&gt;&lt;_date&gt;2003-05-07&lt;/_date&gt;&lt;_date_display&gt;2003 May 7&lt;/_date_display&gt;&lt;_db_updated&gt;PubMed&lt;/_db_updated&gt;&lt;_doi&gt;10.1001/jama.289.17.2224&lt;/_doi&gt;&lt;_impact_factor&gt; 157.335&lt;/_impact_factor&gt;&lt;_isbn&gt;0098-7484 (Print); 0098-7484 (Linking)&lt;/_isbn&gt;&lt;_issue&gt;17&lt;/_issue&gt;&lt;_journal&gt;JAMA&lt;/_journal&gt;&lt;_language&gt;eng&lt;/_language&gt;&lt;_modified&gt;64963767&lt;/_modified&gt;&lt;_pages&gt;2224-9&lt;/_pages&gt;&lt;_social_category&gt;医学：内科(1)&lt;/_social_category&gt;&lt;_subject_headings&gt;Adult; Aged; Bradycardia/complications/*therapy; Double-Blind Method; Female; Humans; Male; Middle Aged; *Pacemaker, Artificial/adverse effects; Proportional Hazards Models; Recurrence; Syncope, Vasovagal/etiology/*prevention &amp;amp; control&lt;/_subject_headings&gt;&lt;_tertiary_title&gt;JAMA&lt;/_tertiary_title&gt;&lt;_type_work&gt;Clinical Trial; Journal Article; Multicenter Study; Randomized Controlled Trial; Research Support, Non-U.S. Gov&amp;apos;t&lt;/_type_work&gt;&lt;_url&gt;http://www.ncbi.nlm.nih.gov/entrez/query.fcgi?cmd=Retrieve&amp;amp;db=pubmed&amp;amp;dopt=Abstract&amp;amp;list_uids=12734133&amp;amp;query_hl=1&lt;/_url&gt;&lt;_volume&gt;289&lt;/_volume&gt;&lt;/Details&gt;&lt;Extra&gt;&lt;DBUID&gt;{1F004544-7F3B-46C7-B932-C63AA7CCA45F}&lt;/DBUID&gt;&lt;/Extra&gt;&lt;/Item&gt;&lt;/References&gt;&lt;/Group&gt;&lt;/Citation&gt;_x000a_"/>
    <w:docVar w:name="NE.Ref{1C68366B-76A5-4535-A9F0-C4C0F2818644}" w:val=" ADDIN NE.Ref.{1C68366B-76A5-4535-A9F0-C4C0F2818644}&lt;Citation&gt;&lt;Group&gt;&lt;References&gt;&lt;Item&gt;&lt;ID&gt;110&lt;/ID&gt;&lt;UID&gt;{3C391E42-3D53-4A13-A8B7-D225C5830266}&lt;/UID&gt;&lt;Title&gt;Adaptive increase in sample size when interim results are promising: a practical  guide with examples&lt;/Title&gt;&lt;Template&gt;Journal Article&lt;/Template&gt;&lt;Star&gt;0&lt;/Star&gt;&lt;Tag&gt;0&lt;/Tag&gt;&lt;Author&gt;Mehta, C R; Pocock, S J&lt;/Author&gt;&lt;Year&gt;2011&lt;/Year&gt;&lt;Details&gt;&lt;_accession_num&gt;22105690&lt;/_accession_num&gt;&lt;_author_adr&gt;Cytel Corporation, 675 Massachusetts Avenue, Cambridge, MA 02139, USA.  mehta@cytel.com&lt;/_author_adr&gt;&lt;_date_display&gt;2011 Dec 10&lt;/_date_display&gt;&lt;_date&gt;2011-12-10&lt;/_date&gt;&lt;_doi&gt;10.1002/sim.4102&lt;/_doi&gt;&lt;_isbn&gt;1097-0258 (Electronic); 0277-6715 (Linking)&lt;/_isbn&gt;&lt;_issue&gt;28&lt;/_issue&gt;&lt;_journal&gt;Stat Med&lt;/_journal&gt;&lt;_language&gt;eng&lt;/_language&gt;&lt;_ori_publication&gt;Copyright (c) 2010 John Wiley &amp;amp; Sons, Ltd.&lt;/_ori_publication&gt;&lt;_pages&gt;3267-84&lt;/_pages&gt;&lt;_subject_headings&gt;Acute Coronary Syndrome/drug therapy; Algorithms; Bias; Clinical Trials, Phase III as Topic/*statistics &amp;amp; numerical data; Computer Simulation; Endpoint Determination; *Epidemiologic Research Design; Humans; *Models, Statistical; Randomized Controlled Trials as Topic/statistics &amp;amp; numerical data; Sample Size; Schizophrenia/drug therapy; United States; United States Food and Drug Administration&lt;/_subject_headings&gt;&lt;_tertiary_title&gt;Statistics in medicine&lt;/_tertiary_title&gt;&lt;_type_work&gt;Journal Article&lt;/_type_work&gt;&lt;_url&gt;http://www.ncbi.nlm.nih.gov/entrez/query.fcgi?cmd=Retrieve&amp;amp;db=pubmed&amp;amp;dopt=Abstract&amp;amp;list_uids=22105690&amp;amp;query_hl=1&lt;/_url&gt;&lt;_volume&gt;30&lt;/_volume&gt;&lt;_created&gt;65761398&lt;/_created&gt;&lt;_modified&gt;65761398&lt;/_modified&gt;&lt;_db_updated&gt;PubMed&lt;/_db_updated&gt;&lt;_impact_factor&gt;   2.497&lt;/_impact_factor&gt;&lt;_social_category&gt;数学与计算生物学(2) &amp;amp; 医学：信息(4) &amp;amp; 医学：研究与实验(3) &amp;amp; 公共卫生、环境卫生与职业卫生(3) &amp;amp; 统计学与概率论(3)&lt;/_social_category&gt;&lt;_collection_scope&gt;SCIE&lt;/_collection_scope&gt;&lt;_accessed&gt;65761398&lt;/_accessed&gt;&lt;/Details&gt;&lt;Extra&gt;&lt;DBUID&gt;{1F004544-7F3B-46C7-B932-C63AA7CCA45F}&lt;/DBUID&gt;&lt;/Extra&gt;&lt;/Item&gt;&lt;/References&gt;&lt;/Group&gt;&lt;/Citation&gt;_x000a_"/>
    <w:docVar w:name="NE.Ref{1C841F64-09BA-4B6D-B440-F8424DA713DF}" w:val=" ADDIN NE.Ref.{1C841F64-09BA-4B6D-B440-F8424DA713DF}&lt;Citation&gt;&lt;Group&gt;&lt;References&gt;&lt;Item&gt;&lt;ID&gt;110&lt;/ID&gt;&lt;UID&gt;{3C391E42-3D53-4A13-A8B7-D225C5830266}&lt;/UID&gt;&lt;Title&gt;Adaptive increase in sample size when interim results are promising: a practical  guide with examples&lt;/Title&gt;&lt;Template&gt;Journal Article&lt;/Template&gt;&lt;Star&gt;0&lt;/Star&gt;&lt;Tag&gt;0&lt;/Tag&gt;&lt;Author&gt;Mehta, C R; Pocock, S J&lt;/Author&gt;&lt;Year&gt;2011&lt;/Year&gt;&lt;Details&gt;&lt;_accession_num&gt;22105690&lt;/_accession_num&gt;&lt;_author_adr&gt;Cytel Corporation, 675 Massachusetts Avenue, Cambridge, MA 02139, USA.  mehta@cytel.com&lt;/_author_adr&gt;&lt;_date_display&gt;2011 Dec 10&lt;/_date_display&gt;&lt;_date&gt;2011-12-10&lt;/_date&gt;&lt;_doi&gt;10.1002/sim.4102&lt;/_doi&gt;&lt;_isbn&gt;1097-0258 (Electronic); 0277-6715 (Linking)&lt;/_isbn&gt;&lt;_issue&gt;28&lt;/_issue&gt;&lt;_journal&gt;Stat Med&lt;/_journal&gt;&lt;_language&gt;eng&lt;/_language&gt;&lt;_ori_publication&gt;Copyright (c) 2010 John Wiley &amp;amp; Sons, Ltd.&lt;/_ori_publication&gt;&lt;_pages&gt;3267-84&lt;/_pages&gt;&lt;_subject_headings&gt;Acute Coronary Syndrome/drug therapy; Algorithms; Bias; Clinical Trials, Phase III as Topic/*statistics &amp;amp; numerical data; Computer Simulation; Endpoint Determination; *Epidemiologic Research Design; Humans; *Models, Statistical; Randomized Controlled Trials as Topic/statistics &amp;amp; numerical data; Sample Size; Schizophrenia/drug therapy; United States; United States Food and Drug Administration&lt;/_subject_headings&gt;&lt;_tertiary_title&gt;Statistics in medicine&lt;/_tertiary_title&gt;&lt;_type_work&gt;Journal Article&lt;/_type_work&gt;&lt;_url&gt;http://www.ncbi.nlm.nih.gov/entrez/query.fcgi?cmd=Retrieve&amp;amp;db=pubmed&amp;amp;dopt=Abstract&amp;amp;list_uids=22105690&amp;amp;query_hl=1&lt;/_url&gt;&lt;_volume&gt;30&lt;/_volume&gt;&lt;_created&gt;65761398&lt;/_created&gt;&lt;_modified&gt;65761398&lt;/_modified&gt;&lt;_db_updated&gt;PubMed&lt;/_db_updated&gt;&lt;_impact_factor&gt;   2.497&lt;/_impact_factor&gt;&lt;_social_category&gt;数学与计算生物学(2) &amp;amp; 医学：信息(4) &amp;amp; 医学：研究与实验(3) &amp;amp; 公共卫生、环境卫生与职业卫生(3) &amp;amp; 统计学与概率论(3)&lt;/_social_category&gt;&lt;_collection_scope&gt;SCIE&lt;/_collection_scope&gt;&lt;_accessed&gt;65761398&lt;/_accessed&gt;&lt;/Details&gt;&lt;Extra&gt;&lt;DBUID&gt;{1F004544-7F3B-46C7-B932-C63AA7CCA45F}&lt;/DBUID&gt;&lt;/Extra&gt;&lt;/Item&gt;&lt;/References&gt;&lt;/Group&gt;&lt;/Citation&gt;_x000a_"/>
    <w:docVar w:name="NE.Ref{2C06F124-DA65-483C-B49F-249F7BA63C39}" w:val=" ADDIN NE.Ref.{2C06F124-DA65-483C-B49F-249F7BA63C39}&lt;Citation&gt;&lt;Group&gt;&lt;References&gt;&lt;Item&gt;&lt;ID&gt;17&lt;/ID&gt;&lt;UID&gt;{473DAA59-8171-4626-A015-A8320BB93BDC}&lt;/UID&gt;&lt;Title&gt;Trial of Globus Pallidus Focused Ultrasound Ablation in Parkinson&amp;apos;s Disease&lt;/Title&gt;&lt;Template&gt;Journal Article&lt;/Template&gt;&lt;Star&gt;0&lt;/Star&gt;&lt;Tag&gt;0&lt;/Tag&gt;&lt;Author&gt;Krishna, V; Fishman, P S; Eisenberg, H M; Kaplitt, M; Baltuch, G; Chang, J W; Chang, W C; Martinez, Fernandez R; Del, Alamo M; Halpern, C H; Ghanouni, P; Eleopra, R; Cosgrove, R; Guridi, J; Gwinn, R; Khemani, P; Lozano, A M; McDannold, N; Fasano, A; Constantinescu, M; Schlesinger, I; Dalvi, A; Elias, W J&lt;/Author&gt;&lt;Year&gt;2023&lt;/Year&gt;&lt;Details&gt;&lt;_accession_num&gt;36812432&lt;/_accession_num&gt;&lt;_author_adr&gt;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 From the University of North Carolina, Chapel Hill (V.K.); University of  Maryland, Baltimore (P.S.F., H.M.E.); Cornell University (M.K.) and Columbia  University (G.B.) - both in New York; Yonsei University, Seoul (J.W.C.); Chang  Bing Show Chwan Memorial Hospital, Lukang, Taiwan (W.-C.C.); Centro Integral de  Neurociencias Abarca Campal-HM Puerta Del Sur, Madrid (R.M.F., M.A.), and Clinica  Universidad de Navarra, Pamplona (J.G.) - both in Spain; University of  Pennsylvania, Philadelphia (C.H.H.); Stanford University, Stanford, CA (P.G.);  Foundation IRCCS Neurological Institute Carlo Besta, Milan, Italy (R.E.); Harvard  University, Boston (R.C., N.M.); Swedish Hospital, Seattle (R.G., P.K.);  University of Toronto, Toronto (A.M.L., A.F.); Rambam Health Care Campus, Haifa,  Israel (M.C., I.S.); Palm Beach Neuroscience Institute, Boynton Beach, FL (A.D.);  and University of Virginia, Charlottesville (W.J.E.).&lt;/_author_adr&gt;&lt;_collection_scope&gt;SCIE&lt;/_collection_scope&gt;&lt;_created&gt;64879875&lt;/_created&gt;&lt;_date&gt;2023-02-23&lt;/_date&gt;&lt;_date_display&gt;2023 Feb 23&lt;/_date_display&gt;&lt;_db_updated&gt;PubMed&lt;/_db_updated&gt;&lt;_doi&gt;10.1056/NEJMoa2202721&lt;/_doi&gt;&lt;_impact_factor&gt; 176.079&lt;/_impact_factor&gt;&lt;_isbn&gt;1533-4406 (Electronic); 0028-4793 (Linking)&lt;/_isbn&gt;&lt;_issue&gt;8&lt;/_issue&gt;&lt;_journal&gt;N Engl J Med&lt;/_journal&gt;&lt;_language&gt;eng&lt;/_language&gt;&lt;_modified&gt;65741562&lt;/_modified&gt;&lt;_ori_publication&gt;Copyright (c) 2023 Massachusetts Medical Society.&lt;/_ori_publication&gt;&lt;_pages&gt;683-693&lt;/_pages&gt;&lt;_social_category&gt;医学：内科(1)&lt;/_social_category&gt;&lt;_subject_headings&gt;Humans; Dyskinesias/etiology/surgery; *Globus Pallidus/surgery; *Parkinson Disease/complications/surgery; Treatment Outcome; *High-Intensity Focused Ultrasound Ablation&lt;/_subject_headings&gt;&lt;_tertiary_title&gt;The New England journal of medicine&lt;/_tertiary_title&gt;&lt;_type_work&gt;Journal Article; Randomized Controlled Trial&lt;/_type_work&gt;&lt;_url&gt;http://www.ncbi.nlm.nih.gov/entrez/query.fcgi?cmd=Retrieve&amp;amp;db=pubmed&amp;amp;dopt=Abstract&amp;amp;list_uids=36812432&amp;amp;query_hl=1&lt;/_url&gt;&lt;_volume&gt;388&lt;/_volume&gt;&lt;_accessed&gt;65741587&lt;/_accessed&gt;&lt;/Details&gt;&lt;Extra&gt;&lt;DBUID&gt;{1F004544-7F3B-46C7-B932-C63AA7CCA45F}&lt;/DBUID&gt;&lt;/Extra&gt;&lt;/Item&gt;&lt;/References&gt;&lt;/Group&gt;&lt;/Citation&gt;_x000a_"/>
    <w:docVar w:name="NE.Ref{3FAF191F-805B-4FA7-8FFD-2B92A077A131}" w:val=" ADDIN NE.Ref.{3FAF191F-805B-4FA7-8FFD-2B92A077A131}&lt;Citation&gt;&lt;Group&gt;&lt;References&gt;&lt;Item&gt;&lt;ID&gt;93&lt;/ID&gt;&lt;UID&gt;{38FAA445-5436-4BD7-94A2-49065BFA5BEE}&lt;/UID&gt;&lt;Title&gt;Cerebral Embolic Protection during Transcatheter Aortic-Valve Replacement&lt;/Title&gt;&lt;Template&gt;Journal Article&lt;/Template&gt;&lt;Star&gt;0&lt;/Star&gt;&lt;Tag&gt;0&lt;/Tag&gt;&lt;Author&gt;Kapadia, S R; Makkar, R; Leon, M; Abdel-Wahab, M; Waggoner, T; Massberg, S; Rottbauer, W; Horr, S; Sondergaard, L; Karha, J; Gooley, R; Satler, L; Stoler, R C; Messe, S R; &amp;quot;Baron SJ&amp;quot;; Seeger, J; Kodali, S; Krishnaswamy, A; Thourani, V H; Harrington, K; Pocock, S; Modolo, R; Allocco, D J; Meredith, I T; Linke, A&lt;/Author&gt;&lt;Year&gt;2022&lt;/Year&gt;&lt;Details&gt;&lt;_accessed&gt;65090218&lt;/_accessed&gt;&lt;_accession_num&gt;36121045&lt;/_accession_num&gt;&lt;_author_adr&gt;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lt;/_author_adr&gt;&lt;_collection_scope&gt;SCIE&lt;/_collection_scope&gt;&lt;_created&gt;65090038&lt;/_created&gt;&lt;_date&gt;2022-10-06&lt;/_date&gt;&lt;_date_display&gt;2022 Oct 6&lt;/_date_display&gt;&lt;_db_updated&gt;PubMed&lt;/_db_updated&gt;&lt;_doi&gt;10.1056/NEJMoa2204961&lt;/_doi&gt;&lt;_impact_factor&gt; 176.079&lt;/_impact_factor&gt;&lt;_isbn&gt;1533-4406 (Electronic); 0028-4793 (Linking)&lt;/_isbn&gt;&lt;_issue&gt;14&lt;/_issue&gt;&lt;_journal&gt;N Engl J Med&lt;/_journal&gt;&lt;_language&gt;eng&lt;/_language&gt;&lt;_modified&gt;65090218&lt;/_modified&gt;&lt;_ori_publication&gt;Copyright (c) 2022 Massachusetts Medical Society.&lt;/_ori_publication&gt;&lt;_pages&gt;1253-1263&lt;/_pages&gt;&lt;_social_category&gt;医学：内科(1)&lt;/_social_category&gt;&lt;_subject_headings&gt;Acute Kidney Injury/etiology; Aortic Valve/surgery; *Aortic Valve Stenosis/surgery; Delirium/etiology; *Embolic Protection Devices; Humans; *Intracranial Embolism/etiology/prevention &amp;amp; control; Ischemic Attack, Transient/etiology; *Prosthesis Implantation/instrumentation; Risk Factors; *Stroke/etiology/prevention &amp;amp; control; *Transcatheter Aortic Valve Replacement/adverse effects/methods; Treatment Outcome&lt;/_subject_headings&gt;&lt;_tertiary_title&gt;The New England journal of medicine&lt;/_tertiary_title&gt;&lt;_type_work&gt;Journal Article; Randomized Controlled Trial; Research Support, Non-U.S. Gov&amp;apos;t&lt;/_type_work&gt;&lt;_url&gt;http://www.ncbi.nlm.nih.gov/entrez/query.fcgi?cmd=Retrieve&amp;amp;db=pubmed&amp;amp;dopt=Abstract&amp;amp;list_uids=36121045&amp;amp;query_hl=1&lt;/_url&gt;&lt;_volume&gt;387&lt;/_volume&gt;&lt;/Details&gt;&lt;Extra&gt;&lt;DBUID&gt;{1F004544-7F3B-46C7-B932-C63AA7CCA45F}&lt;/DBUID&gt;&lt;/Extra&gt;&lt;/Item&gt;&lt;/References&gt;&lt;/Group&gt;&lt;/Citation&gt;_x000a_"/>
    <w:docVar w:name="NE.Ref{43B22E04-F208-4AA7-9CEB-B17B00E74CBA}" w:val=" ADDIN NE.Ref.{43B22E04-F208-4AA7-9CEB-B17B00E74CBA}&lt;Citation&gt;&lt;Group&gt;&lt;References&gt;&lt;Item&gt;&lt;ID&gt;118&lt;/ID&gt;&lt;UID&gt;{7F44B5A7-50B6-4892-8D6E-E115D2D58754}&lt;/UID&gt;&lt;Title&gt;FFR-Guided Complete or Culprit-Only PCI in Patients with Myocardial Infarction&lt;/Title&gt;&lt;Template&gt;Journal Article&lt;/Template&gt;&lt;Star&gt;0&lt;/Star&gt;&lt;Tag&gt;0&lt;/Tag&gt;&lt;Author&gt;Bohm, F; Mogensen, B; Engstrom, T; Stankovic, G; Srdanovic, I; Lonborg, J; Zwackman, S; Hamid, M; Kellerth, T; Lauermann, J; Kajander, O A; Andersson, J; Linder, R; Angeras, O; Renlund, H; Erglis, A; Menon, M; Schultz, C; Laine, M; Held, C; Ruck, A; Ostlund, O; James, S&lt;/Author&gt;&lt;Year&gt;2024&lt;/Year&gt;&lt;Details&gt;&lt;_accession_num&gt;38587995&lt;/_accession_num&gt;&lt;_author_adr&gt;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 From the Department of Cardiology, Karolinska Institute and Danderyd Hospital,  Danderyd (F.B., B.M., R.L.), the Department of Cardiology, Karolinska Institute  and Karolinska University Hospital, Stockholm (A.R.), the Department of  Cardiology, Linkoping University Hospital, Linkoping (S.Z.), the Department of  Cardiology, Malarsjukhuset, Eskilstuna (M.H.), the Department of Cardiology,  Central Hospital, Karlstad (T.K.), the Department of Cardiology, Ryhov Hospital,  Jonkoping (J. Lauermann), the Department of Cardiology, Umea University Hospital,  Umea (J.A.), the Department of Cardiology, Sahlgrenska University Hospital, and  the Department of Molecular and Clinical Medicine, Institute of Medicine,  Gothenburg University, Gothenburg (O.A.), and the Department of Medical Sciences,  Cardiology (H.R., C.H., O.O., S.J.), and Uppsala Clinical Research Center (C.H.,  S.J.), Uppsala University, Uppsala - all in Sweden; the Department of Cardiology,  Rigshospitalet, University of Copenhagen, Copenhagen (T.E., J. Lonborg); the  University Clinical Center of Serbia and the Faculty of Medicine, University of  Belgrade, Belgrade (G.S.), and the Faculty of Medicine, University of Novi Sad,  Institute of Cardiovascular Diseases Vojvodina, Sremska Kamenica (I.S.) - all in  Serbia; the Heart Hospital, Tampere University Hospital, and the Faculty of  Medicine and Health Technology, Tampere University, Tampere (O.A.K.), and the  Heart and Lung Center, Helsinki University Central Hospital, Helsinki (M.L.) -  all in Finland; the Latvian Center of Cardiology, Pauls Stradins Clinical  University Hospital, University of Latvia, Riga (A..); the Cardiology Department,  Waikato Hospital, Hamilton, New Zealand (M.M.); and the Medical School,  University of Western Australia, and the Department of Cardiology, Royal Perth  Hospital - both in Perth, WA (C.S.).&lt;/_author_adr&gt;&lt;_date_display&gt;2024 Apr 25&lt;/_date_display&gt;&lt;_date&gt;2024-04-25&lt;/_date&gt;&lt;_doi&gt;10.1056/NEJMoa2314149&lt;/_doi&gt;&lt;_isbn&gt;1533-4406 (Electronic); 0028-4793 (Linking)&lt;/_isbn&gt;&lt;_issue&gt;16&lt;/_issue&gt;&lt;_journal&gt;N Engl J Med&lt;/_journal&gt;&lt;_language&gt;eng&lt;/_language&gt;&lt;_ori_publication&gt;Copyright (c) 2024 Massachusetts Medical Society.&lt;/_ori_publication&gt;&lt;_pages&gt;1481-1492&lt;/_pages&gt;&lt;_subject_headings&gt;Aged; Female; Humans; Male; Middle Aged; *Coronary Artery Disease/complications/mortality/therapy; Follow-Up Studies; *Fractional Flow Reserve, Myocardial; Kaplan-Meier Estimate; Myocardial Infarction/mortality/therapy; *Percutaneous Coronary Intervention/methods; Registries; *ST Elevation Myocardial Infarction/etiology/mortality/physiopathology/therapy; *Myocardial Revascularization/methods; Coronary Vessels/diagnostic imaging/surgery; Reoperation; Europe; Australasia&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38587995&amp;amp;query_hl=1&lt;/_url&gt;&lt;_volume&gt;390&lt;/_volume&gt;&lt;_created&gt;65775807&lt;/_created&gt;&lt;_modified&gt;65775807&lt;/_modified&gt;&lt;_db_updated&gt;PubMed&lt;/_db_updated&gt;&lt;_impact_factor&gt; 176.079&lt;/_impact_factor&gt;&lt;_social_category&gt;医学：内科(1)&lt;/_social_category&gt;&lt;_collection_scope&gt;SCIE&lt;/_collection_scope&gt;&lt;_accessed&gt;65775807&lt;/_accessed&gt;&lt;/Details&gt;&lt;Extra&gt;&lt;DBUID&gt;{1F004544-7F3B-46C7-B932-C63AA7CCA45F}&lt;/DBUID&gt;&lt;/Extra&gt;&lt;/Item&gt;&lt;/References&gt;&lt;/Group&gt;&lt;/Citation&gt;_x000a_"/>
    <w:docVar w:name="NE.Ref{4B0EC148-9A0F-4946-8EFC-E38631326E0F}" w:val=" ADDIN NE.Ref.{4B0EC148-9A0F-4946-8EFC-E38631326E0F}&lt;Citation&gt;&lt;Group&gt;&lt;References&gt;&lt;Item&gt;&lt;ID&gt;98&lt;/ID&gt;&lt;UID&gt;{2EF9E575-1901-4562-B771-6DEFBD0F69FA}&lt;/UID&gt;&lt;Title&gt;Prospective randomized comparison between upgraded &amp;apos;2C3L&amp;apos; vs. PVI approach for  catheter ablation of persistent atrial fibrillation: PROMPT-AF trial design&lt;/Title&gt;&lt;Template&gt;Journal Article&lt;/Template&gt;&lt;Star&gt;0&lt;/Star&gt;&lt;Tag&gt;0&lt;/Tag&gt;&lt;Author&gt;Liu, X X; Liu, Q; Lai, Y W; Guo, Q; Bai, R; Long, D Y; Yu, R H; Tang, R B; Liu, N; Jiang, C X; Wang, W; Guo, X Y; Li, S N; Zhao, X; Zuo, S; Li, C Y; Song, S M; Xie, S L; Ge, W L; Zou, J G; Hou, X F; Chen, K; Zhang, J L; Hu, H S; Wang, X H; Wang, Z J; &amp;quot;Du X&amp;quot;; Jiang, C Y; Sang, C H; Dong, J Z; Ma, C S&lt;/Author&gt;&lt;Year&gt;2023&lt;/Year&gt;&lt;Details&gt;&lt;_accession_num&gt;36813122&lt;/_accession_num&gt;&lt;_author_adr&gt;Department of Cardiology, Beijing Anzhen Hospital, Capital Medical University,  Beijing, China.; Department of Cardiology, Sir Run Run Shaw Hospital, College of Medicine,  Zhejiang University, Hangzhou, China.; Department of Cardiology, Beijing Anzhen Hospital, Capital Medical University,  Beijing, China.; Department of Cardiology, Beijing Anzhen Hospital, Capital Medical University,  Beijing, China.; Department of Cardiology, Beijing Anzhen Hospital, Capital Medical University,  Beijing, China; Banner University Medical Center-Phoenix, The University of  Arizona College of Medicine, Phoenix AZ, US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Shandong Provincial Hospital Affiliated to Shandong  First Medical University, Jinan, China.; China Department of Cardiology, Sun Yat-sen Memorial Hospital, Sun Yat-sen  University, Guangzhou, China.; Department of Cardiology, Taizhou Hospital of Zhejiang Province, Taizhou, China.; Department of Cardiology, Jiangsu Province Hospital, Nanjing, China.; Department of Cardiology, Jiangsu Province Hospital, Nanjing, China.; Department of Cardiology, Fuwai Central China Cardiovascular Hospital, Zhengzhou,  China.; Department of Cardiology, Wuhan Asia Heart Hospital, Wuhan, China.; Department of Cardiology, the First Affiliated Hospital of Shandong First Medical  University, Jinan, China.; Department of Cardiology, Renji Hospital, Shanghai Jiaotong University School of  Medicine, Shanghai, China.; Department of Cardiology, the First Affiliated Hospital of Harbin Medical  University, Harbin, China.; Department of Cardiology, Beijing Anzhen Hospital, Capital Medical University,  Beijing, China; National Clinical Research Center for Cardiovascular Diseases,  Beijing Advanced Innovation Center for Big Data-Based Precision Medicine for  Cardiovascular Diseases, Beijing, China; Heart Health Research Center, Beijing,  China; The George Institute for Global Health, The University of New South Wales,  Sydney, Australia.; Department of Cardiology, Sir Run Run Shaw Hospital, College of Medicine,  Zhejiang University, Hangzhou, China. Electronic address:  jiangchenyangmail@163.com.; Department of Cardiology, Beijing Anzhen Hospital, Capital Medical University,  Beijing, China. Electronic address: sch9613070@sina.com.; Department of Cardiology, Beijing Anzhen Hospital, Capital Medical University,  Beijing, China; Department of Cardiology, The First Affiliated Hospital of  Zhengzhou University, Zhengzhou, China.; Department of Cardiology, Beijing Anzhen Hospital, Capital Medical University,  Beijing, China.&lt;/_author_adr&gt;&lt;_date_display&gt;2023 Jun&lt;/_date_display&gt;&lt;_date&gt;2023-06-01&lt;/_date&gt;&lt;_doi&gt;10.1016/j.ahj.2023.01.019&lt;/_doi&gt;&lt;_isbn&gt;1097-6744 (Electronic); 0002-8703 (Linking)&lt;/_isbn&gt;&lt;_journal&gt;Am Heart J&lt;/_journal&gt;&lt;_language&gt;eng&lt;/_language&gt;&lt;_ori_publication&gt;Copyright (c) 2023 The Author(s). Published by Elsevier Inc. All rights reserved.&lt;/_ori_publication&gt;&lt;_pages&gt;34-43&lt;/_pages&gt;&lt;_subject_headings&gt;Humans; *Atrial Fibrillation/surgery; *Pulmonary Veins/surgery; Prospective Studies; Heart Atria/surgery; Ethanol; *Catheter Ablation/methods; Treatment Outcome; Recurrence&lt;/_subject_headings&gt;&lt;_tertiary_title&gt;American heart journal&lt;/_tertiary_title&gt;&lt;_type_work&gt;Journal Article; Multicenter Study; Randomized Controlled Trial; Research Support, Non-U.S. Gov&amp;apos;t&lt;/_type_work&gt;&lt;_url&gt;http://www.ncbi.nlm.nih.gov/entrez/query.fcgi?cmd=Retrieve&amp;amp;db=pubmed&amp;amp;dopt=Abstract&amp;amp;list_uids=36813122&amp;amp;query_hl=1&lt;/_url&gt;&lt;_volume&gt;260&lt;/_volume&gt;&lt;_created&gt;65741572&lt;/_created&gt;&lt;_modified&gt;65741572&lt;/_modified&gt;&lt;_db_updated&gt;PubMed&lt;/_db_updated&gt;&lt;_impact_factor&gt;   5.099&lt;/_impact_factor&gt;&lt;_social_category&gt;心脏和心血管系统(2)&lt;/_social_category&gt;&lt;_collection_scope&gt;SCIE&lt;/_collection_scope&gt;&lt;_accessed&gt;65741573&lt;/_accessed&gt;&lt;/Details&gt;&lt;Extra&gt;&lt;DBUID&gt;{1F004544-7F3B-46C7-B932-C63AA7CCA45F}&lt;/DBUID&gt;&lt;/Extra&gt;&lt;/Item&gt;&lt;/References&gt;&lt;/Group&gt;&lt;/Citation&gt;_x000a_"/>
    <w:docVar w:name="NE.Ref{52B6EFA1-7581-45A3-B3BE-8FD1F14ED81B}" w:val=" ADDIN NE.Ref.{52B6EFA1-7581-45A3-B3BE-8FD1F14ED81B}&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41&lt;/_accessed&gt;&lt;_created&gt;64986667&lt;/_created&gt;&lt;_modified&gt;64988476&lt;/_modified&gt;&lt;_translated_author&gt;Guo, Jia yao pin jian&lt;/_translated_author&gt;&lt;/Details&gt;&lt;Extra&gt;&lt;DBUID&gt;{1F004544-7F3B-46C7-B932-C63AA7CCA45F}&lt;/DBUID&gt;&lt;/Extra&gt;&lt;/Item&gt;&lt;/References&gt;&lt;/Group&gt;&lt;/Citation&gt;_x000a_"/>
    <w:docVar w:name="NE.Ref{53469B6A-4F98-405A-97E7-5CD2FBCA9D77}" w:val="NE.Data.1{53469B6A-4F98-405A-97E7-5CD2FBCA9D77}=NE.Data.2{53469B6A-4F98-405A-97E7-5CD2FBCA9D77}=NE.Data.3{53469B6A-4F98-405A-97E7-5CD2FBCA9D77}"/>
    <w:docVar w:name="NE.Ref{6BD1C4FB-FDA8-479D-97E7-09149BF95C40}" w:val=" ADDIN NE.Ref.{6BD1C4FB-FDA8-479D-97E7-09149BF95C40}&lt;Citation&gt;&lt;Group&gt;&lt;References&gt;&lt;Item&gt;&lt;ID&gt;24&lt;/ID&gt;&lt;UID&gt;{CF876688-2837-40AB-95EC-74090397C63B}&lt;/UID&gt;&lt;Title&gt;Preventive or Deferred Ablation of Ventricular Tachycardia in Patients With  Ischemic Cardiomyopathy and Implantable Defibrillator (BERLIN VT): A Multicenter  Randomized Trial&lt;/Title&gt;&lt;Template&gt;Journal Article&lt;/Template&gt;&lt;Star&gt;0&lt;/Star&gt;&lt;Tag&gt;0&lt;/Tag&gt;&lt;Author&gt;Willems, S; Tilz, R R; Steven, D; Kaab, S; Wegscheider, K; Geller, L; Meyer, C; Heeger, C H; Metzner, A; Sinner, M F; Schluter, M; Nordbeck, P; Eckardt, L; Bogossian, H; Sultan, A; Wenzel, B; Kuck, K H&lt;/Author&gt;&lt;Year&gt;2020&lt;/Year&gt;&lt;Details&gt;&lt;_accessed&gt;64889962&lt;/_accessed&gt;&lt;_accession_num&gt;32000514&lt;/_accession_num&gt;&lt;_author_adr&gt;University Heart Center, Hamburg, Germany (S.W., C.M.).; University Hospital Lubeck, Med.Klinik II, and German Center for Cardiovascular  Research (DZHK), partner site Hamburg/Kiel/Lubeck, Germany (R.R.T., C.-H.H.).; University Heart Center Cologne, Germany (D.S., A.S.).; Department of Medicine I, University Hospital Munich, Ludwig-Maximilian&amp;apos;s  University Munich and German Center for Cardiovascular Research (DZHK), partner  site Munich Heart Alliance, Germany (S.K., M.F.S.).; Institute of Medical Biometry and Epidemiology, University Medical Center  Eppendorf, Hamburg, Germany (K.W.).; Semmelweis Medical University, Budapest, Hungary (L.G.).; University Heart Center, Hamburg, Germany (S.W., C.M.).; University Hospital Lubeck, Med.Klinik II, and German Center for Cardiovascular  Research (DZHK), partner site Hamburg/Kiel/Lubeck, Germany (R.R.T., C.-H.H.).; Asklepios Klinik St Georg, Hamburg, Germany (A.M., K.-H.K.).; Department of Medicine I, University Hospital Munich, Ludwig-Maximilian&amp;apos;s  University Munich and German Center for Cardiovascular Research (DZHK), partner  site Munich Heart Alliance, Germany (S.K., M.F.S.).; Asklepios Proresearch, Hamburg, Germany (M.S.).; University Hospital Wurzburg, Germany (P.N.).; University Hospital Munster, Germany (L.E.).; Klinikum Ludenscheid, Witten/Herdecke University, Germany (H.B.).; University Heart Center Cologne, Germany (D.S., A.S.).; Biotronik SE &amp;amp; Co. KG, Berlin, Germany (B.W.).; Asklepios Klinik St Georg, Hamburg, Germany (A.M., K.-H.K.).&lt;/_author_adr&gt;&lt;_collection_scope&gt;SCIE&lt;/_collection_scope&gt;&lt;_created&gt;64889933&lt;/_created&gt;&lt;_date&gt;2020-03-31&lt;/_date&gt;&lt;_date_display&gt;2020 Mar 31&lt;/_date_display&gt;&lt;_db_updated&gt;PubMed&lt;/_db_updated&gt;&lt;_doi&gt;10.1161/CIRCULATIONAHA.119.043400&lt;/_doi&gt;&lt;_impact_factor&gt;  39.918&lt;/_impact_factor&gt;&lt;_isbn&gt;1524-4539 (Electronic); 0009-7322 (Linking)&lt;/_isbn&gt;&lt;_issue&gt;13&lt;/_issue&gt;&lt;_journal&gt;Circulation&lt;/_journal&gt;&lt;_keywords&gt;ablation techniques; cardiomyopathies; catheter ablation; defibrillators, implantable; tachycardia, ventricular&lt;/_keywords&gt;&lt;_language&gt;eng&lt;/_language&gt;&lt;_modified&gt;64889962&lt;/_modified&gt;&lt;_pages&gt;1057-1067&lt;/_pages&gt;&lt;_social_category&gt;心脏和心血管系统(1) &amp;amp; 外周血管病(1)&lt;/_social_category&gt;&lt;_subject_headings&gt;Aged; Cardiomyopathies/*complications/surgery; Catheter Ablation/*methods; Defibrillators, Implantable/*standards; Female; Humans; Male; Prospective Studies; Tachycardia, Ventricular/*therapy&lt;/_subject_headings&gt;&lt;_tertiary_title&gt;Circulation&lt;/_tertiary_title&gt;&lt;_type_work&gt;Journal Article; Multicenter Study; Randomized Controlled Trial; Research Support, Non-U.S. Gov&amp;apos;t&lt;/_type_work&gt;&lt;_url&gt;http://www.ncbi.nlm.nih.gov/entrez/query.fcgi?cmd=Retrieve&amp;amp;db=pubmed&amp;amp;dopt=Abstract&amp;amp;list_uids=32000514&amp;amp;query_hl=1&lt;/_url&gt;&lt;_volume&gt;141&lt;/_volume&gt;&lt;/Details&gt;&lt;Extra&gt;&lt;DBUID&gt;{1F004544-7F3B-46C7-B932-C63AA7CCA45F}&lt;/DBUID&gt;&lt;/Extra&gt;&lt;/Item&gt;&lt;/References&gt;&lt;/Group&gt;&lt;/Citation&gt;_x000a_"/>
    <w:docVar w:name="NE.Ref{750E2550-9525-403B-A04A-21E73619C44B}" w:val=" ADDIN NE.Ref.{750E2550-9525-403B-A04A-21E73619C44B}&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4988476&lt;/_accessed&gt;&lt;_created&gt;64986667&lt;/_created&gt;&lt;_modified&gt;64988476&lt;/_modified&gt;&lt;_translated_author&gt;Guo, Jia yao pin jian&lt;/_translated_author&gt;&lt;/Details&gt;&lt;Extra&gt;&lt;DBUID&gt;{1F004544-7F3B-46C7-B932-C63AA7CCA45F}&lt;/DBUID&gt;&lt;/Extra&gt;&lt;/Item&gt;&lt;/References&gt;&lt;/Group&gt;&lt;/Citation&gt;_x000a_"/>
    <w:docVar w:name="NE.Ref{7662D666-ECAB-4912-96ED-2E0776813315}" w:val=" ADDIN NE.Ref.{7662D666-ECAB-4912-96ED-2E0776813315}&lt;Citation&gt;&lt;Group&gt;&lt;References&gt;&lt;Item&gt;&lt;ID&gt;59&lt;/ID&gt;&lt;UID&gt;{F66D9C7F-BD30-47C9-B9B7-6C225A603C5D}&lt;/UID&gt;&lt;Title&gt;Withdrawal: Prospective randomized comparison between upgraded &amp;quot;2C3L&amp;quot; versus PVI  approach for catheter ablation of persistent atrial fibrillation: PROMPT-AF trial  design&lt;/Title&gt;&lt;Template&gt;Journal Article&lt;/Template&gt;&lt;Star&gt;0&lt;/Star&gt;&lt;Tag&gt;0&lt;/Tag&gt;&lt;Author&gt;Liu, X X; Sang, C H; Long, D Y; Bai, R; Jiang, C X; Wang, W; Tang, R B; Liu, N; Guo, X Y; Li, S N; Tao, H L; Chen, Y W; Chen, K; Jiang, C Y; Zhang, J L; Xue, Y M; Yuan, Y Q; Li, S L; Mao, X B; Song, S M; Ge, W L; Tan, H; Lu, Z B; Yin, D X; Miao, C L; &amp;quot;Du X&amp;quot;; Dong, J Z; Ma, C S&lt;/Author&gt;&lt;Year&gt;2021&lt;/Year&gt;&lt;Details&gt;&lt;_accessed&gt;65758861&lt;/_accessed&gt;&lt;_accession_num&gt;33191522&lt;/_accession_num&gt;&lt;_author_adr&gt;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The First Affiliated Hospital of Zhengzhou University,  Zhengzhou, China.; Department of Cardiology, The First Affiliated Hospital of Zhengzhou University,  Zhengzhou, China.; Department of Cardiology, Henan Provincial People&amp;apos;s Hospital, Zhengzhou, China.; Department of Cardiology, Sir Run Run Shaw Hospital, College of Medicine,  Zhejiang University, Hangzhou, China.; Department of Cardiology, Wuhan Asian Heart Hospital, Wuhan, China.; Department of Cardiology, Guangdong Cardiovascular Institute, Guangdong  Provincial People&amp;apos;s Hospital, Guangdong Academy of Medical Sciences, Guangzhou,  China.; Department of Cardiology, Henan Provincial Chest Hospital, Zhengzhou, China.; Department of Cardiology, Yun-Nan St. John Cardiology Hospital, Kunming, China.; Department of Cardiology, Union Hospital, Huazhong University of Science and  Technology, Wuhan, China.; Department of Cardiology, Shandong Provincial Hospital, Jinan, China.; Department of Cardiology, Taizhou Hospital of Zhejiang Province, Taizhou, China.; Department of Cardiology, Xinqiao Hospital, The Third Military Medical  University, Chongqing, China.; Department of Cardiology, Zhongnan Hospital of Wuhan University, Wuhan, China.; Department of Cardiology, Beijing Chaoyang Hospital, Capital Medical University,  Beijing, China.; Department of Cardiology, The Second Affiliated Hospital of Hebei University,  Shijiazhuang, China.; Department of Cardiology, Beijing Anzhen Hospital, Capital Medical University,  Beijing, China.; Department of Cardiology, Beijing Anzhen Hospital, Capital Medical University,  Beijing, China.; Department of Cardiology, Beijing Anzhen Hospital, Capital Medical University,  Beijing, China.&lt;/_author_adr&gt;&lt;_collection_scope&gt;SCIE&lt;/_collection_scope&gt;&lt;_created&gt;64923080&lt;/_created&gt;&lt;_date&gt;2021-09-01&lt;/_date&gt;&lt;_date_display&gt;2021 Sep&lt;/_date_display&gt;&lt;_db_updated&gt;PubMed&lt;/_db_updated&gt;&lt;_doi&gt;10.1111/pace.14118&lt;/_doi&gt;&lt;_impact_factor&gt;   1.912&lt;/_impact_factor&gt;&lt;_isbn&gt;1540-8159 (Electronic); 0147-8389 (Linking)&lt;/_isbn&gt;&lt;_issue&gt;9&lt;/_issue&gt;&lt;_journal&gt;Pacing Clin Electrophysiol&lt;/_journal&gt;&lt;_language&gt;eng&lt;/_language&gt;&lt;_modified&gt;64923139&lt;/_modified&gt;&lt;_pages&gt;1651&lt;/_pages&gt;&lt;_social_category&gt;心脏和心血管系统(4) &amp;amp; 工程：生物医学(4)&lt;/_social_category&gt;&lt;_tertiary_title&gt;Pacing and clinical electrophysiology : PACE&lt;/_tertiary_title&gt;&lt;_type_work&gt;Journal Article&lt;/_type_work&gt;&lt;_url&gt;http://www.ncbi.nlm.nih.gov/entrez/query.fcgi?cmd=Retrieve&amp;amp;db=pubmed&amp;amp;dopt=Abstract&amp;amp;list_uids=33191522&amp;amp;query_hl=1&lt;/_url&gt;&lt;_volume&gt;44&lt;/_volume&gt;&lt;/Details&gt;&lt;Extra&gt;&lt;DBUID&gt;{1F004544-7F3B-46C7-B932-C63AA7CCA45F}&lt;/DBUID&gt;&lt;/Extra&gt;&lt;/Item&gt;&lt;/References&gt;&lt;/Group&gt;&lt;/Citation&gt;_x000a_"/>
    <w:docVar w:name="NE.Ref{A44B2075-BF81-4253-B017-4B8543FEBF2F}" w:val=" ADDIN NE.Ref.{A44B2075-BF81-4253-B017-4B8543FEBF2F}&lt;Citation&gt;&lt;Group&gt;&lt;References&gt;&lt;Item&gt;&lt;ID&gt;99&lt;/ID&gt;&lt;UID&gt;{8CFC3DF9-02B0-4A84-86CC-7530A280E555}&lt;/UID&gt;&lt;Title&gt;Pulmonary Vein Isolation With Optimized Linear Ablation vs Pulmonary Vein  Isolation Alone for Persistent AF: The PROMPT-AF Randomized Clinical Trial&lt;/Title&gt;&lt;Template&gt;Journal Article&lt;/Template&gt;&lt;Star&gt;0&lt;/Star&gt;&lt;Tag&gt;0&lt;/Tag&gt;&lt;Author&gt;Sang, C; Liu, Q; Lai, Y; Xia, S; Jiang, R; Li, S; Guo, Q; Li, Q; Gao, M; Guo, X; Huang, L; Liu, N; Jiang, C; Zuo, S; Liu, X; Li, M; Ge, W; Song, S; Chen, L; Xie, S; Zou, J; Chen, K; Liu, X; Hu, H; Wang, X; Zhang, J; Wang, Z; Wang, C; He, L; Jiang, C; Tang, R; Zhou, N; Wang, Y; Long, D; &amp;quot;Du X&amp;quot;; Jiang, C; Macle, L; Dong, J; Ma, C&lt;/Author&gt;&lt;Year&gt;2024&lt;/Year&gt;&lt;Details&gt;&lt;_accession_num&gt;39556379&lt;/_accession_num&gt;&lt;_author_adr&gt;Department of Cardiology, Beijing Anzhen Hospital, Capital Medical University,  Beijing, China.; Department of Cardiology, Sir Run Run Shaw Hospital, Zhejiang University School  of Medicine, Hangzhou, China.; Department of Cardiology, Beijing Anzhen Hospital, Capital Medical University,  Beijing, China.; Department of Cardiology, Beijing Anzhen Hospital, Capital Medical University,  Beijing, China.; Department of Cardiology, Sir Run Run Shaw Hospital, Zhejiang University School  of Medicine, Hangzhou,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Taizhou Hospital of Zhejiang Province, Wenzhou Medical  University, Taizhou, China.; Department of Cardiology, Shandong Provincial Hospital, Shandong First Medical  University, Jinan, China.; Department of Cardiology, Shandong Provincial Hospital, Shandong First Medical  University, Jinan, China.; Department of Cardiology, Sun Yet-Sen Memorial Hospital, Sun Yet-Sen University,  Guangzhou, China.; Department of Cardiology, First Affiliated Hospital, Nanjing Medical University,  Nanjing, China.; Department of Cardiology, Fuwai Central China Cardiovascular Hospital, Zhengzhou,  China.; Department of Cardiology, Shengli Oilfield Central Hospital, Dongying, China.; Department of Cardiology, the First Affiliated Hospital of Shandong First Medical  University, Jinan, China.; Department of Cardiology, Renji Hospital, Shanghai Jiaotong University School of  Medicine, Shanghai, China.; Department of Cardiology, Wuhan Asia Heart Hospital, Wuhan, China.; Department of Cardiology, the First Affiliated Hospital of Harbin Medical  University, Harbin, China.; Heart Health Research Center, Beijing, China.; School of Public Health, University of Iowa, Iowa City.;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Department of Cardiology, Beijing Anzhen Hospital, Capital Medical University,  Beijing, China.; Heart Health Research Center, Beijing, China.; Department of Cardiology, Sir Run Run Shaw Hospital, Zhejiang University School  of Medicine, Hangzhou, China.; Montreal Heart Institute, Universite de Montreal, Montreal, Quebec, Canada.; Department of Cardiology, Beijing Anzhen Hospital, Capital Medical University,  Beijing, China.; Department of Cardiology, Beijing Anzhen Hospital, Capital Medical University,  Beijing, China.&lt;/_author_adr&gt;&lt;_date_display&gt;2024 Nov 18&lt;/_date_display&gt;&lt;_date&gt;2024-11-18&lt;/_date&gt;&lt;_doi&gt;10.1001/jama.2024.24438&lt;/_doi&gt;&lt;_isbn&gt;1538-3598 (Electronic); 0098-7484 (Print); 0098-7484 (Linking)&lt;/_isbn&gt;&lt;_journal&gt;JAMA&lt;/_journal&gt;&lt;_language&gt;eng&lt;/_language&gt;&lt;_tertiary_title&gt;JAMA&lt;/_tertiary_title&gt;&lt;_type_work&gt;Journal Article&lt;/_type_work&gt;&lt;_url&gt;http://www.ncbi.nlm.nih.gov/entrez/query.fcgi?cmd=Retrieve&amp;amp;db=pubmed&amp;amp;dopt=Abstract&amp;amp;list_uids=39556379&amp;amp;query_hl=1&lt;/_url&gt;&lt;_created&gt;65741578&lt;/_created&gt;&lt;_modified&gt;65741578&lt;/_modified&gt;&lt;_db_updated&gt;PubMed&lt;/_db_updated&gt;&lt;_impact_factor&gt; 157.335&lt;/_impact_factor&gt;&lt;_social_category&gt;医学：内科(1)&lt;/_social_category&gt;&lt;_collection_scope&gt;SCIE&lt;/_collection_scope&gt;&lt;_accessed&gt;65741581&lt;/_accessed&gt;&lt;/Details&gt;&lt;Extra&gt;&lt;DBUID&gt;{1F004544-7F3B-46C7-B932-C63AA7CCA45F}&lt;/DBUID&gt;&lt;/Extra&gt;&lt;/Item&gt;&lt;/References&gt;&lt;/Group&gt;&lt;/Citation&gt;_x000a_"/>
    <w:docVar w:name="NE.Ref{B150E411-3915-4307-9DFD-FFD5C32C3D58}" w:val="NE.Data.1{B150E411-3915-4307-9DFD-FFD5C32C3D58}=NE.Data.2{B150E411-3915-4307-9DFD-FFD5C32C3D58}=NE.Data.3{B150E411-3915-4307-9DFD-FFD5C32C3D58}=NE.Data.4{B150E411-3915-4307-9DFD-FFD5C32C3D58}=NE.Data.5{B150E411-3915-4307-9DFD-FFD5C32C3D58}"/>
    <w:docVar w:name="NE.Ref{B6E75355-3F97-4929-AD6E-E90167FB569F}" w:val=" ADDIN NE.Ref.{B6E75355-3F97-4929-AD6E-E90167FB569F}&lt;Citation&gt;&lt;Group&gt;&lt;References&gt;&lt;Item&gt;&lt;ID&gt;25&lt;/ID&gt;&lt;UID&gt;{78CF59F0-2314-4B8E-9444-59E7EF12F75C}&lt;/UID&gt;&lt;Title&gt;Pacemaker or defibrillator surgery without interruption of anticoagulation&lt;/Title&gt;&lt;Template&gt;Journal Article&lt;/Template&gt;&lt;Star&gt;0&lt;/Star&gt;&lt;Tag&gt;0&lt;/Tag&gt;&lt;Author&gt;Birnie, D H; Healey, J S; Wells, G A; Verma, A; Tang, A S; Krahn, A D; Simpson, C S; Ayala-Paredes, F; Coutu, B; Leiria, T L; Essebag, V&lt;/Author&gt;&lt;Year&gt;2013&lt;/Year&gt;&lt;Details&gt;&lt;_accessed&gt;64893036&lt;/_accessed&gt;&lt;_accession_num&gt;23659733&lt;/_accession_num&gt;&lt;_author_adr&gt;University of Ottawa Heart Institute, Ottawa, ON, Canada. dbirnie@ottawaheart.ca&lt;/_author_adr&gt;&lt;_collection_scope&gt;SCIE&lt;/_collection_scope&gt;&lt;_created&gt;64889962&lt;/_created&gt;&lt;_date&gt;2013-05-30&lt;/_date&gt;&lt;_date_display&gt;2013 May 30&lt;/_date_display&gt;&lt;_db_updated&gt;PubMed&lt;/_db_updated&gt;&lt;_doi&gt;10.1056/NEJMoa1302946&lt;/_doi&gt;&lt;_impact_factor&gt; 176.079&lt;/_impact_factor&gt;&lt;_isbn&gt;1533-4406 (Electronic); 0028-4793 (Linking)&lt;/_isbn&gt;&lt;_issue&gt;22&lt;/_issue&gt;&lt;_journal&gt;N Engl J Med&lt;/_journal&gt;&lt;_language&gt;eng&lt;/_language&gt;&lt;_modified&gt;64893036&lt;/_modified&gt;&lt;_pages&gt;2084-93&lt;/_pages&gt;&lt;_social_category&gt;医学：内科(1)&lt;/_social_category&gt;&lt;_subject_headings&gt;Aged; Anticoagulants/*administration &amp;amp; dosage/adverse effects; *Defibrillators, Implantable; Female; Hematoma/epidemiology/*etiology/prevention &amp;amp; control; Heparin/*administration &amp;amp; dosage/adverse effects; Humans; Incidence; Male; *Pacemaker, Artificial; Perioperative Period; Thromboembolism/prevention &amp;amp; control; Warfarin/*administration &amp;amp; dosage/adverse effects&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23659733&amp;amp;query_hl=1&lt;/_url&gt;&lt;_volume&gt;368&lt;/_volume&gt;&lt;/Details&gt;&lt;Extra&gt;&lt;DBUID&gt;{1F004544-7F3B-46C7-B932-C63AA7CCA45F}&lt;/DBUID&gt;&lt;/Extra&gt;&lt;/Item&gt;&lt;/References&gt;&lt;/Group&gt;&lt;/Citation&gt;_x000a_"/>
    <w:docVar w:name="NE.Ref{C63E6573-73E4-4B7B-B4A4-FC3EDB45FDFD}" w:val=" ADDIN NE.Ref.{C63E6573-73E4-4B7B-B4A4-FC3EDB45FDFD}&lt;Citation&gt;&lt;Group&gt;&lt;References&gt;&lt;Item&gt;&lt;ID&gt;21&lt;/ID&gt;&lt;UID&gt;{BB8DCA52-4B35-4360-9456-7A316B6CCDA3}&lt;/UID&gt;&lt;Title&gt;Apixaban versus warfarin in patients with atrial fibrillation&lt;/Title&gt;&lt;Template&gt;Journal Article&lt;/Template&gt;&lt;Star&gt;0&lt;/Star&gt;&lt;Tag&gt;0&lt;/Tag&gt;&lt;Author&gt;Granger, C B; Alexander, J H; McMurray, J J; Lopes, R D; Hylek, E M; Hanna, M; Al-Khalidi, H R; Ansell, J; Atar, D; Avezum, A; Bahit, M C; Diaz, R; Easton, J D; Ezekowitz, J A; Flaker, G; Garcia, D; Geraldes, M; Gersh, B J; Golitsyn, S; Goto, S; Hermosillo, A G; Hohnloser, S H; Horowitz, J; Mohan, P; Jansky, P; Lewis, B S; Lopez-Sendon, J L; Pais, P; Parkhomenko, A; Verheugt, F W; Zhu, J; Wallentin, L&lt;/Author&gt;&lt;Year&gt;2011&lt;/Year&gt;&lt;Details&gt;&lt;_accessed&gt;64886233&lt;/_accessed&gt;&lt;_accession_num&gt;21870978&lt;/_accession_num&gt;&lt;_author_adr&gt;Duke Clinical Research Institute, Duke University Medical Center, Durham, NC  27715, USA. christopher.granger@duke.edu&lt;/_author_adr&gt;&lt;_collection_scope&gt;SCIE&lt;/_collection_scope&gt;&lt;_created&gt;64881993&lt;/_created&gt;&lt;_date&gt;2011-09-15&lt;/_date&gt;&lt;_date_display&gt;2011 Sep 15&lt;/_date_display&gt;&lt;_db_updated&gt;PubMed&lt;/_db_updated&gt;&lt;_doi&gt;10.1056/NEJMoa1107039&lt;/_doi&gt;&lt;_impact_factor&gt; 176.079&lt;/_impact_factor&gt;&lt;_isbn&gt;1533-4406 (Electronic); 0028-4793 (Linking)&lt;/_isbn&gt;&lt;_issue&gt;11&lt;/_issue&gt;&lt;_journal&gt;N Engl J Med&lt;/_journal&gt;&lt;_language&gt;eng&lt;/_language&gt;&lt;_modified&gt;64886234&lt;/_modified&gt;&lt;_pages&gt;981-92&lt;/_pages&gt;&lt;_social_category&gt;医学：内科(1)&lt;/_social_category&gt;&lt;_subject_headings&gt;Aged; Anticoagulants/adverse effects/*therapeutic use; Atrial Fibrillation/complications/*drug therapy; Double-Blind Method; *Factor Xa Inhibitors; Female; Follow-Up Studies; Hemorrhage/chemically induced; Humans; International Normalized Ratio; Kaplan-Meier Estimate; Male; Middle Aged; Pyrazoles/adverse effects/*therapeutic use; Pyridones/adverse effects/*therapeutic use; Stroke/*prevention &amp;amp; control; Thromboembolism/*prevention &amp;amp; control; Treatment Outcome; Warfarin/adverse effects/*therapeutic us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70978&amp;amp;query_hl=1&lt;/_url&gt;&lt;_volume&gt;365&lt;/_volume&gt;&lt;/Details&gt;&lt;Extra&gt;&lt;DBUID&gt;{1F004544-7F3B-46C7-B932-C63AA7CCA45F}&lt;/DBUID&gt;&lt;/Extra&gt;&lt;/Item&gt;&lt;/References&gt;&lt;/Group&gt;&lt;/Citation&gt;_x000a_"/>
    <w:docVar w:name="NE.Ref{DB31A6BE-BCBD-4371-8164-5F531176BB00}" w:val=" ADDIN NE.Ref.{DB31A6BE-BCBD-4371-8164-5F531176BB00}&lt;Citation&gt;&lt;Group&gt;&lt;References&gt;&lt;Item&gt;&lt;ID&gt;21&lt;/ID&gt;&lt;UID&gt;{BB8DCA52-4B35-4360-9456-7A316B6CCDA3}&lt;/UID&gt;&lt;Title&gt;Apixaban versus warfarin in patients with atrial fibrillation&lt;/Title&gt;&lt;Template&gt;Journal Article&lt;/Template&gt;&lt;Star&gt;0&lt;/Star&gt;&lt;Tag&gt;0&lt;/Tag&gt;&lt;Author&gt;Granger, C B; Alexander, J H; McMurray, J J; Lopes, R D; Hylek, E M; Hanna, M; Al-Khalidi, H R; Ansell, J; Atar, D; Avezum, A; Bahit, M C; Diaz, R; Easton, J D; Ezekowitz, J A; Flaker, G; Garcia, D; Geraldes, M; Gersh, B J; Golitsyn, S; Goto, S; Hermosillo, A G; Hohnloser, S H; Horowitz, J; Mohan, P; Jansky, P; Lewis, B S; Lopez-Sendon, J L; Pais, P; Parkhomenko, A; Verheugt, F W; Zhu, J; Wallentin, L&lt;/Author&gt;&lt;Year&gt;2011&lt;/Year&gt;&lt;Details&gt;&lt;_accessed&gt;65761108&lt;/_accessed&gt;&lt;_accession_num&gt;21870978&lt;/_accession_num&gt;&lt;_author_adr&gt;Duke Clinical Research Institute, Duke University Medical Center, Durham, NC  27715, USA. christopher.granger@duke.edu&lt;/_author_adr&gt;&lt;_collection_scope&gt;SCIE&lt;/_collection_scope&gt;&lt;_created&gt;64881993&lt;/_created&gt;&lt;_date&gt;2011-09-15&lt;/_date&gt;&lt;_date_display&gt;2011 Sep 15&lt;/_date_display&gt;&lt;_db_updated&gt;PubMed&lt;/_db_updated&gt;&lt;_doi&gt;10.1056/NEJMoa1107039&lt;/_doi&gt;&lt;_impact_factor&gt; 176.079&lt;/_impact_factor&gt;&lt;_isbn&gt;1533-4406 (Electronic); 0028-4793 (Linking)&lt;/_isbn&gt;&lt;_issue&gt;11&lt;/_issue&gt;&lt;_journal&gt;N Engl J Med&lt;/_journal&gt;&lt;_language&gt;eng&lt;/_language&gt;&lt;_modified&gt;64886234&lt;/_modified&gt;&lt;_pages&gt;981-92&lt;/_pages&gt;&lt;_social_category&gt;医学：内科(1)&lt;/_social_category&gt;&lt;_subject_headings&gt;Aged; Anticoagulants/adverse effects/*therapeutic use; Atrial Fibrillation/complications/*drug therapy; Double-Blind Method; *Factor Xa Inhibitors; Female; Follow-Up Studies; Hemorrhage/chemically induced; Humans; International Normalized Ratio; Kaplan-Meier Estimate; Male; Middle Aged; Pyrazoles/adverse effects/*therapeutic use; Pyridones/adverse effects/*therapeutic use; Stroke/*prevention &amp;amp; control; Thromboembolism/*prevention &amp;amp; control; Treatment Outcome; Warfarin/adverse effects/*therapeutic us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70978&amp;amp;query_hl=1&lt;/_url&gt;&lt;_volume&gt;365&lt;/_volume&gt;&lt;/Details&gt;&lt;Extra&gt;&lt;DBUID&gt;{1F004544-7F3B-46C7-B932-C63AA7CCA45F}&lt;/DBUID&gt;&lt;/Extra&gt;&lt;/Item&gt;&lt;/References&gt;&lt;/Group&gt;&lt;/Citation&gt;_x000a_"/>
    <w:docVar w:name="NE.Ref{E2E3E6E4-2B19-4895-AC0E-F9BD23B71AA0}" w:val=" ADDIN NE.Ref.{E2E3E6E4-2B19-4895-AC0E-F9BD23B71AA0}&lt;Citation&gt;&lt;Group&gt;&lt;References&gt;&lt;Item&gt;&lt;ID&gt;105&lt;/ID&gt;&lt;UID&gt;{E5902C24-CC14-4C9F-995C-6EC5C77709C1}&lt;/UID&gt;&lt;Title&gt;医学统计学&lt;/Title&gt;&lt;Template&gt;Book&lt;/Template&gt;&lt;Star&gt;0&lt;/Star&gt;&lt;Tag&gt;0&lt;/Tag&gt;&lt;Author&gt;陈峰&lt;/Author&gt;&lt;Year&gt;2024&lt;/Year&gt;&lt;Details&gt;&lt;_publisher&gt;人民卫生出版社&lt;/_publisher&gt;&lt;_place_published&gt;北京&lt;/_place_published&gt;&lt;_edition&gt;4版&lt;/_edition&gt;&lt;_accessed&gt;65751136&lt;/_accessed&gt;&lt;_created&gt;65751136&lt;/_created&gt;&lt;_modified&gt;65751136&lt;/_modified&gt;&lt;_translated_author&gt;Chen, Feng&lt;/_translated_author&gt;&lt;/Details&gt;&lt;Extra&gt;&lt;DBUID&gt;{1F004544-7F3B-46C7-B932-C63AA7CCA45F}&lt;/DBUID&gt;&lt;/Extra&gt;&lt;/Item&gt;&lt;/References&gt;&lt;/Group&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41&lt;/_accessed&gt;&lt;_created&gt;64986667&lt;/_created&gt;&lt;_modified&gt;64988476&lt;/_modified&gt;&lt;_translated_author&gt;Guo, Jia yao pin jian&lt;/_translated_author&gt;&lt;/Details&gt;&lt;Extra&gt;&lt;DBUID&gt;{1F004544-7F3B-46C7-B932-C63AA7CCA45F}&lt;/DBUID&gt;&lt;/Extra&gt;&lt;/Item&gt;&lt;/References&gt;&lt;/Group&gt;&lt;/Citation&gt;_x000a_"/>
    <w:docVar w:name="NE.Ref{FB88CD9A-086D-4745-9DC1-9F656F1FCF08}" w:val=" ADDIN NE.Ref.{FB88CD9A-086D-4745-9DC1-9F656F1FCF08}&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41&lt;/_accessed&gt;&lt;_created&gt;64986667&lt;/_created&gt;&lt;_modified&gt;64988476&lt;/_modified&gt;&lt;_translated_author&gt;Guo, Jia yao pin jian&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A508B5"/>
    <w:rsid w:val="0000316D"/>
    <w:rsid w:val="00007A01"/>
    <w:rsid w:val="00021E59"/>
    <w:rsid w:val="00026E3E"/>
    <w:rsid w:val="00030A4A"/>
    <w:rsid w:val="0004266E"/>
    <w:rsid w:val="0006761D"/>
    <w:rsid w:val="000740E3"/>
    <w:rsid w:val="0008471A"/>
    <w:rsid w:val="00093AA8"/>
    <w:rsid w:val="000C1650"/>
    <w:rsid w:val="000C31BB"/>
    <w:rsid w:val="000E6A91"/>
    <w:rsid w:val="00106FD3"/>
    <w:rsid w:val="0011459B"/>
    <w:rsid w:val="00137E45"/>
    <w:rsid w:val="0014209A"/>
    <w:rsid w:val="001573FD"/>
    <w:rsid w:val="001868E4"/>
    <w:rsid w:val="00194B7E"/>
    <w:rsid w:val="00196C60"/>
    <w:rsid w:val="001E3435"/>
    <w:rsid w:val="001F59D0"/>
    <w:rsid w:val="00206352"/>
    <w:rsid w:val="002577FA"/>
    <w:rsid w:val="00283B71"/>
    <w:rsid w:val="002B364E"/>
    <w:rsid w:val="002E4E57"/>
    <w:rsid w:val="002F4741"/>
    <w:rsid w:val="00305963"/>
    <w:rsid w:val="00321E37"/>
    <w:rsid w:val="00351211"/>
    <w:rsid w:val="003925B1"/>
    <w:rsid w:val="003A66B6"/>
    <w:rsid w:val="003C1A85"/>
    <w:rsid w:val="003C5A7D"/>
    <w:rsid w:val="003E6920"/>
    <w:rsid w:val="0040577B"/>
    <w:rsid w:val="004106E2"/>
    <w:rsid w:val="004314E6"/>
    <w:rsid w:val="004547B7"/>
    <w:rsid w:val="004A7847"/>
    <w:rsid w:val="004B3B78"/>
    <w:rsid w:val="004C17A9"/>
    <w:rsid w:val="004F559F"/>
    <w:rsid w:val="004F7128"/>
    <w:rsid w:val="005014D5"/>
    <w:rsid w:val="005151E6"/>
    <w:rsid w:val="00531B4B"/>
    <w:rsid w:val="00552FBC"/>
    <w:rsid w:val="005565AB"/>
    <w:rsid w:val="006025B2"/>
    <w:rsid w:val="00616534"/>
    <w:rsid w:val="006523D3"/>
    <w:rsid w:val="006719B2"/>
    <w:rsid w:val="006A01D7"/>
    <w:rsid w:val="006B7817"/>
    <w:rsid w:val="006C428C"/>
    <w:rsid w:val="006D4B0B"/>
    <w:rsid w:val="006E5267"/>
    <w:rsid w:val="00717CA8"/>
    <w:rsid w:val="00785342"/>
    <w:rsid w:val="00797517"/>
    <w:rsid w:val="007D09E0"/>
    <w:rsid w:val="007F3094"/>
    <w:rsid w:val="007F4722"/>
    <w:rsid w:val="00805C29"/>
    <w:rsid w:val="00830BB4"/>
    <w:rsid w:val="00832761"/>
    <w:rsid w:val="00841CE9"/>
    <w:rsid w:val="0084376F"/>
    <w:rsid w:val="0085445C"/>
    <w:rsid w:val="00876C4D"/>
    <w:rsid w:val="00877CA0"/>
    <w:rsid w:val="00884447"/>
    <w:rsid w:val="00886522"/>
    <w:rsid w:val="008A42D0"/>
    <w:rsid w:val="008B2D6A"/>
    <w:rsid w:val="008D7FAB"/>
    <w:rsid w:val="008F1EA8"/>
    <w:rsid w:val="009049E9"/>
    <w:rsid w:val="0091171E"/>
    <w:rsid w:val="0092443D"/>
    <w:rsid w:val="009672CA"/>
    <w:rsid w:val="009A2E2B"/>
    <w:rsid w:val="009A3838"/>
    <w:rsid w:val="009B0AF9"/>
    <w:rsid w:val="00A1536B"/>
    <w:rsid w:val="00A26635"/>
    <w:rsid w:val="00A42DC3"/>
    <w:rsid w:val="00A46350"/>
    <w:rsid w:val="00A508B5"/>
    <w:rsid w:val="00A73B0A"/>
    <w:rsid w:val="00A746E2"/>
    <w:rsid w:val="00AB3BB1"/>
    <w:rsid w:val="00B03084"/>
    <w:rsid w:val="00B0424B"/>
    <w:rsid w:val="00B606D7"/>
    <w:rsid w:val="00B83A68"/>
    <w:rsid w:val="00B84E01"/>
    <w:rsid w:val="00B95491"/>
    <w:rsid w:val="00BA0141"/>
    <w:rsid w:val="00BB1EE9"/>
    <w:rsid w:val="00BB3199"/>
    <w:rsid w:val="00BD50C5"/>
    <w:rsid w:val="00BE53A2"/>
    <w:rsid w:val="00BE645D"/>
    <w:rsid w:val="00C01A21"/>
    <w:rsid w:val="00C028B6"/>
    <w:rsid w:val="00C02C93"/>
    <w:rsid w:val="00C1047C"/>
    <w:rsid w:val="00C215E6"/>
    <w:rsid w:val="00C56ABC"/>
    <w:rsid w:val="00C735EB"/>
    <w:rsid w:val="00C77DE0"/>
    <w:rsid w:val="00CA3A65"/>
    <w:rsid w:val="00CA5A2B"/>
    <w:rsid w:val="00CB69E8"/>
    <w:rsid w:val="00CB7573"/>
    <w:rsid w:val="00CC2852"/>
    <w:rsid w:val="00D15ED0"/>
    <w:rsid w:val="00D37AF2"/>
    <w:rsid w:val="00D45396"/>
    <w:rsid w:val="00D460BA"/>
    <w:rsid w:val="00D5549D"/>
    <w:rsid w:val="00D77190"/>
    <w:rsid w:val="00D942E8"/>
    <w:rsid w:val="00DC71FD"/>
    <w:rsid w:val="00DD5A58"/>
    <w:rsid w:val="00DE1653"/>
    <w:rsid w:val="00DE5846"/>
    <w:rsid w:val="00DF4D40"/>
    <w:rsid w:val="00DF79F0"/>
    <w:rsid w:val="00E013B4"/>
    <w:rsid w:val="00E06A6E"/>
    <w:rsid w:val="00E17232"/>
    <w:rsid w:val="00E62E93"/>
    <w:rsid w:val="00E76AD9"/>
    <w:rsid w:val="00EA4306"/>
    <w:rsid w:val="00EB7236"/>
    <w:rsid w:val="00F12DD6"/>
    <w:rsid w:val="00F235A4"/>
    <w:rsid w:val="00F50B32"/>
    <w:rsid w:val="00F87974"/>
    <w:rsid w:val="00F93717"/>
    <w:rsid w:val="00FA3197"/>
    <w:rsid w:val="00FA38A4"/>
    <w:rsid w:val="00FC413D"/>
    <w:rsid w:val="00FD1D0C"/>
    <w:rsid w:val="00FE725A"/>
    <w:rsid w:val="00FF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B40C3C"/>
  <w14:defaultImageDpi w14:val="0"/>
  <w15:docId w15:val="{821901EA-6FB8-48B5-B014-FEADFA41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Cs w:val="22"/>
    </w:rPr>
  </w:style>
  <w:style w:type="paragraph" w:styleId="Heading1">
    <w:name w:val="heading 1"/>
    <w:basedOn w:val="ListParagraph"/>
    <w:next w:val="Normal"/>
    <w:link w:val="Heading1Char"/>
    <w:uiPriority w:val="9"/>
    <w:qFormat/>
    <w:rsid w:val="00C02C93"/>
    <w:pPr>
      <w:numPr>
        <w:numId w:val="3"/>
      </w:numPr>
      <w:spacing w:before="240" w:after="240"/>
      <w:ind w:firstLineChars="0" w:firstLine="0"/>
      <w:outlineLvl w:val="0"/>
    </w:pPr>
    <w:rPr>
      <w:b/>
      <w:bCs/>
      <w:sz w:val="32"/>
      <w:szCs w:val="36"/>
    </w:rPr>
  </w:style>
  <w:style w:type="paragraph" w:styleId="Heading2">
    <w:name w:val="heading 2"/>
    <w:basedOn w:val="Heading1"/>
    <w:next w:val="Normal"/>
    <w:link w:val="Heading2Char"/>
    <w:uiPriority w:val="9"/>
    <w:unhideWhenUsed/>
    <w:qFormat/>
    <w:rsid w:val="00C02C93"/>
    <w:pPr>
      <w:numPr>
        <w:ilvl w:val="1"/>
        <w:numId w:val="4"/>
      </w:numPr>
      <w:outlineLvl w:val="1"/>
    </w:pPr>
    <w:rPr>
      <w:sz w:val="28"/>
      <w:szCs w:val="32"/>
    </w:rPr>
  </w:style>
  <w:style w:type="paragraph" w:styleId="Heading3">
    <w:name w:val="heading 3"/>
    <w:basedOn w:val="Normal"/>
    <w:next w:val="Normal"/>
    <w:link w:val="Heading3Char"/>
    <w:uiPriority w:val="9"/>
    <w:semiHidden/>
    <w:unhideWhenUsed/>
    <w:qFormat/>
    <w:rsid w:val="001573FD"/>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C2852"/>
    <w:rPr>
      <w:rFonts w:asciiTheme="majorHAnsi" w:eastAsia="黑体" w:hAnsiTheme="majorHAnsi"/>
      <w:sz w:val="20"/>
      <w:szCs w:val="20"/>
    </w:rPr>
  </w:style>
  <w:style w:type="paragraph" w:styleId="ListParagraph">
    <w:name w:val="List Paragraph"/>
    <w:basedOn w:val="Normal"/>
    <w:uiPriority w:val="34"/>
    <w:qFormat/>
    <w:rsid w:val="00830BB4"/>
    <w:pPr>
      <w:ind w:firstLineChars="200" w:firstLine="420"/>
    </w:pPr>
  </w:style>
  <w:style w:type="table" w:styleId="TableGrid">
    <w:name w:val="Table Grid"/>
    <w:basedOn w:val="TableNormal"/>
    <w:uiPriority w:val="39"/>
    <w:rsid w:val="00602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1D0C"/>
    <w:rPr>
      <w:color w:val="808080"/>
    </w:rPr>
  </w:style>
  <w:style w:type="character" w:customStyle="1" w:styleId="Heading1Char">
    <w:name w:val="Heading 1 Char"/>
    <w:basedOn w:val="DefaultParagraphFont"/>
    <w:link w:val="Heading1"/>
    <w:uiPriority w:val="9"/>
    <w:rsid w:val="00C02C93"/>
    <w:rPr>
      <w:b/>
      <w:bCs/>
      <w:sz w:val="32"/>
      <w:szCs w:val="36"/>
    </w:rPr>
  </w:style>
  <w:style w:type="character" w:customStyle="1" w:styleId="Heading3Char">
    <w:name w:val="Heading 3 Char"/>
    <w:basedOn w:val="DefaultParagraphFont"/>
    <w:link w:val="Heading3"/>
    <w:uiPriority w:val="9"/>
    <w:semiHidden/>
    <w:rsid w:val="001573FD"/>
    <w:rPr>
      <w:b/>
      <w:bCs/>
      <w:sz w:val="32"/>
      <w:szCs w:val="32"/>
    </w:rPr>
  </w:style>
  <w:style w:type="character" w:customStyle="1" w:styleId="Heading2Char">
    <w:name w:val="Heading 2 Char"/>
    <w:basedOn w:val="DefaultParagraphFont"/>
    <w:link w:val="Heading2"/>
    <w:uiPriority w:val="9"/>
    <w:rsid w:val="00C02C93"/>
    <w:rPr>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851043">
      <w:bodyDiv w:val="1"/>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6862582">
      <w:marLeft w:val="0"/>
      <w:marRight w:val="0"/>
      <w:marTop w:val="0"/>
      <w:marBottom w:val="0"/>
      <w:divBdr>
        <w:top w:val="none" w:sz="0" w:space="0" w:color="auto"/>
        <w:left w:val="none" w:sz="0" w:space="0" w:color="auto"/>
        <w:bottom w:val="none" w:sz="0" w:space="0" w:color="auto"/>
        <w:right w:val="none" w:sz="0" w:space="0" w:color="auto"/>
      </w:divBdr>
    </w:div>
    <w:div w:id="1728331757">
      <w:bodyDiv w:val="1"/>
      <w:marLeft w:val="0"/>
      <w:marRight w:val="0"/>
      <w:marTop w:val="0"/>
      <w:marBottom w:val="0"/>
      <w:divBdr>
        <w:top w:val="none" w:sz="0" w:space="0" w:color="auto"/>
        <w:left w:val="none" w:sz="0" w:space="0" w:color="auto"/>
        <w:bottom w:val="none" w:sz="0" w:space="0" w:color="auto"/>
        <w:right w:val="none" w:sz="0" w:space="0" w:color="auto"/>
      </w:divBdr>
    </w:div>
    <w:div w:id="207195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4ACC1-E333-48F6-8EA1-D9FDC5BB9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2693</TotalTime>
  <Pages>9</Pages>
  <Words>3740</Words>
  <Characters>5727</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NE.Ref</dc:description>
  <cp:lastModifiedBy>Zeng, ZY Zhiyu</cp:lastModifiedBy>
  <cp:revision>27</cp:revision>
  <dcterms:created xsi:type="dcterms:W3CDTF">2023-07-30T08:49:00Z</dcterms:created>
  <dcterms:modified xsi:type="dcterms:W3CDTF">2025-01-22T07:27:00Z</dcterms:modified>
</cp:coreProperties>
</file>