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9536A" w14:textId="65882C38" w:rsidR="00820A47" w:rsidRPr="00F67527" w:rsidRDefault="00CA6F99" w:rsidP="00F67527">
      <w:pPr>
        <w:pStyle w:val="Heading1"/>
      </w:pPr>
      <w:r w:rsidRPr="00F67527">
        <w:rPr>
          <w:rFonts w:hint="eastAsia"/>
        </w:rPr>
        <w:t>两组率比较的非劣效</w:t>
      </w:r>
      <w:r w:rsidRPr="00F67527">
        <w:t>设计</w:t>
      </w:r>
    </w:p>
    <w:p w14:paraId="0876EA3E" w14:textId="336CE928" w:rsidR="003922B2" w:rsidRDefault="003922B2" w:rsidP="0027694B">
      <w:pPr>
        <w:ind w:firstLineChars="200" w:firstLine="420"/>
      </w:pPr>
      <w:r>
        <w:rPr>
          <w:rFonts w:hint="eastAsia"/>
        </w:rPr>
        <w:t>与</w:t>
      </w:r>
      <w:r w:rsidRPr="00595EFB">
        <w:rPr>
          <w:rFonts w:hint="eastAsia"/>
          <w:highlight w:val="yellow"/>
        </w:rPr>
        <w:t>第4章</w:t>
      </w:r>
      <w:r>
        <w:rPr>
          <w:rFonts w:hint="eastAsia"/>
        </w:rPr>
        <w:t>两组率的</w:t>
      </w:r>
      <w:r w:rsidR="00F67527">
        <w:rPr>
          <w:rFonts w:hint="eastAsia"/>
        </w:rPr>
        <w:t>差异性</w:t>
      </w:r>
      <w:r>
        <w:rPr>
          <w:rFonts w:hint="eastAsia"/>
        </w:rPr>
        <w:t>比较一样，两组率的</w:t>
      </w:r>
      <w:r w:rsidR="00E15B24">
        <w:rPr>
          <w:rFonts w:hint="eastAsia"/>
        </w:rPr>
        <w:t>非劣效</w:t>
      </w:r>
      <w:r>
        <w:rPr>
          <w:rFonts w:hint="eastAsia"/>
        </w:rPr>
        <w:t>比较也有独立方差法与合并方差法。</w:t>
      </w:r>
      <w:r w:rsidR="0027694B">
        <w:rPr>
          <w:rFonts w:hint="eastAsia"/>
        </w:rPr>
        <w:t>独立方差法且两组样本量相等时</w:t>
      </w:r>
      <w:r w:rsidR="007A43CD">
        <w:fldChar w:fldCharType="begin"/>
      </w:r>
      <w:r w:rsidR="0046144A">
        <w:instrText xml:space="preserve"> ADDIN NE.Ref.{03781425-7049-4832-B215-2B1548EDEBEF}</w:instrText>
      </w:r>
      <w:r w:rsidR="007A43CD">
        <w:fldChar w:fldCharType="separate"/>
      </w:r>
      <w:r w:rsidR="00507F63">
        <w:rPr>
          <w:rFonts w:ascii="等线" w:eastAsia="等线" w:cs="等线"/>
          <w:color w:val="000000"/>
          <w:kern w:val="0"/>
          <w:szCs w:val="21"/>
          <w:vertAlign w:val="superscript"/>
        </w:rPr>
        <w:t>1-4</w:t>
      </w:r>
      <w:r w:rsidR="007A43CD">
        <w:fldChar w:fldCharType="end"/>
      </w:r>
      <w:r w:rsidR="0027694B">
        <w:rPr>
          <w:rFonts w:hint="eastAsia"/>
        </w:rPr>
        <w:t>：</w:t>
      </w:r>
    </w:p>
    <w:p w14:paraId="7D6D9F96" w14:textId="3B71F9A7" w:rsidR="00CA6F99" w:rsidRPr="0027694B" w:rsidRDefault="00015595" w:rsidP="0027694B">
      <w:pPr>
        <w:jc w:val="center"/>
        <w:rPr>
          <w:iCs/>
          <w:color w:val="000000" w:themeColor="text1"/>
          <w:sz w:val="22"/>
        </w:rPr>
      </w:pPr>
      <m:oMath>
        <m:sSub>
          <m:sSubPr>
            <m:ctrlPr>
              <w:rPr>
                <w:rFonts w:ascii="Cambria Math" w:hAnsi="Cambria Math"/>
                <w:i/>
                <w:color w:val="000000" w:themeColor="text1"/>
                <w:sz w:val="22"/>
              </w:rPr>
            </m:ctrlPr>
          </m:sSubPr>
          <m:e>
            <m:r>
              <w:rPr>
                <w:rFonts w:ascii="Cambria Math" w:hAnsi="Cambria Math"/>
                <w:color w:val="000000" w:themeColor="text1"/>
                <w:sz w:val="22"/>
              </w:rPr>
              <m:t>n</m:t>
            </m:r>
          </m:e>
          <m:sub>
            <m:r>
              <w:rPr>
                <w:rFonts w:ascii="Cambria Math" w:hAnsi="Cambria Math"/>
                <w:color w:val="000000" w:themeColor="text1"/>
                <w:sz w:val="22"/>
              </w:rPr>
              <m:t>C</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n</m:t>
            </m:r>
          </m:e>
          <m:sub>
            <m:r>
              <w:rPr>
                <w:rFonts w:ascii="Cambria Math" w:hAnsi="Cambria Math" w:hint="eastAsia"/>
                <w:color w:val="000000" w:themeColor="text1"/>
                <w:sz w:val="22"/>
              </w:rPr>
              <m:t>T</m:t>
            </m:r>
          </m:sub>
        </m:sSub>
        <m:r>
          <w:rPr>
            <w:rFonts w:ascii="Cambria Math" w:hAnsi="Cambria Math"/>
            <w:color w:val="000000" w:themeColor="text1"/>
            <w:sz w:val="22"/>
          </w:rPr>
          <m:t>=</m:t>
        </m:r>
        <m:f>
          <m:fPr>
            <m:ctrlPr>
              <w:rPr>
                <w:rFonts w:ascii="Cambria Math" w:hAnsi="Cambria Math"/>
                <w:i/>
                <w:iCs/>
                <w:color w:val="000000" w:themeColor="text1"/>
                <w:sz w:val="22"/>
              </w:rPr>
            </m:ctrlPr>
          </m:fPr>
          <m:num>
            <m:sSup>
              <m:sSupPr>
                <m:ctrlPr>
                  <w:rPr>
                    <w:rFonts w:ascii="Cambria Math" w:hAnsi="Cambria Math"/>
                    <w:i/>
                    <w:iCs/>
                    <w:color w:val="000000" w:themeColor="text1"/>
                    <w:sz w:val="22"/>
                  </w:rPr>
                </m:ctrlPr>
              </m:sSupPr>
              <m:e>
                <m:d>
                  <m:dPr>
                    <m:ctrlPr>
                      <w:rPr>
                        <w:rFonts w:ascii="Cambria Math" w:hAnsi="Cambria Math"/>
                        <w:i/>
                        <w:color w:val="000000" w:themeColor="text1"/>
                        <w:sz w:val="22"/>
                      </w:rPr>
                    </m:ctrlPr>
                  </m:dPr>
                  <m:e>
                    <m:sSub>
                      <m:sSubPr>
                        <m:ctrlPr>
                          <w:rPr>
                            <w:rFonts w:ascii="Cambria Math" w:hAnsi="Cambria Math"/>
                            <w:i/>
                            <w:iCs/>
                            <w:color w:val="000000" w:themeColor="text1"/>
                            <w:sz w:val="22"/>
                          </w:rPr>
                        </m:ctrlPr>
                      </m:sSubPr>
                      <m:e>
                        <m:r>
                          <w:rPr>
                            <w:rFonts w:ascii="Cambria Math" w:hAnsi="Cambria Math"/>
                            <w:color w:val="000000" w:themeColor="text1"/>
                            <w:sz w:val="22"/>
                          </w:rPr>
                          <m:t>Z</m:t>
                        </m:r>
                      </m:e>
                      <m:sub>
                        <m:f>
                          <m:fPr>
                            <m:type m:val="lin"/>
                            <m:ctrlPr>
                              <w:rPr>
                                <w:rFonts w:ascii="Cambria Math" w:hAnsi="Cambria Math"/>
                                <w:i/>
                                <w:iCs/>
                                <w:color w:val="000000" w:themeColor="text1"/>
                                <w:sz w:val="22"/>
                              </w:rPr>
                            </m:ctrlPr>
                          </m:fPr>
                          <m:num>
                            <m:r>
                              <w:rPr>
                                <w:rFonts w:ascii="Cambria Math" w:hAnsi="Cambria Math"/>
                                <w:color w:val="000000" w:themeColor="text1"/>
                                <w:sz w:val="22"/>
                              </w:rPr>
                              <m:t>1-α</m:t>
                            </m:r>
                          </m:num>
                          <m:den>
                            <m:r>
                              <w:rPr>
                                <w:rFonts w:ascii="Cambria Math" w:hAnsi="Cambria Math"/>
                                <w:color w:val="000000" w:themeColor="text1"/>
                                <w:sz w:val="22"/>
                              </w:rPr>
                              <m:t>2</m:t>
                            </m:r>
                          </m:den>
                        </m:f>
                      </m:sub>
                    </m:sSub>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Z</m:t>
                        </m:r>
                      </m:e>
                      <m:sub>
                        <m:r>
                          <w:rPr>
                            <w:rFonts w:ascii="Cambria Math" w:hAnsi="Cambria Math"/>
                            <w:color w:val="000000" w:themeColor="text1"/>
                            <w:sz w:val="22"/>
                          </w:rPr>
                          <m:t>1-β</m:t>
                        </m:r>
                      </m:sub>
                    </m:sSub>
                  </m:e>
                </m:d>
              </m:e>
              <m:sup>
                <m:r>
                  <w:rPr>
                    <w:rFonts w:ascii="Cambria Math" w:hAnsi="Cambria Math"/>
                    <w:color w:val="000000" w:themeColor="text1"/>
                    <w:sz w:val="22"/>
                  </w:rPr>
                  <m:t>2</m:t>
                </m:r>
              </m:sup>
            </m:sSup>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d>
              <m:dPr>
                <m:ctrlPr>
                  <w:rPr>
                    <w:rFonts w:ascii="Cambria Math" w:hAnsi="Cambria Math"/>
                    <w:i/>
                    <w:iCs/>
                    <w:color w:val="000000" w:themeColor="text1"/>
                    <w:sz w:val="22"/>
                  </w:rPr>
                </m:ctrlPr>
              </m:dPr>
              <m:e>
                <m:r>
                  <w:rPr>
                    <w:rFonts w:ascii="Cambria Math" w:hAnsi="Cambria Math"/>
                    <w:color w:val="000000" w:themeColor="text1"/>
                    <w:sz w:val="22"/>
                  </w:rPr>
                  <m:t>1-</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e>
            </m:d>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d>
              <m:dPr>
                <m:ctrlPr>
                  <w:rPr>
                    <w:rFonts w:ascii="Cambria Math" w:hAnsi="Cambria Math"/>
                    <w:i/>
                    <w:iCs/>
                    <w:color w:val="000000" w:themeColor="text1"/>
                    <w:sz w:val="22"/>
                  </w:rPr>
                </m:ctrlPr>
              </m:dPr>
              <m:e>
                <m:r>
                  <w:rPr>
                    <w:rFonts w:ascii="Cambria Math" w:hAnsi="Cambria Math"/>
                    <w:color w:val="000000" w:themeColor="text1"/>
                    <w:sz w:val="22"/>
                  </w:rPr>
                  <m:t>1-</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e>
            </m:d>
            <m:r>
              <w:rPr>
                <w:rFonts w:ascii="Cambria Math" w:hAnsi="Cambria Math"/>
                <w:color w:val="000000" w:themeColor="text1"/>
                <w:sz w:val="22"/>
              </w:rPr>
              <m:t>]</m:t>
            </m:r>
          </m:num>
          <m:den>
            <m:sSup>
              <m:sSupPr>
                <m:ctrlPr>
                  <w:rPr>
                    <w:rFonts w:ascii="Cambria Math" w:hAnsi="Cambria Math"/>
                    <w:i/>
                    <w:iCs/>
                    <w:color w:val="000000" w:themeColor="text1"/>
                    <w:sz w:val="22"/>
                  </w:rPr>
                </m:ctrlPr>
              </m:sSupPr>
              <m:e>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r>
                  <w:rPr>
                    <w:rFonts w:ascii="Cambria Math" w:hAnsi="Cambria Math"/>
                    <w:color w:val="000000" w:themeColor="text1"/>
                    <w:sz w:val="22"/>
                  </w:rPr>
                  <m:t>-∆)</m:t>
                </m:r>
              </m:e>
              <m:sup>
                <m:r>
                  <w:rPr>
                    <w:rFonts w:ascii="Cambria Math" w:hAnsi="Cambria Math"/>
                    <w:color w:val="000000" w:themeColor="text1"/>
                    <w:sz w:val="22"/>
                  </w:rPr>
                  <m:t>2</m:t>
                </m:r>
              </m:sup>
            </m:sSup>
          </m:den>
        </m:f>
      </m:oMath>
      <w:r w:rsidR="0027694B">
        <w:rPr>
          <w:rFonts w:hint="eastAsia"/>
          <w:iCs/>
          <w:color w:val="000000" w:themeColor="text1"/>
          <w:sz w:val="22"/>
        </w:rPr>
        <w:t>（7</w:t>
      </w:r>
      <w:r w:rsidR="0027694B">
        <w:rPr>
          <w:iCs/>
          <w:color w:val="000000" w:themeColor="text1"/>
          <w:sz w:val="22"/>
        </w:rPr>
        <w:t>-1</w:t>
      </w:r>
      <w:r w:rsidR="0027694B">
        <w:rPr>
          <w:rFonts w:hint="eastAsia"/>
          <w:iCs/>
          <w:color w:val="000000" w:themeColor="text1"/>
          <w:sz w:val="22"/>
        </w:rPr>
        <w:t>）</w:t>
      </w:r>
    </w:p>
    <w:p w14:paraId="46C36EC1" w14:textId="3036A2F2" w:rsidR="0027694B" w:rsidRDefault="00595EFB">
      <w:pPr>
        <w:rPr>
          <w:iCs/>
          <w:color w:val="000000" w:themeColor="text1"/>
          <w:sz w:val="22"/>
        </w:rPr>
      </w:pPr>
      <w:r>
        <w:rPr>
          <w:rFonts w:hint="eastAsia"/>
          <w:iCs/>
          <w:color w:val="000000" w:themeColor="text1"/>
          <w:sz w:val="22"/>
        </w:rPr>
        <w:t xml:space="preserve"> </w:t>
      </w:r>
      <w:r>
        <w:rPr>
          <w:iCs/>
          <w:color w:val="000000" w:themeColor="text1"/>
          <w:sz w:val="22"/>
        </w:rPr>
        <w:t xml:space="preserve">   </w:t>
      </w:r>
    </w:p>
    <w:p w14:paraId="3B15E672" w14:textId="4B0920D4" w:rsidR="00595EFB" w:rsidRDefault="00595EFB">
      <w:pPr>
        <w:rPr>
          <w:iCs/>
          <w:color w:val="000000" w:themeColor="text1"/>
          <w:sz w:val="22"/>
        </w:rPr>
      </w:pPr>
      <w:r>
        <w:rPr>
          <w:iCs/>
          <w:color w:val="000000" w:themeColor="text1"/>
          <w:sz w:val="22"/>
        </w:rPr>
        <w:t xml:space="preserve">    </w:t>
      </w:r>
      <w:r>
        <w:rPr>
          <w:rFonts w:hint="eastAsia"/>
          <w:iCs/>
          <w:color w:val="000000" w:themeColor="text1"/>
          <w:sz w:val="22"/>
        </w:rPr>
        <w:t>其中C、T分别代表对照组和试验组，</w:t>
      </w:r>
      <w:r>
        <w:rPr>
          <w:rFonts w:asciiTheme="minorEastAsia" w:hAnsiTheme="minorEastAsia" w:hint="eastAsia"/>
          <w:iCs/>
          <w:color w:val="000000" w:themeColor="text1"/>
          <w:sz w:val="22"/>
        </w:rPr>
        <w:t>Δ</w:t>
      </w:r>
      <w:r>
        <w:rPr>
          <w:rFonts w:hint="eastAsia"/>
          <w:iCs/>
          <w:color w:val="000000" w:themeColor="text1"/>
          <w:sz w:val="22"/>
        </w:rPr>
        <w:t>为非劣效界值。</w:t>
      </w:r>
    </w:p>
    <w:p w14:paraId="485641E2" w14:textId="76BE4F36" w:rsidR="0027694B" w:rsidRDefault="00595EFB" w:rsidP="0027694B">
      <w:pPr>
        <w:ind w:firstLineChars="200" w:firstLine="440"/>
      </w:pPr>
      <w:r>
        <w:rPr>
          <w:rFonts w:hint="eastAsia"/>
          <w:iCs/>
          <w:color w:val="000000" w:themeColor="text1"/>
          <w:sz w:val="22"/>
        </w:rPr>
        <w:t>如果</w:t>
      </w:r>
      <w:r w:rsidR="0027694B">
        <w:rPr>
          <w:rFonts w:hint="eastAsia"/>
          <w:iCs/>
          <w:color w:val="000000" w:themeColor="text1"/>
          <w:sz w:val="22"/>
        </w:rPr>
        <w:t>两组样本量不等，</w:t>
      </w:r>
      <w:r w:rsidR="00F67527">
        <w:rPr>
          <w:rFonts w:hint="eastAsia"/>
        </w:rPr>
        <w:t>假设试验组与对照组按r</w:t>
      </w:r>
      <w:r w:rsidR="00F67527">
        <w:t>:1</w:t>
      </w:r>
      <w:r w:rsidR="00F67527">
        <w:rPr>
          <w:rFonts w:hint="eastAsia"/>
        </w:rPr>
        <w:t>分配</w:t>
      </w:r>
      <w:r w:rsidR="001B6B62">
        <w:rPr>
          <w:iCs/>
          <w:color w:val="000000" w:themeColor="text1"/>
          <w:sz w:val="22"/>
        </w:rPr>
        <w:fldChar w:fldCharType="begin"/>
      </w:r>
      <w:r w:rsidR="0046144A">
        <w:rPr>
          <w:iCs/>
          <w:color w:val="000000" w:themeColor="text1"/>
          <w:sz w:val="22"/>
        </w:rPr>
        <w:instrText xml:space="preserve"> ADDIN NE.Ref.{564834E5-73B0-47AE-84E5-D07BE52EE167}</w:instrText>
      </w:r>
      <w:r w:rsidR="001B6B62">
        <w:rPr>
          <w:iCs/>
          <w:color w:val="000000" w:themeColor="text1"/>
          <w:sz w:val="22"/>
        </w:rPr>
        <w:fldChar w:fldCharType="separate"/>
      </w:r>
      <w:r w:rsidR="00507F63">
        <w:rPr>
          <w:rFonts w:ascii="等线" w:eastAsia="等线" w:cs="等线"/>
          <w:color w:val="000000"/>
          <w:kern w:val="0"/>
          <w:sz w:val="22"/>
          <w:vertAlign w:val="superscript"/>
        </w:rPr>
        <w:t>3, 5</w:t>
      </w:r>
      <w:r w:rsidR="001B6B62">
        <w:rPr>
          <w:iCs/>
          <w:color w:val="000000" w:themeColor="text1"/>
          <w:sz w:val="22"/>
        </w:rPr>
        <w:fldChar w:fldCharType="end"/>
      </w:r>
      <w:r w:rsidR="0027694B">
        <w:rPr>
          <w:rFonts w:hint="eastAsia"/>
          <w:iCs/>
          <w:color w:val="000000" w:themeColor="text1"/>
          <w:sz w:val="22"/>
        </w:rPr>
        <w:t>：</w:t>
      </w:r>
    </w:p>
    <w:p w14:paraId="3AC906C9" w14:textId="1D2894B6" w:rsidR="00CA6F99" w:rsidRPr="00CA6F99" w:rsidRDefault="00015595" w:rsidP="0027694B">
      <w:pPr>
        <w:jc w:val="center"/>
        <w:rPr>
          <w:iCs/>
          <w:color w:val="000000" w:themeColor="text1"/>
          <w:sz w:val="22"/>
        </w:rPr>
      </w:pPr>
      <m:oMath>
        <m:sSub>
          <m:sSubPr>
            <m:ctrlPr>
              <w:rPr>
                <w:rFonts w:ascii="Cambria Math" w:hAnsi="Cambria Math"/>
                <w:i/>
                <w:color w:val="000000" w:themeColor="text1"/>
                <w:sz w:val="22"/>
              </w:rPr>
            </m:ctrlPr>
          </m:sSubPr>
          <m:e>
            <m:r>
              <w:rPr>
                <w:rFonts w:ascii="Cambria Math" w:hAnsi="Cambria Math"/>
                <w:color w:val="000000" w:themeColor="text1"/>
                <w:sz w:val="22"/>
              </w:rPr>
              <m:t>n</m:t>
            </m:r>
          </m:e>
          <m:sub>
            <m:r>
              <w:rPr>
                <w:rFonts w:ascii="Cambria Math" w:hAnsi="Cambria Math"/>
                <w:color w:val="000000" w:themeColor="text1"/>
                <w:sz w:val="22"/>
              </w:rPr>
              <m:t>C</m:t>
            </m:r>
          </m:sub>
        </m:sSub>
        <m:r>
          <w:rPr>
            <w:rFonts w:ascii="Cambria Math" w:hAnsi="Cambria Math"/>
            <w:color w:val="000000" w:themeColor="text1"/>
            <w:sz w:val="22"/>
          </w:rPr>
          <m:t>=</m:t>
        </m:r>
        <m:f>
          <m:fPr>
            <m:ctrlPr>
              <w:rPr>
                <w:rFonts w:ascii="Cambria Math" w:hAnsi="Cambria Math"/>
                <w:i/>
                <w:iCs/>
                <w:color w:val="000000" w:themeColor="text1"/>
                <w:sz w:val="22"/>
              </w:rPr>
            </m:ctrlPr>
          </m:fPr>
          <m:num>
            <m:sSup>
              <m:sSupPr>
                <m:ctrlPr>
                  <w:rPr>
                    <w:rFonts w:ascii="Cambria Math" w:hAnsi="Cambria Math"/>
                    <w:i/>
                    <w:iCs/>
                    <w:color w:val="000000" w:themeColor="text1"/>
                    <w:sz w:val="22"/>
                  </w:rPr>
                </m:ctrlPr>
              </m:sSupPr>
              <m:e>
                <m:d>
                  <m:dPr>
                    <m:ctrlPr>
                      <w:rPr>
                        <w:rFonts w:ascii="Cambria Math" w:hAnsi="Cambria Math"/>
                        <w:i/>
                        <w:color w:val="000000" w:themeColor="text1"/>
                        <w:sz w:val="22"/>
                      </w:rPr>
                    </m:ctrlPr>
                  </m:dPr>
                  <m:e>
                    <m:sSub>
                      <m:sSubPr>
                        <m:ctrlPr>
                          <w:rPr>
                            <w:rFonts w:ascii="Cambria Math" w:hAnsi="Cambria Math"/>
                            <w:i/>
                            <w:iCs/>
                            <w:color w:val="000000" w:themeColor="text1"/>
                            <w:sz w:val="22"/>
                          </w:rPr>
                        </m:ctrlPr>
                      </m:sSubPr>
                      <m:e>
                        <m:r>
                          <w:rPr>
                            <w:rFonts w:ascii="Cambria Math" w:hAnsi="Cambria Math"/>
                            <w:color w:val="000000" w:themeColor="text1"/>
                            <w:sz w:val="22"/>
                          </w:rPr>
                          <m:t>Z</m:t>
                        </m:r>
                      </m:e>
                      <m:sub>
                        <m:f>
                          <m:fPr>
                            <m:type m:val="lin"/>
                            <m:ctrlPr>
                              <w:rPr>
                                <w:rFonts w:ascii="Cambria Math" w:hAnsi="Cambria Math"/>
                                <w:i/>
                                <w:iCs/>
                                <w:color w:val="000000" w:themeColor="text1"/>
                                <w:sz w:val="22"/>
                              </w:rPr>
                            </m:ctrlPr>
                          </m:fPr>
                          <m:num>
                            <m:r>
                              <w:rPr>
                                <w:rFonts w:ascii="Cambria Math" w:hAnsi="Cambria Math"/>
                                <w:color w:val="000000" w:themeColor="text1"/>
                                <w:sz w:val="22"/>
                              </w:rPr>
                              <m:t>1-α</m:t>
                            </m:r>
                          </m:num>
                          <m:den>
                            <m:r>
                              <w:rPr>
                                <w:rFonts w:ascii="Cambria Math" w:hAnsi="Cambria Math"/>
                                <w:color w:val="000000" w:themeColor="text1"/>
                                <w:sz w:val="22"/>
                              </w:rPr>
                              <m:t>2</m:t>
                            </m:r>
                          </m:den>
                        </m:f>
                      </m:sub>
                    </m:sSub>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Z</m:t>
                        </m:r>
                      </m:e>
                      <m:sub>
                        <m:r>
                          <w:rPr>
                            <w:rFonts w:ascii="Cambria Math" w:hAnsi="Cambria Math"/>
                            <w:color w:val="000000" w:themeColor="text1"/>
                            <w:sz w:val="22"/>
                          </w:rPr>
                          <m:t>1-β</m:t>
                        </m:r>
                      </m:sub>
                    </m:sSub>
                  </m:e>
                </m:d>
              </m:e>
              <m:sup>
                <m:r>
                  <w:rPr>
                    <w:rFonts w:ascii="Cambria Math" w:hAnsi="Cambria Math"/>
                    <w:color w:val="000000" w:themeColor="text1"/>
                    <w:sz w:val="22"/>
                  </w:rPr>
                  <m:t>2</m:t>
                </m:r>
              </m:sup>
            </m:sSup>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d>
              <m:dPr>
                <m:ctrlPr>
                  <w:rPr>
                    <w:rFonts w:ascii="Cambria Math" w:hAnsi="Cambria Math"/>
                    <w:i/>
                    <w:iCs/>
                    <w:color w:val="000000" w:themeColor="text1"/>
                    <w:sz w:val="22"/>
                  </w:rPr>
                </m:ctrlPr>
              </m:dPr>
              <m:e>
                <m:r>
                  <w:rPr>
                    <w:rFonts w:ascii="Cambria Math" w:hAnsi="Cambria Math"/>
                    <w:color w:val="000000" w:themeColor="text1"/>
                    <w:sz w:val="22"/>
                  </w:rPr>
                  <m:t>1-</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e>
            </m:d>
            <m:r>
              <w:rPr>
                <w:rFonts w:ascii="Cambria Math" w:hAnsi="Cambria Math"/>
                <w:color w:val="000000" w:themeColor="text1"/>
                <w:sz w:val="22"/>
              </w:rPr>
              <m:t>+</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d>
              <m:dPr>
                <m:ctrlPr>
                  <w:rPr>
                    <w:rFonts w:ascii="Cambria Math" w:hAnsi="Cambria Math"/>
                    <w:i/>
                    <w:iCs/>
                    <w:color w:val="000000" w:themeColor="text1"/>
                    <w:sz w:val="22"/>
                  </w:rPr>
                </m:ctrlPr>
              </m:dPr>
              <m:e>
                <m:r>
                  <w:rPr>
                    <w:rFonts w:ascii="Cambria Math" w:hAnsi="Cambria Math"/>
                    <w:color w:val="000000" w:themeColor="text1"/>
                    <w:sz w:val="22"/>
                  </w:rPr>
                  <m:t>1-</m:t>
                </m:r>
                <m:sSub>
                  <m:sSubPr>
                    <m:ctrlPr>
                      <w:rPr>
                        <w:rFonts w:ascii="Cambria Math" w:hAnsi="Cambria Math"/>
                        <w:i/>
                        <w:iCs/>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e>
            </m:d>
            <m:r>
              <w:rPr>
                <w:rFonts w:ascii="Cambria Math" w:hAnsi="Cambria Math"/>
                <w:color w:val="000000" w:themeColor="text1"/>
                <w:sz w:val="22"/>
              </w:rPr>
              <m:t>/r]</m:t>
            </m:r>
          </m:num>
          <m:den>
            <m:sSup>
              <m:sSupPr>
                <m:ctrlPr>
                  <w:rPr>
                    <w:rFonts w:ascii="Cambria Math" w:hAnsi="Cambria Math"/>
                    <w:i/>
                    <w:iCs/>
                    <w:color w:val="000000" w:themeColor="text1"/>
                    <w:sz w:val="22"/>
                  </w:rPr>
                </m:ctrlPr>
              </m:sSupPr>
              <m:e>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T</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π</m:t>
                    </m:r>
                  </m:e>
                  <m:sub>
                    <m:r>
                      <w:rPr>
                        <w:rFonts w:ascii="Cambria Math" w:hAnsi="Cambria Math"/>
                        <w:color w:val="000000" w:themeColor="text1"/>
                        <w:sz w:val="22"/>
                      </w:rPr>
                      <m:t>C</m:t>
                    </m:r>
                  </m:sub>
                </m:sSub>
                <m:r>
                  <w:rPr>
                    <w:rFonts w:ascii="Cambria Math" w:hAnsi="Cambria Math"/>
                    <w:color w:val="000000" w:themeColor="text1"/>
                    <w:sz w:val="22"/>
                  </w:rPr>
                  <m:t>-∆)</m:t>
                </m:r>
              </m:e>
              <m:sup>
                <m:r>
                  <w:rPr>
                    <w:rFonts w:ascii="Cambria Math" w:hAnsi="Cambria Math"/>
                    <w:color w:val="000000" w:themeColor="text1"/>
                    <w:sz w:val="22"/>
                  </w:rPr>
                  <m:t>2</m:t>
                </m:r>
              </m:sup>
            </m:sSup>
          </m:den>
        </m:f>
      </m:oMath>
      <w:r w:rsidR="0027694B">
        <w:rPr>
          <w:rFonts w:hint="eastAsia"/>
          <w:iCs/>
          <w:color w:val="000000" w:themeColor="text1"/>
          <w:sz w:val="22"/>
        </w:rPr>
        <w:t>（7</w:t>
      </w:r>
      <w:r w:rsidR="0027694B">
        <w:rPr>
          <w:iCs/>
          <w:color w:val="000000" w:themeColor="text1"/>
          <w:sz w:val="22"/>
        </w:rPr>
        <w:t>-2</w:t>
      </w:r>
      <w:r w:rsidR="0027694B">
        <w:rPr>
          <w:rFonts w:hint="eastAsia"/>
          <w:iCs/>
          <w:color w:val="000000" w:themeColor="text1"/>
          <w:sz w:val="22"/>
        </w:rPr>
        <w:t>）</w:t>
      </w:r>
    </w:p>
    <w:p w14:paraId="127A96D6" w14:textId="2B7E90DE" w:rsidR="00CA6F99" w:rsidRDefault="00015595">
      <w:pPr>
        <w:rPr>
          <w:iCs/>
          <w:color w:val="000000" w:themeColor="text1"/>
          <w:sz w:val="22"/>
        </w:rPr>
      </w:pPr>
      <m:oMathPara>
        <m:oMath>
          <m:sSub>
            <m:sSubPr>
              <m:ctrlPr>
                <w:rPr>
                  <w:rFonts w:ascii="Cambria Math" w:hAnsi="Cambria Math"/>
                  <w:i/>
                </w:rPr>
              </m:ctrlPr>
            </m:sSubPr>
            <m:e>
              <m:r>
                <w:rPr>
                  <w:rFonts w:ascii="Cambria Math" w:hAnsi="Cambria Math"/>
                </w:rPr>
                <m:t>n</m:t>
              </m:r>
            </m:e>
            <m:sub>
              <m:r>
                <w:rPr>
                  <w:rFonts w:ascii="Cambria Math" w:hAnsi="Cambria Math" w:hint="eastAsia"/>
                </w:rPr>
                <m:t>T</m:t>
              </m:r>
            </m:sub>
          </m:sSub>
          <m:r>
            <w:rPr>
              <w:rFonts w:ascii="Cambria Math" w:hAnsi="Cambria Math" w:hint="eastAsia"/>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hint="eastAsia"/>
            </w:rPr>
            <m:t>r</m:t>
          </m:r>
        </m:oMath>
      </m:oMathPara>
    </w:p>
    <w:p w14:paraId="1762C462" w14:textId="507D0518" w:rsidR="0027694B" w:rsidRDefault="0027694B" w:rsidP="0027694B">
      <w:pPr>
        <w:ind w:firstLineChars="200" w:firstLine="440"/>
        <w:rPr>
          <w:iCs/>
          <w:color w:val="000000" w:themeColor="text1"/>
          <w:sz w:val="22"/>
        </w:rPr>
      </w:pPr>
      <w:r>
        <w:rPr>
          <w:rFonts w:hint="eastAsia"/>
          <w:iCs/>
          <w:color w:val="000000" w:themeColor="text1"/>
          <w:sz w:val="22"/>
        </w:rPr>
        <w:t>合并方差法且两组样本量相</w:t>
      </w:r>
      <w:r w:rsidRPr="00B2041E">
        <w:rPr>
          <w:rFonts w:hint="eastAsia"/>
          <w:iCs/>
          <w:color w:val="000000" w:themeColor="text1"/>
          <w:sz w:val="22"/>
        </w:rPr>
        <w:t>等</w:t>
      </w:r>
      <w:r w:rsidR="00B2041E">
        <w:rPr>
          <w:iCs/>
          <w:color w:val="000000" w:themeColor="text1"/>
          <w:sz w:val="22"/>
        </w:rPr>
        <w:fldChar w:fldCharType="begin"/>
      </w:r>
      <w:r w:rsidR="00B2041E">
        <w:rPr>
          <w:iCs/>
          <w:color w:val="000000" w:themeColor="text1"/>
          <w:sz w:val="22"/>
        </w:rPr>
        <w:instrText xml:space="preserve"> ADDIN NE.Ref.{CE1ED6BA-0766-4038-999B-FA94A39E13F7}</w:instrText>
      </w:r>
      <w:r w:rsidR="00B2041E">
        <w:rPr>
          <w:iCs/>
          <w:color w:val="000000" w:themeColor="text1"/>
          <w:sz w:val="22"/>
        </w:rPr>
        <w:fldChar w:fldCharType="separate"/>
      </w:r>
      <w:r w:rsidR="00507F63">
        <w:rPr>
          <w:rFonts w:ascii="等线" w:eastAsia="等线" w:cs="等线"/>
          <w:color w:val="000000"/>
          <w:kern w:val="0"/>
          <w:sz w:val="22"/>
          <w:vertAlign w:val="superscript"/>
        </w:rPr>
        <w:t>6</w:t>
      </w:r>
      <w:r w:rsidR="00B2041E">
        <w:rPr>
          <w:iCs/>
          <w:color w:val="000000" w:themeColor="text1"/>
          <w:sz w:val="22"/>
        </w:rPr>
        <w:fldChar w:fldCharType="end"/>
      </w:r>
      <w:r>
        <w:rPr>
          <w:rFonts w:hint="eastAsia"/>
          <w:iCs/>
          <w:color w:val="000000" w:themeColor="text1"/>
          <w:sz w:val="22"/>
        </w:rPr>
        <w:t>：</w:t>
      </w:r>
    </w:p>
    <w:bookmarkStart w:id="0" w:name="_Hlk136978454"/>
    <w:p w14:paraId="0E12DBD2" w14:textId="1A6268AE" w:rsidR="00CA6F99" w:rsidRDefault="00015595" w:rsidP="0027694B">
      <w:pPr>
        <w:jc w:val="center"/>
      </w:pP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color w:val="000000" w:themeColor="text1"/>
            <w:sz w:val="22"/>
          </w:rPr>
          <m:t>=</m:t>
        </m:r>
        <m:sSub>
          <m:sSubPr>
            <m:ctrlPr>
              <w:rPr>
                <w:rFonts w:ascii="Cambria Math" w:hAnsi="Cambria Math"/>
                <w:i/>
                <w:color w:val="000000" w:themeColor="text1"/>
                <w:sz w:val="22"/>
              </w:rPr>
            </m:ctrlPr>
          </m:sSubPr>
          <m:e>
            <m:r>
              <w:rPr>
                <w:rFonts w:ascii="Cambria Math" w:hAnsi="Cambria Math"/>
                <w:color w:val="000000" w:themeColor="text1"/>
                <w:sz w:val="22"/>
              </w:rPr>
              <m:t>n</m:t>
            </m:r>
          </m:e>
          <m:sub>
            <m:r>
              <w:rPr>
                <w:rFonts w:ascii="Cambria Math" w:hAnsi="Cambria Math" w:hint="eastAsia"/>
                <w:color w:val="000000" w:themeColor="text1"/>
                <w:sz w:val="22"/>
              </w:rPr>
              <m:t>T</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ad>
                      <m:radPr>
                        <m:degHide m:val="1"/>
                        <m:ctrlPr>
                          <w:rPr>
                            <w:rFonts w:ascii="Cambria Math" w:hAnsi="Cambria Math"/>
                          </w:rPr>
                        </m:ctrlPr>
                      </m:radPr>
                      <m:deg/>
                      <m:e>
                        <m:r>
                          <w:rPr>
                            <w:rFonts w:ascii="Cambria Math" w:hAnsi="Cambria Math"/>
                          </w:rPr>
                          <m:t>2π</m:t>
                        </m:r>
                        <m:d>
                          <m:dPr>
                            <m:ctrlPr>
                              <w:rPr>
                                <w:rFonts w:ascii="Cambria Math" w:hAnsi="Cambria Math"/>
                              </w:rPr>
                            </m:ctrlPr>
                          </m:dPr>
                          <m:e>
                            <m:r>
                              <w:rPr>
                                <w:rFonts w:ascii="Cambria Math" w:hAnsi="Cambria Math"/>
                              </w:rPr>
                              <m:t>1-π</m:t>
                            </m:r>
                          </m:e>
                        </m:d>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C</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C</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T</m:t>
                                </m:r>
                              </m:sub>
                            </m:sSub>
                          </m:e>
                        </m:d>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m:t>
                    </m:r>
                  </m:e>
                </m:d>
              </m:e>
              <m:sup>
                <m:r>
                  <w:rPr>
                    <w:rFonts w:ascii="Cambria Math" w:hAnsi="Cambria Math"/>
                  </w:rPr>
                  <m:t>2</m:t>
                </m:r>
              </m:sup>
            </m:sSup>
          </m:den>
        </m:f>
      </m:oMath>
      <w:bookmarkEnd w:id="0"/>
      <w:r w:rsidR="0027694B">
        <w:rPr>
          <w:rFonts w:hint="eastAsia"/>
        </w:rPr>
        <w:t>（7</w:t>
      </w:r>
      <w:r w:rsidR="0027694B">
        <w:t>-3</w:t>
      </w:r>
      <w:r w:rsidR="0027694B">
        <w:rPr>
          <w:rFonts w:hint="eastAsia"/>
        </w:rPr>
        <w:t>）</w:t>
      </w:r>
    </w:p>
    <w:p w14:paraId="2DBCB94B" w14:textId="5FDC8F9E" w:rsidR="0027694B" w:rsidRDefault="0027694B"/>
    <w:p w14:paraId="66EC70B8" w14:textId="7AC9968A" w:rsidR="00CA6F99" w:rsidRDefault="0027694B" w:rsidP="0027694B">
      <w:pPr>
        <w:ind w:firstLineChars="200" w:firstLine="420"/>
      </w:pPr>
      <w:r>
        <w:rPr>
          <w:rFonts w:hint="eastAsia"/>
        </w:rPr>
        <w:t>其中：</w:t>
      </w:r>
    </w:p>
    <w:p w14:paraId="1EE25D5A" w14:textId="0953A659" w:rsidR="00CA6F99" w:rsidRDefault="00CA6F99" w:rsidP="0027694B">
      <w:pPr>
        <w:jc w:val="center"/>
      </w:pPr>
      <m:oMath>
        <m:r>
          <w:rPr>
            <w:rFonts w:ascii="Cambria Math" w:hAnsi="Cambria Math"/>
          </w:rPr>
          <m:t>π=</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C</m:t>
                </m:r>
              </m:sub>
            </m:sSub>
            <m:r>
              <w:rPr>
                <w:rFonts w:ascii="Cambria Math" w:hAnsi="Cambria Math"/>
              </w:rPr>
              <m:t>+r</m:t>
            </m:r>
            <m:sSub>
              <m:sSubPr>
                <m:ctrlPr>
                  <w:rPr>
                    <w:rFonts w:ascii="Cambria Math" w:hAnsi="Cambria Math"/>
                    <w:i/>
                  </w:rPr>
                </m:ctrlPr>
              </m:sSubPr>
              <m:e>
                <m:r>
                  <w:rPr>
                    <w:rFonts w:ascii="Cambria Math" w:hAnsi="Cambria Math"/>
                  </w:rPr>
                  <m:t>π</m:t>
                </m:r>
              </m:e>
              <m:sub>
                <m:r>
                  <w:rPr>
                    <w:rFonts w:ascii="Cambria Math" w:hAnsi="Cambria Math"/>
                  </w:rPr>
                  <m:t>T</m:t>
                </m:r>
              </m:sub>
            </m:sSub>
          </m:num>
          <m:den>
            <m:r>
              <w:rPr>
                <w:rFonts w:ascii="Cambria Math" w:hAnsi="Cambria Math"/>
              </w:rPr>
              <m:t>1+r</m:t>
            </m:r>
          </m:den>
        </m:f>
      </m:oMath>
      <w:r w:rsidR="0027694B">
        <w:rPr>
          <w:rFonts w:hint="eastAsia"/>
        </w:rPr>
        <w:t>（7</w:t>
      </w:r>
      <w:r w:rsidR="0027694B">
        <w:t>-4</w:t>
      </w:r>
      <w:r w:rsidR="0027694B">
        <w:rPr>
          <w:rFonts w:hint="eastAsia"/>
        </w:rPr>
        <w:t>）</w:t>
      </w:r>
    </w:p>
    <w:p w14:paraId="7B4C9813" w14:textId="77777777" w:rsidR="00595EFB" w:rsidRDefault="00595EFB" w:rsidP="0027694B">
      <w:pPr>
        <w:ind w:firstLineChars="200" w:firstLine="440"/>
        <w:rPr>
          <w:iCs/>
          <w:color w:val="000000" w:themeColor="text1"/>
          <w:sz w:val="22"/>
        </w:rPr>
      </w:pPr>
    </w:p>
    <w:p w14:paraId="688DDCEA" w14:textId="3BD4592A" w:rsidR="0027694B" w:rsidRDefault="00595EFB" w:rsidP="0027694B">
      <w:pPr>
        <w:ind w:firstLineChars="200" w:firstLine="440"/>
      </w:pPr>
      <w:r>
        <w:rPr>
          <w:rFonts w:hint="eastAsia"/>
          <w:iCs/>
          <w:color w:val="000000" w:themeColor="text1"/>
          <w:sz w:val="22"/>
        </w:rPr>
        <w:t>如果</w:t>
      </w:r>
      <w:r w:rsidR="0027694B">
        <w:rPr>
          <w:rFonts w:hint="eastAsia"/>
          <w:iCs/>
          <w:color w:val="000000" w:themeColor="text1"/>
          <w:sz w:val="22"/>
        </w:rPr>
        <w:t>两组样本量不等，</w:t>
      </w:r>
      <w:r w:rsidR="00F67527">
        <w:rPr>
          <w:rFonts w:hint="eastAsia"/>
        </w:rPr>
        <w:t>假设试验组与对照组按r</w:t>
      </w:r>
      <w:r w:rsidR="00F67527">
        <w:t>:1</w:t>
      </w:r>
      <w:r w:rsidR="00F67527">
        <w:rPr>
          <w:rFonts w:hint="eastAsia"/>
        </w:rPr>
        <w:t>分配</w:t>
      </w:r>
      <w:r w:rsidR="00B2041E">
        <w:rPr>
          <w:iCs/>
          <w:color w:val="000000" w:themeColor="text1"/>
          <w:sz w:val="22"/>
        </w:rPr>
        <w:fldChar w:fldCharType="begin"/>
      </w:r>
      <w:r w:rsidR="00B2041E">
        <w:rPr>
          <w:iCs/>
          <w:color w:val="000000" w:themeColor="text1"/>
          <w:sz w:val="22"/>
        </w:rPr>
        <w:instrText xml:space="preserve"> ADDIN NE.Ref.{51DC33A9-86D8-4396-AD21-1589166F22F0}</w:instrText>
      </w:r>
      <w:r w:rsidR="00B2041E">
        <w:rPr>
          <w:iCs/>
          <w:color w:val="000000" w:themeColor="text1"/>
          <w:sz w:val="22"/>
        </w:rPr>
        <w:fldChar w:fldCharType="separate"/>
      </w:r>
      <w:r w:rsidR="00507F63">
        <w:rPr>
          <w:rFonts w:ascii="等线" w:eastAsia="等线" w:cs="等线"/>
          <w:color w:val="000000"/>
          <w:kern w:val="0"/>
          <w:sz w:val="22"/>
          <w:vertAlign w:val="superscript"/>
        </w:rPr>
        <w:t>6</w:t>
      </w:r>
      <w:r w:rsidR="00B2041E">
        <w:rPr>
          <w:iCs/>
          <w:color w:val="000000" w:themeColor="text1"/>
          <w:sz w:val="22"/>
        </w:rPr>
        <w:fldChar w:fldCharType="end"/>
      </w:r>
      <w:r w:rsidR="0027694B">
        <w:rPr>
          <w:rFonts w:hint="eastAsia"/>
          <w:iCs/>
          <w:color w:val="000000" w:themeColor="text1"/>
          <w:sz w:val="22"/>
        </w:rPr>
        <w:t>：</w:t>
      </w:r>
    </w:p>
    <w:p w14:paraId="793F31DF" w14:textId="4DC965C3" w:rsidR="00CA6F99" w:rsidRDefault="00015595" w:rsidP="0027694B">
      <w:pPr>
        <w:jc w:val="center"/>
      </w:pP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1-α/2</m:t>
                        </m:r>
                      </m:sub>
                    </m:sSub>
                    <m:rad>
                      <m:radPr>
                        <m:degHide m:val="1"/>
                        <m:ctrlPr>
                          <w:rPr>
                            <w:rFonts w:ascii="Cambria Math" w:hAnsi="Cambria Math"/>
                          </w:rPr>
                        </m:ctrlPr>
                      </m:radPr>
                      <m:deg/>
                      <m:e>
                        <m:r>
                          <w:rPr>
                            <w:rFonts w:ascii="Cambria Math" w:hAnsi="Cambria Math"/>
                          </w:rPr>
                          <m:t>π</m:t>
                        </m:r>
                        <m:d>
                          <m:dPr>
                            <m:ctrlPr>
                              <w:rPr>
                                <w:rFonts w:ascii="Cambria Math" w:hAnsi="Cambria Math"/>
                              </w:rPr>
                            </m:ctrlPr>
                          </m:dPr>
                          <m:e>
                            <m:r>
                              <w:rPr>
                                <w:rFonts w:ascii="Cambria Math" w:hAnsi="Cambria Math"/>
                              </w:rPr>
                              <m:t>1-π</m:t>
                            </m:r>
                          </m:e>
                        </m:d>
                        <m:d>
                          <m:dPr>
                            <m:ctrlPr>
                              <w:rPr>
                                <w:rFonts w:ascii="Cambria Math" w:hAnsi="Cambria Math"/>
                              </w:rPr>
                            </m:ctrlPr>
                          </m:dPr>
                          <m:e>
                            <m:r>
                              <w:rPr>
                                <w:rFonts w:ascii="Cambria Math" w:hAnsi="Cambria Math"/>
                              </w:rPr>
                              <m:t>1+</m:t>
                            </m:r>
                            <m:f>
                              <m:fPr>
                                <m:type m:val="lin"/>
                                <m:ctrlPr>
                                  <w:rPr>
                                    <w:rFonts w:ascii="Cambria Math" w:hAnsi="Cambria Math"/>
                                    <w:i/>
                                  </w:rPr>
                                </m:ctrlPr>
                              </m:fPr>
                              <m:num>
                                <m:r>
                                  <w:rPr>
                                    <w:rFonts w:ascii="Cambria Math" w:hAnsi="Cambria Math"/>
                                  </w:rPr>
                                  <m:t>1</m:t>
                                </m:r>
                              </m:num>
                              <m:den>
                                <m:r>
                                  <w:rPr>
                                    <w:rFonts w:ascii="Cambria Math" w:hAnsi="Cambria Math"/>
                                  </w:rPr>
                                  <m:t>r</m:t>
                                </m:r>
                              </m:den>
                            </m:f>
                          </m:e>
                        </m:d>
                      </m:e>
                    </m:ra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1-β</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π</m:t>
                            </m:r>
                          </m:e>
                          <m:sub>
                            <m:r>
                              <w:rPr>
                                <w:rFonts w:ascii="Cambria Math" w:hAnsi="Cambria Math"/>
                              </w:rPr>
                              <m:t>C</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C</m:t>
                                </m:r>
                              </m:sub>
                            </m:sSub>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T</m:t>
                                </m:r>
                              </m:sub>
                            </m:sSub>
                          </m:e>
                        </m:d>
                        <m:r>
                          <w:rPr>
                            <w:rFonts w:ascii="Cambria Math" w:hAnsi="Cambria Math"/>
                          </w:rPr>
                          <m:t>/r</m:t>
                        </m:r>
                      </m:e>
                    </m:rad>
                  </m:e>
                </m:d>
              </m:e>
              <m:sup>
                <m:r>
                  <w:rPr>
                    <w:rFonts w:ascii="Cambria Math" w:hAnsi="Cambria Math"/>
                  </w:rPr>
                  <m:t>2</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r>
                      <w:rPr>
                        <w:rFonts w:ascii="Cambria Math" w:hAnsi="Cambria Math"/>
                      </w:rPr>
                      <m:t>-∆</m:t>
                    </m:r>
                  </m:e>
                </m:d>
              </m:e>
              <m:sup>
                <m:r>
                  <w:rPr>
                    <w:rFonts w:ascii="Cambria Math" w:hAnsi="Cambria Math"/>
                  </w:rPr>
                  <m:t>2</m:t>
                </m:r>
              </m:sup>
            </m:sSup>
          </m:den>
        </m:f>
      </m:oMath>
      <w:r w:rsidR="0027694B">
        <w:rPr>
          <w:rFonts w:hint="eastAsia"/>
        </w:rPr>
        <w:t>（7</w:t>
      </w:r>
      <w:r w:rsidR="0027694B">
        <w:t>-5</w:t>
      </w:r>
      <w:r w:rsidR="0027694B">
        <w:rPr>
          <w:rFonts w:hint="eastAsia"/>
        </w:rPr>
        <w:t>）</w:t>
      </w:r>
    </w:p>
    <w:p w14:paraId="6DE0D73D" w14:textId="535836E3" w:rsidR="00CA6F99" w:rsidRDefault="00CA6F99" w:rsidP="001A2594">
      <w:pPr>
        <w:ind w:firstLineChars="200" w:firstLine="420"/>
      </w:pPr>
      <w:bookmarkStart w:id="1" w:name="_Hlk136179856"/>
    </w:p>
    <w:p w14:paraId="7A3E7BED" w14:textId="46C10268" w:rsidR="008E5A18" w:rsidRDefault="008E5A18" w:rsidP="001A2594">
      <w:pPr>
        <w:ind w:firstLineChars="200" w:firstLine="420"/>
      </w:pPr>
      <w:r>
        <w:rPr>
          <w:rFonts w:hint="eastAsia"/>
        </w:rPr>
        <w:t>近年来Farrington</w:t>
      </w:r>
      <w:r>
        <w:t>-</w:t>
      </w:r>
      <w:r>
        <w:rPr>
          <w:rFonts w:hint="eastAsia"/>
        </w:rPr>
        <w:t>Manning法使用似有增多趋势，该方法没有显性的计算公式，我们在具体案例中作介绍。</w:t>
      </w:r>
    </w:p>
    <w:p w14:paraId="76CFCFFF" w14:textId="7F803335" w:rsidR="00E15B24" w:rsidRDefault="00E15B24" w:rsidP="001A2594">
      <w:pPr>
        <w:ind w:firstLineChars="200" w:firstLine="420"/>
      </w:pPr>
      <w:r>
        <w:rPr>
          <w:rFonts w:hint="eastAsia"/>
        </w:rPr>
        <w:t>优效设计的概念参见</w:t>
      </w:r>
      <w:r w:rsidRPr="00E15B24">
        <w:rPr>
          <w:rFonts w:hint="eastAsia"/>
          <w:highlight w:val="yellow"/>
        </w:rPr>
        <w:t>上一章</w:t>
      </w:r>
      <w:r w:rsidRPr="00E15B24">
        <w:rPr>
          <w:rFonts w:hint="eastAsia"/>
        </w:rPr>
        <w:t>，注意</w:t>
      </w:r>
      <w:r>
        <w:rPr>
          <w:rFonts w:hint="eastAsia"/>
        </w:rPr>
        <w:t>尽管样本量计算公式</w:t>
      </w:r>
      <w:r w:rsidR="00774553">
        <w:rPr>
          <w:rFonts w:hint="eastAsia"/>
        </w:rPr>
        <w:t>与非劣效设计</w:t>
      </w:r>
      <w:r>
        <w:rPr>
          <w:rFonts w:hint="eastAsia"/>
        </w:rPr>
        <w:t>相同，</w:t>
      </w:r>
      <w:r w:rsidR="00A65003">
        <w:rPr>
          <w:rFonts w:hint="eastAsia"/>
        </w:rPr>
        <w:t>优效界值</w:t>
      </w:r>
      <w:r w:rsidR="00A65003">
        <w:rPr>
          <w:rFonts w:asciiTheme="minorEastAsia" w:hAnsiTheme="minorEastAsia" w:hint="eastAsia"/>
          <w:iCs/>
          <w:color w:val="000000" w:themeColor="text1"/>
          <w:sz w:val="22"/>
        </w:rPr>
        <w:t>Δ</w:t>
      </w:r>
      <w:r>
        <w:rPr>
          <w:rFonts w:hint="eastAsia"/>
        </w:rPr>
        <w:t>正负号的取用与非劣效设计正好相反。</w:t>
      </w:r>
    </w:p>
    <w:p w14:paraId="5D7E1EDA" w14:textId="2B98F750" w:rsidR="00774553" w:rsidRDefault="0027694B" w:rsidP="00A44E98">
      <w:pPr>
        <w:pStyle w:val="Heading2"/>
      </w:pPr>
      <w:r w:rsidRPr="00774553">
        <w:rPr>
          <w:rFonts w:hint="eastAsia"/>
        </w:rPr>
        <w:t>独立方差法</w:t>
      </w:r>
      <w:bookmarkStart w:id="2" w:name="_Ref138428487"/>
      <w:bookmarkEnd w:id="1"/>
    </w:p>
    <w:p w14:paraId="213CCBE1" w14:textId="61FE4AD5" w:rsidR="008E5A18" w:rsidRDefault="00774553" w:rsidP="007B6F8B">
      <w:pPr>
        <w:ind w:firstLineChars="200" w:firstLine="420"/>
      </w:pPr>
      <w:r>
        <w:t xml:space="preserve">例 </w:t>
      </w:r>
      <w:r w:rsidR="0059771A">
        <w:fldChar w:fldCharType="begin"/>
      </w:r>
      <w:r w:rsidR="0059771A">
        <w:instrText xml:space="preserve"> STYLEREF 1 \s </w:instrText>
      </w:r>
      <w:r w:rsidR="0059771A">
        <w:fldChar w:fldCharType="separate"/>
      </w:r>
      <w:r w:rsidR="0059771A">
        <w:rPr>
          <w:noProof/>
        </w:rPr>
        <w:t>6</w:t>
      </w:r>
      <w:r w:rsidR="0059771A">
        <w:fldChar w:fldCharType="end"/>
      </w:r>
      <w:r w:rsidR="0059771A">
        <w:noBreakHyphen/>
      </w:r>
      <w:r w:rsidR="0059771A">
        <w:fldChar w:fldCharType="begin"/>
      </w:r>
      <w:r w:rsidR="0059771A">
        <w:instrText xml:space="preserve"> SEQ 例 \* ARABIC \s 1 </w:instrText>
      </w:r>
      <w:r w:rsidR="0059771A">
        <w:fldChar w:fldCharType="separate"/>
      </w:r>
      <w:r w:rsidR="0059771A">
        <w:rPr>
          <w:noProof/>
        </w:rPr>
        <w:t>1</w:t>
      </w:r>
      <w:r w:rsidR="0059771A">
        <w:fldChar w:fldCharType="end"/>
      </w:r>
      <w:bookmarkEnd w:id="2"/>
      <w:r w:rsidR="00112F21">
        <w:t xml:space="preserve"> </w:t>
      </w:r>
      <w:r w:rsidR="008E5A18">
        <w:rPr>
          <w:rFonts w:hint="eastAsia"/>
        </w:rPr>
        <w:t>药监局</w:t>
      </w:r>
      <w:r w:rsidR="008E5A18" w:rsidRPr="00643B56">
        <w:t>2014</w:t>
      </w:r>
      <w:r w:rsidR="008E5A18">
        <w:rPr>
          <w:rFonts w:hint="eastAsia"/>
        </w:rPr>
        <w:t>年发布的《</w:t>
      </w:r>
      <w:r w:rsidR="008E5A18" w:rsidRPr="00643B56">
        <w:t>心脏射频消融导管产品注册技术审查指导原则</w:t>
      </w:r>
      <w:r w:rsidR="008E5A18">
        <w:rPr>
          <w:rFonts w:hint="eastAsia"/>
        </w:rPr>
        <w:t>》建议：</w:t>
      </w:r>
      <w:r w:rsidR="008E5A18" w:rsidRPr="00643B56">
        <w:rPr>
          <w:rFonts w:hint="eastAsia"/>
        </w:rPr>
        <w:t>针对阵发性室上速导管消融：依据当前国内外医学文献的报道，即刻成功率应≥</w:t>
      </w:r>
      <w:r w:rsidR="008E5A18" w:rsidRPr="00643B56">
        <w:t>98%，考虑到室上速导管消融技术的成熟情况，因此，以即刻成功率作为样本量计算的依据。在非劣效界值5%、显著性水平取0.05（双侧检验），把握度为80%，考虑10%的脱落率的情况下，每组样本量140例。</w:t>
      </w:r>
    </w:p>
    <w:p w14:paraId="3456BC23" w14:textId="525C4543" w:rsidR="00112F21" w:rsidRDefault="00112F21" w:rsidP="008E5A18">
      <w:pPr>
        <w:ind w:firstLineChars="202" w:firstLine="424"/>
      </w:pPr>
      <w:r>
        <w:rPr>
          <w:rFonts w:hint="eastAsia"/>
        </w:rPr>
        <w:t>Excel表独立方差法与合并方差法的结果均为每组1</w:t>
      </w:r>
      <w:r>
        <w:t>24</w:t>
      </w:r>
      <w:r>
        <w:rPr>
          <w:rFonts w:hint="eastAsia"/>
        </w:rPr>
        <w:t>例，考虑脱落后为每组1</w:t>
      </w:r>
      <w:r>
        <w:t>24</w:t>
      </w:r>
      <w:r>
        <w:rPr>
          <w:rFonts w:hint="eastAsia"/>
        </w:rPr>
        <w:t>/</w:t>
      </w:r>
      <w:r>
        <w:t>(1-10%</w:t>
      </w:r>
      <w:r>
        <w:rPr>
          <w:rFonts w:hint="eastAsia"/>
        </w:rPr>
        <w:t>)</w:t>
      </w:r>
      <w:r>
        <w:t>=137.8</w:t>
      </w:r>
      <w:r>
        <w:rPr>
          <w:rFonts w:hint="eastAsia"/>
        </w:rPr>
        <w:t>。</w:t>
      </w:r>
    </w:p>
    <w:p w14:paraId="38D9EBBD" w14:textId="4FFE072C" w:rsidR="007B6F8B" w:rsidRDefault="00840686" w:rsidP="008E5A18">
      <w:pPr>
        <w:ind w:firstLineChars="202" w:firstLine="424"/>
      </w:pPr>
      <w:r w:rsidRPr="00840686">
        <w:rPr>
          <w:noProof/>
        </w:rPr>
        <w:lastRenderedPageBreak/>
        <w:drawing>
          <wp:inline distT="0" distB="0" distL="0" distR="0" wp14:anchorId="4A3E5DED" wp14:editId="5EF74AD0">
            <wp:extent cx="3168650" cy="1911350"/>
            <wp:effectExtent l="0" t="0" r="0" b="0"/>
            <wp:docPr id="69106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8650" cy="1911350"/>
                    </a:xfrm>
                    <a:prstGeom prst="rect">
                      <a:avLst/>
                    </a:prstGeom>
                    <a:noFill/>
                    <a:ln>
                      <a:noFill/>
                    </a:ln>
                  </pic:spPr>
                </pic:pic>
              </a:graphicData>
            </a:graphic>
          </wp:inline>
        </w:drawing>
      </w:r>
    </w:p>
    <w:p w14:paraId="30350EAC" w14:textId="5DCFEE98" w:rsidR="00112F21" w:rsidRDefault="00112F21" w:rsidP="008E5A18">
      <w:pPr>
        <w:ind w:firstLineChars="202" w:firstLine="424"/>
      </w:pPr>
    </w:p>
    <w:p w14:paraId="0825CF0A" w14:textId="4D70D4E6" w:rsidR="00112F21" w:rsidRDefault="00112F21" w:rsidP="008E5A18">
      <w:pPr>
        <w:ind w:firstLineChars="202" w:firstLine="424"/>
      </w:pPr>
      <w:r>
        <w:rPr>
          <w:rFonts w:hint="eastAsia"/>
        </w:rPr>
        <w:t>R语言</w:t>
      </w:r>
      <w:proofErr w:type="spellStart"/>
      <w:r>
        <w:rPr>
          <w:rFonts w:hint="eastAsia"/>
        </w:rPr>
        <w:t>pwrss</w:t>
      </w:r>
      <w:proofErr w:type="spellEnd"/>
      <w:r>
        <w:rPr>
          <w:rFonts w:hint="eastAsia"/>
        </w:rPr>
        <w:t>包的独立方差法结果是每组1</w:t>
      </w:r>
      <w:r>
        <w:t>24</w:t>
      </w:r>
      <w:r>
        <w:rPr>
          <w:rFonts w:hint="eastAsia"/>
        </w:rPr>
        <w:t>例。</w:t>
      </w:r>
    </w:p>
    <w:p w14:paraId="3466432B" w14:textId="77777777" w:rsidR="008E5A18" w:rsidRDefault="008E5A18" w:rsidP="008E5A18">
      <w:pPr>
        <w:ind w:firstLineChars="202" w:firstLine="424"/>
      </w:pPr>
      <w:r>
        <w:t>library(</w:t>
      </w:r>
      <w:proofErr w:type="spellStart"/>
      <w:r>
        <w:t>pwrss</w:t>
      </w:r>
      <w:proofErr w:type="spellEnd"/>
      <w:r>
        <w:t>)</w:t>
      </w:r>
    </w:p>
    <w:p w14:paraId="522B8696" w14:textId="77777777" w:rsidR="008E5A18" w:rsidRDefault="008E5A18" w:rsidP="008E5A18">
      <w:pPr>
        <w:ind w:firstLineChars="202" w:firstLine="424"/>
      </w:pPr>
      <w:r>
        <w:t>pwrss.z.2</w:t>
      </w:r>
      <w:proofErr w:type="gramStart"/>
      <w:r>
        <w:t>props(</w:t>
      </w:r>
      <w:proofErr w:type="gramEnd"/>
      <w:r>
        <w:t>p1 = 0.98, p2 = 0.98, alpha = 0.025, power = 0.8,</w:t>
      </w:r>
    </w:p>
    <w:p w14:paraId="6AD70AA5" w14:textId="77777777" w:rsidR="008E5A18" w:rsidRDefault="008E5A18" w:rsidP="008E5A18">
      <w:pPr>
        <w:ind w:firstLineChars="202" w:firstLine="424"/>
      </w:pPr>
      <w:r>
        <w:t xml:space="preserve">               margin = 0.05, alternative = "non-inferior")</w:t>
      </w:r>
    </w:p>
    <w:p w14:paraId="56C05A32" w14:textId="50A62701" w:rsidR="008E5A18" w:rsidRDefault="00112F21" w:rsidP="008E5A18">
      <w:pPr>
        <w:ind w:firstLineChars="202" w:firstLine="424"/>
      </w:pPr>
      <w:r>
        <w:rPr>
          <w:rFonts w:hint="eastAsia"/>
        </w:rPr>
        <w:t>结果输出：</w:t>
      </w:r>
    </w:p>
    <w:p w14:paraId="6B3CD722" w14:textId="77777777" w:rsidR="00112F21" w:rsidRDefault="00112F21" w:rsidP="00112F21">
      <w:pPr>
        <w:ind w:firstLineChars="202" w:firstLine="424"/>
      </w:pPr>
      <w:r>
        <w:t xml:space="preserve">Approach: Normal Approximation </w:t>
      </w:r>
    </w:p>
    <w:p w14:paraId="18163488" w14:textId="77777777" w:rsidR="00112F21" w:rsidRDefault="00112F21" w:rsidP="00112F21">
      <w:pPr>
        <w:ind w:firstLineChars="202" w:firstLine="424"/>
      </w:pPr>
      <w:r>
        <w:t xml:space="preserve"> Difference between Two Proportions </w:t>
      </w:r>
    </w:p>
    <w:p w14:paraId="26E9FE94" w14:textId="77777777" w:rsidR="00112F21" w:rsidRDefault="00112F21" w:rsidP="00112F21">
      <w:pPr>
        <w:ind w:firstLineChars="202" w:firstLine="424"/>
      </w:pPr>
      <w:r>
        <w:t xml:space="preserve"> (Independent Samples z Test) </w:t>
      </w:r>
    </w:p>
    <w:p w14:paraId="79D83DF1" w14:textId="77777777" w:rsidR="00112F21" w:rsidRDefault="00112F21" w:rsidP="00112F21">
      <w:pPr>
        <w:ind w:firstLineChars="202" w:firstLine="424"/>
      </w:pPr>
      <w:r>
        <w:t xml:space="preserve"> H0: p1 - p2 &lt;= margin </w:t>
      </w:r>
    </w:p>
    <w:p w14:paraId="77CD4002" w14:textId="77777777" w:rsidR="00112F21" w:rsidRDefault="00112F21" w:rsidP="00112F21">
      <w:pPr>
        <w:ind w:firstLineChars="202" w:firstLine="424"/>
      </w:pPr>
      <w:r>
        <w:t xml:space="preserve"> HA: p1 - p2 &gt; margin </w:t>
      </w:r>
    </w:p>
    <w:p w14:paraId="181D7781" w14:textId="77777777" w:rsidR="00112F21" w:rsidRDefault="00112F21" w:rsidP="00112F21">
      <w:pPr>
        <w:ind w:firstLineChars="202" w:firstLine="424"/>
      </w:pPr>
      <w:r>
        <w:t xml:space="preserve"> ------------------------------ </w:t>
      </w:r>
    </w:p>
    <w:p w14:paraId="3D7E3D32" w14:textId="77777777" w:rsidR="00112F21" w:rsidRDefault="00112F21" w:rsidP="00112F21">
      <w:pPr>
        <w:ind w:firstLineChars="202" w:firstLine="424"/>
      </w:pPr>
      <w:r>
        <w:t xml:space="preserve">  Statistical power = 0.8 </w:t>
      </w:r>
    </w:p>
    <w:p w14:paraId="2EFE7CE2" w14:textId="77777777" w:rsidR="00112F21" w:rsidRDefault="00112F21" w:rsidP="00112F21">
      <w:pPr>
        <w:ind w:firstLineChars="202" w:firstLine="424"/>
      </w:pPr>
      <w:r>
        <w:t xml:space="preserve">  n1 = 124 </w:t>
      </w:r>
    </w:p>
    <w:p w14:paraId="7409BC25" w14:textId="77777777" w:rsidR="00112F21" w:rsidRDefault="00112F21" w:rsidP="00112F21">
      <w:pPr>
        <w:ind w:firstLineChars="202" w:firstLine="424"/>
      </w:pPr>
      <w:r>
        <w:t xml:space="preserve">  n2 = 124 </w:t>
      </w:r>
    </w:p>
    <w:p w14:paraId="3483D3AC" w14:textId="77777777" w:rsidR="00112F21" w:rsidRDefault="00112F21" w:rsidP="00112F21">
      <w:pPr>
        <w:ind w:firstLineChars="202" w:firstLine="424"/>
      </w:pPr>
      <w:r>
        <w:t xml:space="preserve"> ------------------------------ </w:t>
      </w:r>
    </w:p>
    <w:p w14:paraId="405C4D9E" w14:textId="77777777" w:rsidR="00112F21" w:rsidRDefault="00112F21" w:rsidP="00112F21">
      <w:pPr>
        <w:ind w:firstLineChars="202" w:firstLine="424"/>
      </w:pPr>
      <w:r>
        <w:t xml:space="preserve"> Alternative = “non-inferior” </w:t>
      </w:r>
    </w:p>
    <w:p w14:paraId="301A81F6" w14:textId="77777777" w:rsidR="00112F21" w:rsidRDefault="00112F21" w:rsidP="00112F21">
      <w:pPr>
        <w:ind w:firstLineChars="202" w:firstLine="424"/>
      </w:pPr>
      <w:r>
        <w:t xml:space="preserve"> Non-centrality parameter = -2.802 </w:t>
      </w:r>
    </w:p>
    <w:p w14:paraId="03F892DD" w14:textId="77777777" w:rsidR="00112F21" w:rsidRDefault="00112F21" w:rsidP="00112F21">
      <w:pPr>
        <w:ind w:firstLineChars="202" w:firstLine="424"/>
      </w:pPr>
      <w:r>
        <w:t xml:space="preserve"> Type I error rate = 0.025 </w:t>
      </w:r>
    </w:p>
    <w:p w14:paraId="11332D61" w14:textId="68CF564A" w:rsidR="00112F21" w:rsidRDefault="00112F21" w:rsidP="00112F21">
      <w:pPr>
        <w:ind w:firstLineChars="202" w:firstLine="424"/>
      </w:pPr>
      <w:r>
        <w:t xml:space="preserve"> Type II error rate = 0.2</w:t>
      </w:r>
    </w:p>
    <w:p w14:paraId="23E7D63D" w14:textId="5DC1E1D3" w:rsidR="00112F21" w:rsidRDefault="00112F21" w:rsidP="00112F21">
      <w:pPr>
        <w:ind w:firstLineChars="202" w:firstLine="424"/>
      </w:pPr>
      <w:r>
        <w:rPr>
          <w:rFonts w:hint="eastAsia"/>
        </w:rPr>
        <w:t>SPS</w:t>
      </w:r>
      <w:r>
        <w:t>S</w:t>
      </w:r>
      <w:r>
        <w:rPr>
          <w:rFonts w:hint="eastAsia"/>
        </w:rPr>
        <w:t>软件独立方差法与合并方差法的结果均为</w:t>
      </w:r>
      <w:r w:rsidR="007B6F8B">
        <w:rPr>
          <w:rFonts w:hint="eastAsia"/>
        </w:rPr>
        <w:t>每组1</w:t>
      </w:r>
      <w:r w:rsidR="007B6F8B">
        <w:t>24</w:t>
      </w:r>
      <w:r w:rsidR="007B6F8B">
        <w:rPr>
          <w:rFonts w:hint="eastAsia"/>
        </w:rPr>
        <w:t>例</w:t>
      </w:r>
      <w:r>
        <w:rPr>
          <w:rFonts w:hint="eastAsia"/>
        </w:rPr>
        <w:t>，操作时依次点击</w:t>
      </w:r>
      <w:r w:rsidR="004768DE">
        <w:rPr>
          <w:rFonts w:hint="eastAsia"/>
        </w:rPr>
        <w:t>Non</w:t>
      </w:r>
      <w:r w:rsidR="004768DE">
        <w:t>-Inferiority, Proportions, Two Independent Proportions, Non-Inferiority Tests for the Difference Between Two Proportions</w:t>
      </w:r>
      <w:r w:rsidR="004768DE">
        <w:rPr>
          <w:rFonts w:hint="eastAsia"/>
        </w:rPr>
        <w:t>。</w:t>
      </w:r>
      <w:r w:rsidR="007B6F8B">
        <w:rPr>
          <w:rFonts w:hint="eastAsia"/>
        </w:rPr>
        <w:t>独立方差法在Test</w:t>
      </w:r>
      <w:r w:rsidR="007B6F8B">
        <w:t xml:space="preserve"> </w:t>
      </w:r>
      <w:r w:rsidR="007B6F8B">
        <w:rPr>
          <w:rFonts w:hint="eastAsia"/>
        </w:rPr>
        <w:t>Type中选择Z</w:t>
      </w:r>
      <w:r w:rsidR="007B6F8B">
        <w:t>-</w:t>
      </w:r>
      <w:r w:rsidR="007B6F8B">
        <w:rPr>
          <w:rFonts w:hint="eastAsia"/>
        </w:rPr>
        <w:t>Test</w:t>
      </w:r>
      <w:r w:rsidR="007B6F8B">
        <w:t xml:space="preserve"> (</w:t>
      </w:r>
      <w:proofErr w:type="spellStart"/>
      <w:r w:rsidR="007B6F8B">
        <w:rPr>
          <w:rFonts w:hint="eastAsia"/>
        </w:rPr>
        <w:t>Unpooled</w:t>
      </w:r>
      <w:proofErr w:type="spellEnd"/>
      <w:r w:rsidR="007B6F8B">
        <w:t>)</w:t>
      </w:r>
      <w:r w:rsidR="007B6F8B">
        <w:rPr>
          <w:rFonts w:hint="eastAsia"/>
        </w:rPr>
        <w:t>。</w:t>
      </w:r>
      <w:r w:rsidR="004768DE">
        <w:rPr>
          <w:rFonts w:hint="eastAsia"/>
        </w:rPr>
        <w:t>此例为高优指标，参数界面设置时非劣效界值</w:t>
      </w:r>
      <w:r w:rsidR="004768DE">
        <w:rPr>
          <w:rFonts w:asciiTheme="minorEastAsia" w:hAnsiTheme="minorEastAsia" w:hint="eastAsia"/>
        </w:rPr>
        <w:t>δ</w:t>
      </w:r>
      <w:r w:rsidR="004768DE">
        <w:rPr>
          <w:rFonts w:hint="eastAsia"/>
        </w:rPr>
        <w:t>0取负号。</w:t>
      </w:r>
    </w:p>
    <w:p w14:paraId="7235E98D" w14:textId="57CFE6E0" w:rsidR="004768DE" w:rsidRDefault="004768DE" w:rsidP="00112F21">
      <w:pPr>
        <w:ind w:firstLineChars="202" w:firstLine="424"/>
      </w:pPr>
      <w:r w:rsidRPr="004768DE">
        <w:rPr>
          <w:noProof/>
        </w:rPr>
        <w:lastRenderedPageBreak/>
        <w:drawing>
          <wp:inline distT="0" distB="0" distL="0" distR="0" wp14:anchorId="231F35EE" wp14:editId="7F64BE67">
            <wp:extent cx="4778154" cy="4968671"/>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78154" cy="4968671"/>
                    </a:xfrm>
                    <a:prstGeom prst="rect">
                      <a:avLst/>
                    </a:prstGeom>
                  </pic:spPr>
                </pic:pic>
              </a:graphicData>
            </a:graphic>
          </wp:inline>
        </w:drawing>
      </w:r>
    </w:p>
    <w:p w14:paraId="5DD8FA09" w14:textId="77777777" w:rsidR="004768DE" w:rsidRDefault="004768DE" w:rsidP="00112F21">
      <w:pPr>
        <w:ind w:firstLineChars="202" w:firstLine="424"/>
      </w:pPr>
    </w:p>
    <w:p w14:paraId="0DD79E7D" w14:textId="21E91D0B" w:rsidR="00112F21" w:rsidRDefault="004768DE" w:rsidP="004768DE">
      <w:r w:rsidRPr="004768DE">
        <w:rPr>
          <w:noProof/>
        </w:rPr>
        <w:drawing>
          <wp:inline distT="0" distB="0" distL="0" distR="0" wp14:anchorId="257FEBA6" wp14:editId="07B1840E">
            <wp:extent cx="5274310" cy="17062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706245"/>
                    </a:xfrm>
                    <a:prstGeom prst="rect">
                      <a:avLst/>
                    </a:prstGeom>
                  </pic:spPr>
                </pic:pic>
              </a:graphicData>
            </a:graphic>
          </wp:inline>
        </w:drawing>
      </w:r>
    </w:p>
    <w:p w14:paraId="070BF38F" w14:textId="4571142A" w:rsidR="004768DE" w:rsidRDefault="007B6F8B" w:rsidP="004768DE">
      <w:r>
        <w:rPr>
          <w:rFonts w:hint="eastAsia"/>
        </w:rPr>
        <w:t xml:space="preserve"> </w:t>
      </w:r>
      <w:r>
        <w:t xml:space="preserve">   </w:t>
      </w:r>
    </w:p>
    <w:p w14:paraId="1E1F570B" w14:textId="49AEBA44" w:rsidR="007B6F8B" w:rsidRDefault="007B6F8B" w:rsidP="007B6F8B">
      <w:pPr>
        <w:ind w:firstLine="420"/>
      </w:pPr>
      <w:r>
        <w:rPr>
          <w:rFonts w:hint="eastAsia"/>
        </w:rPr>
        <w:t>PASS软件使用合并方差法时，在参数设置界面中Test</w:t>
      </w:r>
      <w:r>
        <w:t xml:space="preserve"> </w:t>
      </w:r>
      <w:r>
        <w:rPr>
          <w:rFonts w:hint="eastAsia"/>
        </w:rPr>
        <w:t>Type选择Z</w:t>
      </w:r>
      <w:r>
        <w:t>-</w:t>
      </w:r>
      <w:r>
        <w:rPr>
          <w:rFonts w:hint="eastAsia"/>
        </w:rPr>
        <w:t>Test</w:t>
      </w:r>
      <w:r>
        <w:t xml:space="preserve"> (</w:t>
      </w:r>
      <w:r>
        <w:rPr>
          <w:rFonts w:hint="eastAsia"/>
        </w:rPr>
        <w:t>Pooled</w:t>
      </w:r>
      <w:r>
        <w:t>)</w:t>
      </w:r>
      <w:r w:rsidR="00A65003">
        <w:rPr>
          <w:rFonts w:hint="eastAsia"/>
        </w:rPr>
        <w:t>，计算结果与独立方差法相同</w:t>
      </w:r>
      <w:r>
        <w:rPr>
          <w:rFonts w:hint="eastAsia"/>
        </w:rPr>
        <w:t>。</w:t>
      </w:r>
    </w:p>
    <w:p w14:paraId="00041AD8" w14:textId="7D06502D" w:rsidR="007B6F8B" w:rsidRDefault="00426164" w:rsidP="007B6F8B">
      <w:pPr>
        <w:ind w:firstLine="420"/>
      </w:pPr>
      <w:r w:rsidRPr="00426164">
        <w:rPr>
          <w:noProof/>
        </w:rPr>
        <w:lastRenderedPageBreak/>
        <w:drawing>
          <wp:inline distT="0" distB="0" distL="0" distR="0" wp14:anchorId="763ED750" wp14:editId="63D719C3">
            <wp:extent cx="5235394" cy="169940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35394" cy="1699407"/>
                    </a:xfrm>
                    <a:prstGeom prst="rect">
                      <a:avLst/>
                    </a:prstGeom>
                  </pic:spPr>
                </pic:pic>
              </a:graphicData>
            </a:graphic>
          </wp:inline>
        </w:drawing>
      </w:r>
    </w:p>
    <w:p w14:paraId="7AC0A010" w14:textId="40B37B71" w:rsidR="002E6133" w:rsidRPr="00ED5B0B" w:rsidRDefault="002E6133" w:rsidP="00A44E98">
      <w:pPr>
        <w:pStyle w:val="Heading2"/>
      </w:pPr>
      <w:r w:rsidRPr="00ED5B0B">
        <w:rPr>
          <w:rFonts w:hint="eastAsia"/>
        </w:rPr>
        <w:t>合并方差法</w:t>
      </w:r>
    </w:p>
    <w:p w14:paraId="2F13259E" w14:textId="282C35AB" w:rsidR="002E6133" w:rsidRDefault="00774553" w:rsidP="00A737EC">
      <w:pPr>
        <w:ind w:firstLineChars="200" w:firstLine="420"/>
      </w:pPr>
      <w:r>
        <w:t xml:space="preserve">例 </w:t>
      </w:r>
      <w:r w:rsidR="0059771A">
        <w:fldChar w:fldCharType="begin"/>
      </w:r>
      <w:r w:rsidR="0059771A">
        <w:instrText xml:space="preserve"> STYLEREF 1 \s </w:instrText>
      </w:r>
      <w:r w:rsidR="0059771A">
        <w:fldChar w:fldCharType="separate"/>
      </w:r>
      <w:r w:rsidR="0059771A">
        <w:rPr>
          <w:noProof/>
        </w:rPr>
        <w:t>6</w:t>
      </w:r>
      <w:r w:rsidR="0059771A">
        <w:fldChar w:fldCharType="end"/>
      </w:r>
      <w:r w:rsidR="0059771A">
        <w:noBreakHyphen/>
      </w:r>
      <w:r w:rsidR="0059771A">
        <w:fldChar w:fldCharType="begin"/>
      </w:r>
      <w:r w:rsidR="0059771A">
        <w:instrText xml:space="preserve"> SEQ 例 \* ARABIC \s 1 </w:instrText>
      </w:r>
      <w:r w:rsidR="0059771A">
        <w:fldChar w:fldCharType="separate"/>
      </w:r>
      <w:r w:rsidR="0059771A">
        <w:rPr>
          <w:noProof/>
        </w:rPr>
        <w:t>2</w:t>
      </w:r>
      <w:r w:rsidR="0059771A">
        <w:fldChar w:fldCharType="end"/>
      </w:r>
      <w:r w:rsidR="00D238D7">
        <w:rPr>
          <w:rFonts w:hint="eastAsia"/>
        </w:rPr>
        <w:t>某研究</w:t>
      </w:r>
      <w:r w:rsidR="00D238D7">
        <w:fldChar w:fldCharType="begin"/>
      </w:r>
      <w:r w:rsidR="0046144A">
        <w:instrText xml:space="preserve"> ADDIN NE.Ref.{DE2B28C9-1A6C-4A5F-B62F-EA65D4B0E2F6}</w:instrText>
      </w:r>
      <w:r w:rsidR="00D238D7">
        <w:fldChar w:fldCharType="separate"/>
      </w:r>
      <w:r w:rsidR="00507F63">
        <w:rPr>
          <w:rFonts w:ascii="等线" w:eastAsia="等线" w:cs="等线"/>
          <w:color w:val="000000"/>
          <w:kern w:val="0"/>
          <w:szCs w:val="21"/>
          <w:vertAlign w:val="superscript"/>
        </w:rPr>
        <w:t>7</w:t>
      </w:r>
      <w:r w:rsidR="00D238D7">
        <w:fldChar w:fldCharType="end"/>
      </w:r>
      <w:r w:rsidR="00790C1C">
        <w:rPr>
          <w:rFonts w:hint="eastAsia"/>
        </w:rPr>
        <w:t>对</w:t>
      </w:r>
      <w:r w:rsidR="00D238D7">
        <w:rPr>
          <w:rFonts w:hint="eastAsia"/>
        </w:rPr>
        <w:t>循环死亡</w:t>
      </w:r>
      <w:r w:rsidR="002726A0">
        <w:rPr>
          <w:rFonts w:hint="eastAsia"/>
        </w:rPr>
        <w:t>或脑死亡</w:t>
      </w:r>
      <w:r w:rsidR="00D238D7">
        <w:rPr>
          <w:rFonts w:hint="eastAsia"/>
        </w:rPr>
        <w:t>的心脏移植供体</w:t>
      </w:r>
      <w:r w:rsidR="00840686">
        <w:rPr>
          <w:rFonts w:hint="eastAsia"/>
        </w:rPr>
        <w:t>的使用</w:t>
      </w:r>
      <w:r w:rsidR="00790C1C">
        <w:rPr>
          <w:rFonts w:hint="eastAsia"/>
        </w:rPr>
        <w:t>进行了比较</w:t>
      </w:r>
      <w:r w:rsidR="00D238D7">
        <w:rPr>
          <w:rFonts w:hint="eastAsia"/>
        </w:rPr>
        <w:t>。</w:t>
      </w:r>
      <w:r w:rsidR="002726A0">
        <w:rPr>
          <w:rFonts w:hint="eastAsia"/>
        </w:rPr>
        <w:t>患者按</w:t>
      </w:r>
      <w:r w:rsidR="002726A0">
        <w:t>3</w:t>
      </w:r>
      <w:r w:rsidR="002726A0">
        <w:rPr>
          <w:rFonts w:hint="eastAsia"/>
        </w:rPr>
        <w:t>:</w:t>
      </w:r>
      <w:r w:rsidR="002726A0">
        <w:t>1</w:t>
      </w:r>
      <w:r w:rsidR="002726A0">
        <w:rPr>
          <w:rFonts w:hint="eastAsia"/>
        </w:rPr>
        <w:t>随机分为循环死亡供体组（试验组，可接受循环死亡供体或脑死亡供体的心脏，先到先得）和脑死亡供体组（</w:t>
      </w:r>
      <w:r w:rsidR="00ED165E">
        <w:rPr>
          <w:rFonts w:hint="eastAsia"/>
        </w:rPr>
        <w:t>标准治疗</w:t>
      </w:r>
      <w:r w:rsidR="002726A0">
        <w:rPr>
          <w:rFonts w:hint="eastAsia"/>
        </w:rPr>
        <w:t>对照组，只能接受脑死亡供体心脏）</w:t>
      </w:r>
      <w:r w:rsidR="00ED165E">
        <w:rPr>
          <w:rFonts w:hint="eastAsia"/>
        </w:rPr>
        <w:t>。假设试验组6个月生存率为8</w:t>
      </w:r>
      <w:r w:rsidR="00ED165E">
        <w:t>5%</w:t>
      </w:r>
      <w:r w:rsidR="00ED165E">
        <w:rPr>
          <w:rFonts w:hint="eastAsia"/>
        </w:rPr>
        <w:t>，对照组为9</w:t>
      </w:r>
      <w:r w:rsidR="00ED165E">
        <w:t>3%</w:t>
      </w:r>
      <w:r w:rsidR="00ED165E">
        <w:rPr>
          <w:rFonts w:hint="eastAsia"/>
        </w:rPr>
        <w:t>，非劣效界值2</w:t>
      </w:r>
      <w:r w:rsidR="00ED165E">
        <w:t>0%</w:t>
      </w:r>
      <w:r w:rsidR="00ED165E">
        <w:rPr>
          <w:rFonts w:hint="eastAsia"/>
        </w:rPr>
        <w:t>，单侧</w:t>
      </w:r>
      <w:r w:rsidR="00ED165E">
        <w:rPr>
          <w:rFonts w:asciiTheme="minorEastAsia" w:hAnsiTheme="minorEastAsia" w:hint="eastAsia"/>
        </w:rPr>
        <w:t>α</w:t>
      </w:r>
      <w:r w:rsidR="00ED165E">
        <w:rPr>
          <w:rFonts w:hint="eastAsia"/>
        </w:rPr>
        <w:t>=</w:t>
      </w:r>
      <w:r w:rsidR="00ED165E">
        <w:t>0.05</w:t>
      </w:r>
      <w:r w:rsidR="00E143DD">
        <w:rPr>
          <w:rFonts w:hint="eastAsia"/>
        </w:rPr>
        <w:t>。研究将按照实际治疗进行分析，考虑到试验组的患者非常少，即使试验组与对照组按3</w:t>
      </w:r>
      <w:r w:rsidR="00E143DD">
        <w:t>:1</w:t>
      </w:r>
      <w:r w:rsidR="00E143DD">
        <w:rPr>
          <w:rFonts w:hint="eastAsia"/>
        </w:rPr>
        <w:t>随机，预计实际治疗的比例为1</w:t>
      </w:r>
      <w:r w:rsidR="00E143DD">
        <w:t>:3</w:t>
      </w:r>
      <w:r w:rsidR="00E143DD">
        <w:rPr>
          <w:rFonts w:hint="eastAsia"/>
        </w:rPr>
        <w:t>，</w:t>
      </w:r>
      <w:r w:rsidR="00ED165E">
        <w:rPr>
          <w:rFonts w:hint="eastAsia"/>
        </w:rPr>
        <w:t>则</w:t>
      </w:r>
      <w:r w:rsidR="00E143DD">
        <w:rPr>
          <w:rFonts w:hint="eastAsia"/>
        </w:rPr>
        <w:t>试验组5</w:t>
      </w:r>
      <w:r w:rsidR="00E143DD">
        <w:t>3</w:t>
      </w:r>
      <w:r w:rsidR="00E143DD">
        <w:rPr>
          <w:rFonts w:hint="eastAsia"/>
        </w:rPr>
        <w:t>例，对照组1</w:t>
      </w:r>
      <w:r w:rsidR="00E143DD">
        <w:t>59</w:t>
      </w:r>
      <w:r w:rsidR="00E143DD">
        <w:rPr>
          <w:rFonts w:hint="eastAsia"/>
        </w:rPr>
        <w:t>例</w:t>
      </w:r>
      <w:r w:rsidR="00ED165E">
        <w:rPr>
          <w:rFonts w:hint="eastAsia"/>
        </w:rPr>
        <w:t>患者可以提供8</w:t>
      </w:r>
      <w:r w:rsidR="00ED165E">
        <w:t>0%</w:t>
      </w:r>
      <w:r w:rsidR="00ED165E">
        <w:rPr>
          <w:rFonts w:hint="eastAsia"/>
        </w:rPr>
        <w:t>的检验效能。</w:t>
      </w:r>
    </w:p>
    <w:p w14:paraId="6CC43B78" w14:textId="48A35940" w:rsidR="007E1E11" w:rsidRDefault="007E1E11" w:rsidP="003922B2">
      <w:pPr>
        <w:ind w:firstLineChars="202" w:firstLine="424"/>
      </w:pPr>
      <w:r>
        <w:rPr>
          <w:rFonts w:hint="eastAsia"/>
        </w:rPr>
        <w:t>Excel表显示此例采用了合并方差法</w:t>
      </w:r>
      <w:r w:rsidR="0011021A">
        <w:rPr>
          <w:rFonts w:hint="eastAsia"/>
        </w:rPr>
        <w:t>，</w:t>
      </w:r>
      <w:r w:rsidR="00840686">
        <w:rPr>
          <w:rFonts w:hint="eastAsia"/>
        </w:rPr>
        <w:t>如果</w:t>
      </w:r>
      <w:r w:rsidR="0011021A">
        <w:rPr>
          <w:rFonts w:hint="eastAsia"/>
        </w:rPr>
        <w:t>试验组取整为5</w:t>
      </w:r>
      <w:r w:rsidR="0011021A">
        <w:t>3</w:t>
      </w:r>
      <w:r w:rsidR="0011021A">
        <w:rPr>
          <w:rFonts w:hint="eastAsia"/>
        </w:rPr>
        <w:t>例，乘以3得1</w:t>
      </w:r>
      <w:r w:rsidR="0011021A">
        <w:t>59</w:t>
      </w:r>
      <w:r w:rsidR="0011021A">
        <w:rPr>
          <w:rFonts w:hint="eastAsia"/>
        </w:rPr>
        <w:t>为对照组例数，与原文完全相同</w:t>
      </w:r>
      <w:r>
        <w:rPr>
          <w:rFonts w:hint="eastAsia"/>
        </w:rPr>
        <w:t>。</w:t>
      </w:r>
    </w:p>
    <w:p w14:paraId="511CB8E7" w14:textId="17B84F43" w:rsidR="00E143DD" w:rsidRDefault="00B30259" w:rsidP="003922B2">
      <w:pPr>
        <w:ind w:firstLineChars="202" w:firstLine="424"/>
      </w:pPr>
      <w:r w:rsidRPr="00B30259">
        <w:rPr>
          <w:noProof/>
        </w:rPr>
        <w:drawing>
          <wp:inline distT="0" distB="0" distL="0" distR="0" wp14:anchorId="0CF392C1" wp14:editId="707370B9">
            <wp:extent cx="3168650" cy="1911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8650" cy="1911350"/>
                    </a:xfrm>
                    <a:prstGeom prst="rect">
                      <a:avLst/>
                    </a:prstGeom>
                    <a:noFill/>
                    <a:ln>
                      <a:noFill/>
                    </a:ln>
                  </pic:spPr>
                </pic:pic>
              </a:graphicData>
            </a:graphic>
          </wp:inline>
        </w:drawing>
      </w:r>
    </w:p>
    <w:p w14:paraId="13146DDC" w14:textId="77777777" w:rsidR="00E143DD" w:rsidRDefault="00E143DD" w:rsidP="003922B2">
      <w:pPr>
        <w:ind w:firstLineChars="202" w:firstLine="424"/>
      </w:pPr>
    </w:p>
    <w:p w14:paraId="187574EF" w14:textId="7D05C2C0" w:rsidR="00E143DD" w:rsidRDefault="00E143DD" w:rsidP="003922B2">
      <w:pPr>
        <w:ind w:firstLineChars="202" w:firstLine="424"/>
      </w:pPr>
      <w:r>
        <w:rPr>
          <w:rFonts w:hint="eastAsia"/>
        </w:rPr>
        <w:t>研究进行过程中发现试验组没有预期的那么少，</w:t>
      </w:r>
      <w:r w:rsidR="007E1E11">
        <w:rPr>
          <w:rFonts w:hint="eastAsia"/>
        </w:rPr>
        <w:t>两组实际治疗的比例接近</w:t>
      </w:r>
      <w:r>
        <w:rPr>
          <w:rFonts w:hint="eastAsia"/>
        </w:rPr>
        <w:t>1</w:t>
      </w:r>
      <w:r>
        <w:t>:1</w:t>
      </w:r>
      <w:r>
        <w:rPr>
          <w:rFonts w:hint="eastAsia"/>
        </w:rPr>
        <w:t>，重新计算样本量为1</w:t>
      </w:r>
      <w:r>
        <w:t>68</w:t>
      </w:r>
      <w:r>
        <w:rPr>
          <w:rFonts w:hint="eastAsia"/>
        </w:rPr>
        <w:t>例。</w:t>
      </w:r>
    </w:p>
    <w:p w14:paraId="7AC5FB14" w14:textId="7F272B42" w:rsidR="00D238D7" w:rsidRDefault="00B30259" w:rsidP="003922B2">
      <w:pPr>
        <w:ind w:firstLineChars="202" w:firstLine="424"/>
      </w:pPr>
      <w:r w:rsidRPr="00B30259">
        <w:rPr>
          <w:noProof/>
        </w:rPr>
        <w:drawing>
          <wp:inline distT="0" distB="0" distL="0" distR="0" wp14:anchorId="7D005002" wp14:editId="4EBB3683">
            <wp:extent cx="3168650" cy="1911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8650" cy="1911350"/>
                    </a:xfrm>
                    <a:prstGeom prst="rect">
                      <a:avLst/>
                    </a:prstGeom>
                    <a:noFill/>
                    <a:ln>
                      <a:noFill/>
                    </a:ln>
                  </pic:spPr>
                </pic:pic>
              </a:graphicData>
            </a:graphic>
          </wp:inline>
        </w:drawing>
      </w:r>
    </w:p>
    <w:p w14:paraId="4DE3A034" w14:textId="7D227894" w:rsidR="00D238D7" w:rsidRDefault="00D238D7" w:rsidP="003922B2">
      <w:pPr>
        <w:ind w:firstLineChars="202" w:firstLine="424"/>
      </w:pPr>
    </w:p>
    <w:p w14:paraId="528F8855" w14:textId="46206896" w:rsidR="00564290" w:rsidRDefault="00782AAE" w:rsidP="003922B2">
      <w:pPr>
        <w:ind w:firstLineChars="202" w:firstLine="424"/>
      </w:pPr>
      <w:r>
        <w:rPr>
          <w:rFonts w:hint="eastAsia"/>
        </w:rPr>
        <w:lastRenderedPageBreak/>
        <w:t>暂未找到合适的R语言包提供两组率的合并方差法的非劣效比较样本量计算，自编程序并计算如下：</w:t>
      </w:r>
    </w:p>
    <w:p w14:paraId="77861257" w14:textId="77777777" w:rsidR="00782AAE" w:rsidRDefault="00782AAE" w:rsidP="00782AAE">
      <w:pPr>
        <w:ind w:firstLineChars="202" w:firstLine="424"/>
      </w:pPr>
      <w:proofErr w:type="spellStart"/>
      <w:proofErr w:type="gramStart"/>
      <w:r>
        <w:t>ni.pooled</w:t>
      </w:r>
      <w:proofErr w:type="spellEnd"/>
      <w:proofErr w:type="gramEnd"/>
      <w:r>
        <w:t xml:space="preserve"> &lt;- function(</w:t>
      </w:r>
      <w:proofErr w:type="spellStart"/>
      <w:r>
        <w:t>pi.c</w:t>
      </w:r>
      <w:proofErr w:type="spellEnd"/>
      <w:r>
        <w:t>, pi.t, delta, r = 1, alpha = 0.05, beta = 0.1){</w:t>
      </w:r>
    </w:p>
    <w:p w14:paraId="6D7A9E72" w14:textId="77777777" w:rsidR="00782AAE" w:rsidRDefault="00782AAE" w:rsidP="00782AAE">
      <w:pPr>
        <w:ind w:firstLineChars="202" w:firstLine="424"/>
      </w:pPr>
      <w:r>
        <w:t xml:space="preserve">  pi &lt;- (pi.c+pi.t*r)/(1+r)</w:t>
      </w:r>
    </w:p>
    <w:p w14:paraId="141D6B96" w14:textId="77777777" w:rsidR="00782AAE" w:rsidRDefault="00782AAE" w:rsidP="00782AAE">
      <w:pPr>
        <w:ind w:firstLineChars="202" w:firstLine="424"/>
      </w:pPr>
      <w:r>
        <w:t xml:space="preserve">  </w:t>
      </w:r>
      <w:proofErr w:type="spellStart"/>
      <w:r>
        <w:t>n.c</w:t>
      </w:r>
      <w:proofErr w:type="spellEnd"/>
      <w:r>
        <w:t xml:space="preserve"> &lt;- (</w:t>
      </w:r>
      <w:proofErr w:type="spellStart"/>
      <w:r>
        <w:t>qnorm</w:t>
      </w:r>
      <w:proofErr w:type="spellEnd"/>
      <w:r>
        <w:t>(alpha/</w:t>
      </w:r>
      <w:proofErr w:type="gramStart"/>
      <w:r>
        <w:t>2)*</w:t>
      </w:r>
      <w:proofErr w:type="gramEnd"/>
      <w:r>
        <w:t>sqrt(pi*(1-pi)*(1+1/r))+</w:t>
      </w:r>
    </w:p>
    <w:p w14:paraId="47B509D2" w14:textId="77777777" w:rsidR="00782AAE" w:rsidRDefault="00782AAE" w:rsidP="00782AAE">
      <w:pPr>
        <w:ind w:firstLineChars="202" w:firstLine="424"/>
      </w:pPr>
      <w:r>
        <w:t xml:space="preserve">          </w:t>
      </w:r>
      <w:proofErr w:type="spellStart"/>
      <w:r>
        <w:t>qnorm</w:t>
      </w:r>
      <w:proofErr w:type="spellEnd"/>
      <w:r>
        <w:t>(beta)*sqrt(</w:t>
      </w:r>
      <w:proofErr w:type="spellStart"/>
      <w:r>
        <w:t>pi.c</w:t>
      </w:r>
      <w:proofErr w:type="spellEnd"/>
      <w:r>
        <w:t>*(1-pi.</w:t>
      </w:r>
      <w:proofErr w:type="gramStart"/>
      <w:r>
        <w:t>c)+</w:t>
      </w:r>
      <w:proofErr w:type="gramEnd"/>
      <w:r>
        <w:t>pi.t*(1-pi.t)/r))^2/</w:t>
      </w:r>
    </w:p>
    <w:p w14:paraId="07469D33" w14:textId="77777777" w:rsidR="00782AAE" w:rsidRDefault="00782AAE" w:rsidP="00782AAE">
      <w:pPr>
        <w:ind w:firstLineChars="202" w:firstLine="424"/>
      </w:pPr>
      <w:r>
        <w:t xml:space="preserve">          (pi.t-</w:t>
      </w:r>
      <w:proofErr w:type="spellStart"/>
      <w:r>
        <w:t>pi.c</w:t>
      </w:r>
      <w:proofErr w:type="spellEnd"/>
      <w:r>
        <w:t>-</w:t>
      </w:r>
      <w:proofErr w:type="gramStart"/>
      <w:r>
        <w:t>delta)^</w:t>
      </w:r>
      <w:proofErr w:type="gramEnd"/>
      <w:r>
        <w:t>2</w:t>
      </w:r>
    </w:p>
    <w:p w14:paraId="3B09742F" w14:textId="77777777" w:rsidR="00782AAE" w:rsidRDefault="00782AAE" w:rsidP="00782AAE">
      <w:pPr>
        <w:ind w:firstLineChars="202" w:firstLine="424"/>
      </w:pPr>
      <w:r>
        <w:t xml:space="preserve">  n.t &lt;- </w:t>
      </w:r>
      <w:proofErr w:type="spellStart"/>
      <w:r>
        <w:t>n.c</w:t>
      </w:r>
      <w:proofErr w:type="spellEnd"/>
      <w:r>
        <w:t>*r</w:t>
      </w:r>
    </w:p>
    <w:p w14:paraId="74BB13ED" w14:textId="77777777" w:rsidR="00782AAE" w:rsidRDefault="00782AAE" w:rsidP="00782AAE">
      <w:pPr>
        <w:ind w:firstLineChars="202" w:firstLine="424"/>
      </w:pPr>
      <w:r>
        <w:t xml:space="preserve">  </w:t>
      </w:r>
      <w:proofErr w:type="spellStart"/>
      <w:proofErr w:type="gramStart"/>
      <w:r>
        <w:t>ni.n</w:t>
      </w:r>
      <w:proofErr w:type="spellEnd"/>
      <w:proofErr w:type="gramEnd"/>
      <w:r>
        <w:t xml:space="preserve"> &lt;- c(</w:t>
      </w:r>
      <w:proofErr w:type="spellStart"/>
      <w:r>
        <w:t>n.c</w:t>
      </w:r>
      <w:proofErr w:type="spellEnd"/>
      <w:r>
        <w:t>, n.t)</w:t>
      </w:r>
    </w:p>
    <w:p w14:paraId="47F857AB" w14:textId="77777777" w:rsidR="00782AAE" w:rsidRDefault="00782AAE" w:rsidP="00782AAE">
      <w:pPr>
        <w:ind w:firstLineChars="202" w:firstLine="424"/>
      </w:pPr>
      <w:r>
        <w:t xml:space="preserve">  names(</w:t>
      </w:r>
      <w:proofErr w:type="spellStart"/>
      <w:proofErr w:type="gramStart"/>
      <w:r>
        <w:t>ni.n</w:t>
      </w:r>
      <w:proofErr w:type="spellEnd"/>
      <w:proofErr w:type="gramEnd"/>
      <w:r>
        <w:t>) &lt;- c("</w:t>
      </w:r>
      <w:proofErr w:type="spellStart"/>
      <w:r>
        <w:t>n.c","n.t</w:t>
      </w:r>
      <w:proofErr w:type="spellEnd"/>
      <w:r>
        <w:t>")</w:t>
      </w:r>
    </w:p>
    <w:p w14:paraId="1D481C9B" w14:textId="77777777" w:rsidR="00782AAE" w:rsidRDefault="00782AAE" w:rsidP="00782AAE">
      <w:pPr>
        <w:ind w:firstLineChars="202" w:firstLine="424"/>
      </w:pPr>
      <w:r>
        <w:t xml:space="preserve">  return(</w:t>
      </w:r>
      <w:proofErr w:type="spellStart"/>
      <w:proofErr w:type="gramStart"/>
      <w:r>
        <w:t>ni.n</w:t>
      </w:r>
      <w:proofErr w:type="spellEnd"/>
      <w:proofErr w:type="gramEnd"/>
      <w:r>
        <w:t>)</w:t>
      </w:r>
    </w:p>
    <w:p w14:paraId="727E25D8" w14:textId="77777777" w:rsidR="00782AAE" w:rsidRDefault="00782AAE" w:rsidP="00782AAE">
      <w:pPr>
        <w:ind w:firstLineChars="202" w:firstLine="424"/>
      </w:pPr>
      <w:r>
        <w:t>}</w:t>
      </w:r>
    </w:p>
    <w:p w14:paraId="2E22BEF0" w14:textId="4EE23F19" w:rsidR="009C7D8E" w:rsidRDefault="0059771A" w:rsidP="0059771A">
      <w:pPr>
        <w:ind w:firstLineChars="202" w:firstLine="424"/>
      </w:pPr>
      <w:proofErr w:type="spellStart"/>
      <w:proofErr w:type="gramStart"/>
      <w:r>
        <w:t>ni.pooled</w:t>
      </w:r>
      <w:proofErr w:type="spellEnd"/>
      <w:proofErr w:type="gramEnd"/>
      <w:r>
        <w:t>(</w:t>
      </w:r>
      <w:proofErr w:type="spellStart"/>
      <w:r>
        <w:t>pi.c</w:t>
      </w:r>
      <w:proofErr w:type="spellEnd"/>
      <w:r>
        <w:t xml:space="preserve"> = 0.93, pi.t = 0.85, delta = -0.2, r = 1/3, alpha = 0.1, beta = 0.2)</w:t>
      </w:r>
    </w:p>
    <w:p w14:paraId="7A5341FB" w14:textId="39B74957" w:rsidR="009C7D8E" w:rsidRDefault="009C7D8E" w:rsidP="00782AAE">
      <w:pPr>
        <w:ind w:firstLineChars="202" w:firstLine="424"/>
      </w:pPr>
      <w:r>
        <w:rPr>
          <w:rFonts w:hint="eastAsia"/>
        </w:rPr>
        <w:t>结果输出：</w:t>
      </w:r>
    </w:p>
    <w:p w14:paraId="30F0721A" w14:textId="77777777" w:rsidR="0059771A" w:rsidRPr="0059771A" w:rsidRDefault="0059771A" w:rsidP="0059771A">
      <w:pPr>
        <w:ind w:firstLineChars="202" w:firstLine="424"/>
      </w:pPr>
      <w:r w:rsidRPr="0059771A">
        <w:t xml:space="preserve">      </w:t>
      </w:r>
      <w:proofErr w:type="spellStart"/>
      <w:r w:rsidRPr="0059771A">
        <w:t>n.c</w:t>
      </w:r>
      <w:proofErr w:type="spellEnd"/>
      <w:r w:rsidRPr="0059771A">
        <w:t xml:space="preserve">       n.t </w:t>
      </w:r>
    </w:p>
    <w:p w14:paraId="13560B2B" w14:textId="77777777" w:rsidR="0059771A" w:rsidRPr="0059771A" w:rsidRDefault="0059771A" w:rsidP="0059771A">
      <w:pPr>
        <w:ind w:firstLineChars="202" w:firstLine="424"/>
      </w:pPr>
      <w:proofErr w:type="gramStart"/>
      <w:r w:rsidRPr="0059771A">
        <w:t>157.19379  52.39793</w:t>
      </w:r>
      <w:proofErr w:type="gramEnd"/>
      <w:r w:rsidRPr="0059771A">
        <w:t xml:space="preserve"> </w:t>
      </w:r>
    </w:p>
    <w:p w14:paraId="645927DE" w14:textId="581FC929" w:rsidR="00782AAE" w:rsidRDefault="00782AAE" w:rsidP="00782AAE">
      <w:pPr>
        <w:ind w:firstLineChars="202" w:firstLine="424"/>
      </w:pPr>
      <w:proofErr w:type="spellStart"/>
      <w:proofErr w:type="gramStart"/>
      <w:r>
        <w:t>ni.pooled</w:t>
      </w:r>
      <w:proofErr w:type="spellEnd"/>
      <w:proofErr w:type="gramEnd"/>
      <w:r>
        <w:t>(</w:t>
      </w:r>
      <w:proofErr w:type="spellStart"/>
      <w:r>
        <w:t>pi.c</w:t>
      </w:r>
      <w:proofErr w:type="spellEnd"/>
      <w:r>
        <w:t xml:space="preserve"> = 0.93, pi.t = 0.85, delta = -0.2, alpha = 0.1, beta = 0.2)</w:t>
      </w:r>
    </w:p>
    <w:p w14:paraId="5675151E" w14:textId="62B65519" w:rsidR="00782AAE" w:rsidRDefault="00782AAE" w:rsidP="00782AAE">
      <w:pPr>
        <w:ind w:firstLineChars="202" w:firstLine="424"/>
      </w:pPr>
      <w:r>
        <w:rPr>
          <w:rFonts w:hint="eastAsia"/>
        </w:rPr>
        <w:t>结果输出：</w:t>
      </w:r>
    </w:p>
    <w:p w14:paraId="1DA52B1D" w14:textId="77777777" w:rsidR="00782AAE" w:rsidRDefault="00782AAE" w:rsidP="00782AAE">
      <w:pPr>
        <w:ind w:firstLineChars="202" w:firstLine="424"/>
      </w:pPr>
      <w:r>
        <w:t xml:space="preserve">    </w:t>
      </w:r>
      <w:proofErr w:type="spellStart"/>
      <w:r>
        <w:t>n.c</w:t>
      </w:r>
      <w:proofErr w:type="spellEnd"/>
      <w:r>
        <w:t xml:space="preserve">     n.t </w:t>
      </w:r>
    </w:p>
    <w:p w14:paraId="07EB8B29" w14:textId="6473AB02" w:rsidR="00782AAE" w:rsidRDefault="00782AAE" w:rsidP="00782AAE">
      <w:pPr>
        <w:ind w:firstLineChars="202" w:firstLine="424"/>
      </w:pPr>
      <w:r>
        <w:t>83.5993 83.5993</w:t>
      </w:r>
    </w:p>
    <w:p w14:paraId="25AF521F" w14:textId="3F813E5D" w:rsidR="00130240" w:rsidRDefault="00B30259" w:rsidP="00E1794F">
      <w:pPr>
        <w:ind w:firstLineChars="202" w:firstLine="424"/>
      </w:pPr>
      <w:r>
        <w:rPr>
          <w:rFonts w:hint="eastAsia"/>
        </w:rPr>
        <w:t>PASS软件计算两次的结果分别为2</w:t>
      </w:r>
      <w:r>
        <w:t>12</w:t>
      </w:r>
      <w:r>
        <w:rPr>
          <w:rFonts w:hint="eastAsia"/>
        </w:rPr>
        <w:t>例和</w:t>
      </w:r>
      <w:r w:rsidR="0011021A">
        <w:rPr>
          <w:rFonts w:hint="eastAsia"/>
        </w:rPr>
        <w:t>1</w:t>
      </w:r>
      <w:r w:rsidR="0011021A">
        <w:t>68</w:t>
      </w:r>
      <w:r w:rsidR="0011021A">
        <w:rPr>
          <w:rFonts w:hint="eastAsia"/>
        </w:rPr>
        <w:t>例</w:t>
      </w:r>
      <w:r>
        <w:rPr>
          <w:rFonts w:hint="eastAsia"/>
        </w:rPr>
        <w:t>。</w:t>
      </w:r>
      <w:r w:rsidR="00130240">
        <w:rPr>
          <w:rFonts w:hint="eastAsia"/>
        </w:rPr>
        <w:t>操作时依次点击Non</w:t>
      </w:r>
      <w:r w:rsidR="00130240">
        <w:t>-Inferiority, Proportions, Two Independent Proportions, Non-Inferiority Tests for the Difference Between Two Proportions</w:t>
      </w:r>
      <w:r w:rsidR="00130240">
        <w:rPr>
          <w:rFonts w:hint="eastAsia"/>
        </w:rPr>
        <w:t>。参数界面Test</w:t>
      </w:r>
      <w:r w:rsidR="00130240">
        <w:t xml:space="preserve"> </w:t>
      </w:r>
      <w:r w:rsidR="00130240">
        <w:rPr>
          <w:rFonts w:hint="eastAsia"/>
        </w:rPr>
        <w:t>Type选择Z</w:t>
      </w:r>
      <w:r w:rsidR="00130240">
        <w:t>-</w:t>
      </w:r>
      <w:r w:rsidR="00130240">
        <w:rPr>
          <w:rFonts w:hint="eastAsia"/>
        </w:rPr>
        <w:t>Test</w:t>
      </w:r>
      <w:r w:rsidR="00130240">
        <w:t xml:space="preserve"> (Pooled)</w:t>
      </w:r>
      <w:r w:rsidR="00130240">
        <w:rPr>
          <w:rFonts w:hint="eastAsia"/>
        </w:rPr>
        <w:t>。</w:t>
      </w:r>
    </w:p>
    <w:p w14:paraId="11563A5A" w14:textId="54CB4FD7" w:rsidR="00E1794F" w:rsidRDefault="00130240" w:rsidP="00E1794F">
      <w:pPr>
        <w:ind w:firstLineChars="202" w:firstLine="424"/>
      </w:pPr>
      <w:r w:rsidRPr="00130240">
        <w:rPr>
          <w:noProof/>
        </w:rPr>
        <w:lastRenderedPageBreak/>
        <w:drawing>
          <wp:inline distT="0" distB="0" distL="0" distR="0" wp14:anchorId="29F3144B" wp14:editId="6D5E46B4">
            <wp:extent cx="4892464" cy="5273497"/>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2464" cy="5273497"/>
                    </a:xfrm>
                    <a:prstGeom prst="rect">
                      <a:avLst/>
                    </a:prstGeom>
                  </pic:spPr>
                </pic:pic>
              </a:graphicData>
            </a:graphic>
          </wp:inline>
        </w:drawing>
      </w:r>
    </w:p>
    <w:p w14:paraId="16C2CD0A" w14:textId="77777777" w:rsidR="00130240" w:rsidRDefault="00130240" w:rsidP="00E1794F">
      <w:pPr>
        <w:ind w:firstLineChars="202" w:firstLine="424"/>
      </w:pPr>
    </w:p>
    <w:p w14:paraId="0649D0D9" w14:textId="13B6D85E" w:rsidR="007E1E11" w:rsidRDefault="00041673" w:rsidP="003922B2">
      <w:pPr>
        <w:ind w:firstLineChars="202" w:firstLine="424"/>
      </w:pPr>
      <w:r w:rsidRPr="00041673">
        <w:rPr>
          <w:noProof/>
        </w:rPr>
        <w:drawing>
          <wp:inline distT="0" distB="0" distL="0" distR="0" wp14:anchorId="68974C69" wp14:editId="1DB16776">
            <wp:extent cx="5274310" cy="158178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581785"/>
                    </a:xfrm>
                    <a:prstGeom prst="rect">
                      <a:avLst/>
                    </a:prstGeom>
                  </pic:spPr>
                </pic:pic>
              </a:graphicData>
            </a:graphic>
          </wp:inline>
        </w:drawing>
      </w:r>
    </w:p>
    <w:p w14:paraId="4D3B227F" w14:textId="77777777" w:rsidR="00B30259" w:rsidRDefault="00B30259" w:rsidP="003922B2">
      <w:pPr>
        <w:ind w:firstLineChars="202" w:firstLine="424"/>
      </w:pPr>
    </w:p>
    <w:p w14:paraId="0110227A" w14:textId="58CB21CA" w:rsidR="00D238D7" w:rsidRDefault="007E1E11" w:rsidP="003922B2">
      <w:pPr>
        <w:ind w:firstLineChars="202" w:firstLine="424"/>
      </w:pPr>
      <w:r>
        <w:rPr>
          <w:rFonts w:hint="eastAsia"/>
        </w:rPr>
        <w:t>该研究</w:t>
      </w:r>
      <w:r w:rsidR="00840686">
        <w:rPr>
          <w:rFonts w:hint="eastAsia"/>
        </w:rPr>
        <w:t>最终</w:t>
      </w:r>
      <w:r w:rsidR="00790C1C">
        <w:rPr>
          <w:rFonts w:hint="eastAsia"/>
        </w:rPr>
        <w:t>有</w:t>
      </w:r>
      <w:r w:rsidR="00D238D7">
        <w:rPr>
          <w:rFonts w:hint="eastAsia"/>
        </w:rPr>
        <w:t>1</w:t>
      </w:r>
      <w:r w:rsidR="00D238D7">
        <w:t>80</w:t>
      </w:r>
      <w:r w:rsidR="00D238D7">
        <w:rPr>
          <w:rFonts w:hint="eastAsia"/>
        </w:rPr>
        <w:t>例患者接受了心脏移植，</w:t>
      </w:r>
      <w:r w:rsidR="002726A0">
        <w:rPr>
          <w:rFonts w:hint="eastAsia"/>
        </w:rPr>
        <w:t>其中1</w:t>
      </w:r>
      <w:r w:rsidR="002726A0">
        <w:t>64</w:t>
      </w:r>
      <w:r w:rsidR="002726A0">
        <w:rPr>
          <w:rFonts w:hint="eastAsia"/>
        </w:rPr>
        <w:t>例</w:t>
      </w:r>
      <w:r>
        <w:rPr>
          <w:rFonts w:hint="eastAsia"/>
        </w:rPr>
        <w:t>（8</w:t>
      </w:r>
      <w:r>
        <w:t>0</w:t>
      </w:r>
      <w:r>
        <w:rPr>
          <w:rFonts w:hint="eastAsia"/>
        </w:rPr>
        <w:t>例接受了循环死亡供体的心脏，8</w:t>
      </w:r>
      <w:r>
        <w:t>6</w:t>
      </w:r>
      <w:r>
        <w:rPr>
          <w:rFonts w:hint="eastAsia"/>
        </w:rPr>
        <w:t>例接受了脑死亡供体的心脏）</w:t>
      </w:r>
      <w:r w:rsidR="002726A0">
        <w:rPr>
          <w:rFonts w:hint="eastAsia"/>
        </w:rPr>
        <w:t>纳入</w:t>
      </w:r>
      <w:r>
        <w:rPr>
          <w:rFonts w:hint="eastAsia"/>
        </w:rPr>
        <w:t>了</w:t>
      </w:r>
      <w:r w:rsidR="002726A0">
        <w:rPr>
          <w:rFonts w:hint="eastAsia"/>
        </w:rPr>
        <w:t>实际治疗分析。风险调整后的6个月生存率在循环死亡供体组</w:t>
      </w:r>
      <w:r>
        <w:rPr>
          <w:rFonts w:hint="eastAsia"/>
        </w:rPr>
        <w:t>为</w:t>
      </w:r>
      <w:r w:rsidR="002726A0">
        <w:rPr>
          <w:rFonts w:hint="eastAsia"/>
        </w:rPr>
        <w:t>9</w:t>
      </w:r>
      <w:r w:rsidR="002726A0">
        <w:t>4%</w:t>
      </w:r>
      <w:r w:rsidR="002726A0">
        <w:rPr>
          <w:rFonts w:hint="eastAsia"/>
        </w:rPr>
        <w:t>，脑死亡供体组为9</w:t>
      </w:r>
      <w:r w:rsidR="002726A0">
        <w:t>0%</w:t>
      </w:r>
      <w:r w:rsidR="002726A0">
        <w:rPr>
          <w:rFonts w:hint="eastAsia"/>
        </w:rPr>
        <w:t>（最小平方均数差-</w:t>
      </w:r>
      <w:r w:rsidR="002726A0">
        <w:t>3</w:t>
      </w:r>
      <w:r w:rsidR="002726A0">
        <w:rPr>
          <w:rFonts w:hint="eastAsia"/>
        </w:rPr>
        <w:t>，9</w:t>
      </w:r>
      <w:r w:rsidR="002726A0">
        <w:t>0%</w:t>
      </w:r>
      <w:r w:rsidR="002726A0">
        <w:rPr>
          <w:rFonts w:hint="eastAsia"/>
        </w:rPr>
        <w:t>置信区间-</w:t>
      </w:r>
      <w:r w:rsidR="002726A0">
        <w:t>10~3</w:t>
      </w:r>
      <w:r w:rsidR="002726A0">
        <w:rPr>
          <w:rFonts w:hint="eastAsia"/>
        </w:rPr>
        <w:t>），非劣效P</w:t>
      </w:r>
      <w:r w:rsidR="002726A0">
        <w:t>&lt;0.001</w:t>
      </w:r>
      <w:r w:rsidR="002726A0">
        <w:rPr>
          <w:rFonts w:hint="eastAsia"/>
        </w:rPr>
        <w:t>，研究达成。</w:t>
      </w:r>
    </w:p>
    <w:p w14:paraId="20AF908D" w14:textId="33657BC1" w:rsidR="00895360" w:rsidRPr="00A44E98" w:rsidRDefault="00895360" w:rsidP="00A44E98">
      <w:pPr>
        <w:pStyle w:val="Heading2"/>
      </w:pPr>
      <w:r w:rsidRPr="00A44E98">
        <w:rPr>
          <w:rFonts w:hint="eastAsia"/>
        </w:rPr>
        <w:t>Farrington</w:t>
      </w:r>
      <w:r w:rsidRPr="00A44E98">
        <w:t>-</w:t>
      </w:r>
      <w:r w:rsidRPr="00A44E98">
        <w:rPr>
          <w:rFonts w:hint="eastAsia"/>
        </w:rPr>
        <w:t>Manning</w:t>
      </w:r>
      <w:r w:rsidR="00E96F72" w:rsidRPr="00A44E98">
        <w:rPr>
          <w:rFonts w:hint="eastAsia"/>
        </w:rPr>
        <w:t>法</w:t>
      </w:r>
    </w:p>
    <w:p w14:paraId="0A493A6E" w14:textId="122CEE2C" w:rsidR="00895360" w:rsidRDefault="009C7D8E" w:rsidP="0011021A">
      <w:pPr>
        <w:ind w:firstLineChars="200" w:firstLine="420"/>
      </w:pPr>
      <w:bookmarkStart w:id="3" w:name="_Ref140753587"/>
      <w:r>
        <w:lastRenderedPageBreak/>
        <w:t xml:space="preserve">例 </w:t>
      </w:r>
      <w:r w:rsidR="0059771A">
        <w:fldChar w:fldCharType="begin"/>
      </w:r>
      <w:r w:rsidR="0059771A">
        <w:instrText xml:space="preserve"> STYLEREF 1 \s </w:instrText>
      </w:r>
      <w:r w:rsidR="0059771A">
        <w:fldChar w:fldCharType="separate"/>
      </w:r>
      <w:r w:rsidR="0059771A">
        <w:rPr>
          <w:noProof/>
        </w:rPr>
        <w:t>6</w:t>
      </w:r>
      <w:r w:rsidR="0059771A">
        <w:fldChar w:fldCharType="end"/>
      </w:r>
      <w:r w:rsidR="0059771A">
        <w:noBreakHyphen/>
      </w:r>
      <w:r w:rsidR="0059771A">
        <w:fldChar w:fldCharType="begin"/>
      </w:r>
      <w:r w:rsidR="0059771A">
        <w:instrText xml:space="preserve"> SEQ 例 \* ARABIC \s 1 </w:instrText>
      </w:r>
      <w:r w:rsidR="0059771A">
        <w:fldChar w:fldCharType="separate"/>
      </w:r>
      <w:r w:rsidR="0059771A">
        <w:rPr>
          <w:noProof/>
        </w:rPr>
        <w:t>3</w:t>
      </w:r>
      <w:r w:rsidR="0059771A">
        <w:fldChar w:fldCharType="end"/>
      </w:r>
      <w:bookmarkEnd w:id="3"/>
      <w:r w:rsidR="002E6133">
        <w:t xml:space="preserve"> </w:t>
      </w:r>
      <w:r w:rsidR="00895360">
        <w:rPr>
          <w:rFonts w:hint="eastAsia"/>
        </w:rPr>
        <w:t>EVOLVE</w:t>
      </w:r>
      <w:r w:rsidR="00895360">
        <w:t xml:space="preserve"> </w:t>
      </w:r>
      <w:r w:rsidR="00895360">
        <w:rPr>
          <w:rFonts w:hint="eastAsia"/>
        </w:rPr>
        <w:t>II研究</w:t>
      </w:r>
      <w:r w:rsidR="00895360">
        <w:fldChar w:fldCharType="begin"/>
      </w:r>
      <w:r w:rsidR="0046144A">
        <w:instrText xml:space="preserve"> ADDIN NE.Ref.{5AAA1BF6-9933-4FBC-8CFF-7540F4AF6CC2}</w:instrText>
      </w:r>
      <w:r w:rsidR="00895360">
        <w:fldChar w:fldCharType="separate"/>
      </w:r>
      <w:r w:rsidR="00507F63">
        <w:rPr>
          <w:rFonts w:ascii="等线" w:eastAsia="等线" w:cs="等线"/>
          <w:color w:val="000000"/>
          <w:kern w:val="0"/>
          <w:szCs w:val="21"/>
          <w:vertAlign w:val="superscript"/>
        </w:rPr>
        <w:t>8</w:t>
      </w:r>
      <w:r w:rsidR="00895360">
        <w:fldChar w:fldCharType="end"/>
      </w:r>
      <w:r w:rsidR="00895360">
        <w:rPr>
          <w:rFonts w:hint="eastAsia"/>
        </w:rPr>
        <w:t>比较</w:t>
      </w:r>
      <w:r>
        <w:rPr>
          <w:rFonts w:hint="eastAsia"/>
        </w:rPr>
        <w:t>了</w:t>
      </w:r>
      <w:r w:rsidR="00895360">
        <w:rPr>
          <w:rFonts w:hint="eastAsia"/>
        </w:rPr>
        <w:t>新型冠脉支架SYNERGY和</w:t>
      </w:r>
      <w:r w:rsidR="0011021A">
        <w:rPr>
          <w:rFonts w:hint="eastAsia"/>
        </w:rPr>
        <w:t>临床正在使用的冠脉</w:t>
      </w:r>
      <w:r w:rsidR="00895360">
        <w:rPr>
          <w:rFonts w:hint="eastAsia"/>
        </w:rPr>
        <w:t>支架PE</w:t>
      </w:r>
      <w:r w:rsidR="00895360">
        <w:t xml:space="preserve"> </w:t>
      </w:r>
      <w:r w:rsidR="00895360">
        <w:rPr>
          <w:rFonts w:hint="eastAsia"/>
        </w:rPr>
        <w:t>Plus。主要终点为1</w:t>
      </w:r>
      <w:r w:rsidR="00895360">
        <w:t>2</w:t>
      </w:r>
      <w:r w:rsidR="00895360">
        <w:rPr>
          <w:rFonts w:hint="eastAsia"/>
        </w:rPr>
        <w:t>个月靶病变失败率，假设两组的预期值均为8</w:t>
      </w:r>
      <w:r w:rsidR="00895360">
        <w:t>%</w:t>
      </w:r>
      <w:r w:rsidR="00895360">
        <w:rPr>
          <w:rFonts w:hint="eastAsia"/>
        </w:rPr>
        <w:t>，非劣效界值4</w:t>
      </w:r>
      <w:r w:rsidR="00895360">
        <w:t>.4%</w:t>
      </w:r>
      <w:r w:rsidR="00895360">
        <w:rPr>
          <w:rFonts w:hint="eastAsia"/>
        </w:rPr>
        <w:t>（两组差值的单侧9</w:t>
      </w:r>
      <w:r w:rsidR="00895360">
        <w:t>7</w:t>
      </w:r>
      <w:r w:rsidR="00895360">
        <w:rPr>
          <w:rFonts w:hint="eastAsia"/>
        </w:rPr>
        <w:t>.</w:t>
      </w:r>
      <w:r w:rsidR="00895360">
        <w:t>5%</w:t>
      </w:r>
      <w:r w:rsidR="00895360">
        <w:rPr>
          <w:rFonts w:hint="eastAsia"/>
        </w:rPr>
        <w:t>置信区间上限需小于该界值），脱落率5</w:t>
      </w:r>
      <w:r w:rsidR="00895360">
        <w:t>%</w:t>
      </w:r>
      <w:r w:rsidR="00895360">
        <w:rPr>
          <w:rFonts w:hint="eastAsia"/>
        </w:rPr>
        <w:t>，则1</w:t>
      </w:r>
      <w:r w:rsidR="00895360">
        <w:t>684</w:t>
      </w:r>
      <w:r w:rsidR="00895360">
        <w:rPr>
          <w:rFonts w:hint="eastAsia"/>
        </w:rPr>
        <w:t>例患者可提供0.</w:t>
      </w:r>
      <w:r w:rsidR="00895360">
        <w:t>89</w:t>
      </w:r>
      <w:r w:rsidR="00895360">
        <w:rPr>
          <w:rFonts w:hint="eastAsia"/>
        </w:rPr>
        <w:t>检验功效。</w:t>
      </w:r>
      <w:r>
        <w:rPr>
          <w:rFonts w:hint="eastAsia"/>
        </w:rPr>
        <w:t>使用</w:t>
      </w:r>
      <w:r w:rsidR="00895360">
        <w:rPr>
          <w:rFonts w:hint="eastAsia"/>
        </w:rPr>
        <w:t>Farring</w:t>
      </w:r>
      <w:r w:rsidR="00895360">
        <w:t>ton-Manning</w:t>
      </w:r>
      <w:r w:rsidR="00895360">
        <w:rPr>
          <w:rFonts w:hint="eastAsia"/>
        </w:rPr>
        <w:t>检验，要求ITT和PP分析均满足才能宣称非劣效。</w:t>
      </w:r>
    </w:p>
    <w:p w14:paraId="06EB3B45" w14:textId="75C3B111" w:rsidR="001B6B62" w:rsidRDefault="001B6B62" w:rsidP="001B6B62">
      <w:pPr>
        <w:ind w:firstLineChars="202" w:firstLine="424"/>
      </w:pPr>
      <w:r>
        <w:rPr>
          <w:rFonts w:hint="eastAsia"/>
        </w:rPr>
        <w:t>Excel表独立方差法</w:t>
      </w:r>
      <w:r w:rsidR="00A75B1F">
        <w:rPr>
          <w:rFonts w:hint="eastAsia"/>
        </w:rPr>
        <w:t>和合并方差法</w:t>
      </w:r>
      <w:r>
        <w:rPr>
          <w:rFonts w:hint="eastAsia"/>
        </w:rPr>
        <w:t>计算结果</w:t>
      </w:r>
      <w:r w:rsidR="00A75B1F">
        <w:rPr>
          <w:rFonts w:hint="eastAsia"/>
        </w:rPr>
        <w:t>均</w:t>
      </w:r>
      <w:r>
        <w:rPr>
          <w:rFonts w:hint="eastAsia"/>
        </w:rPr>
        <w:t>为1</w:t>
      </w:r>
      <w:r>
        <w:t>5</w:t>
      </w:r>
      <w:r w:rsidR="00A75B1F">
        <w:t>46</w:t>
      </w:r>
      <w:r>
        <w:rPr>
          <w:rFonts w:hint="eastAsia"/>
        </w:rPr>
        <w:t>例，Farrington</w:t>
      </w:r>
      <w:r>
        <w:t>-Manning</w:t>
      </w:r>
      <w:r>
        <w:rPr>
          <w:rFonts w:hint="eastAsia"/>
        </w:rPr>
        <w:t>法的结果是1</w:t>
      </w:r>
      <w:r>
        <w:t>594</w:t>
      </w:r>
      <w:r>
        <w:rPr>
          <w:rFonts w:hint="eastAsia"/>
        </w:rPr>
        <w:t>例，考虑脱落后为1</w:t>
      </w:r>
      <w:r>
        <w:t>594</w:t>
      </w:r>
      <w:r>
        <w:rPr>
          <w:rFonts w:hint="eastAsia"/>
        </w:rPr>
        <w:t>/(</w:t>
      </w:r>
      <w:r>
        <w:t>1-5%)=1677.9</w:t>
      </w:r>
      <w:r>
        <w:rPr>
          <w:rFonts w:hint="eastAsia"/>
        </w:rPr>
        <w:t>。</w:t>
      </w:r>
    </w:p>
    <w:p w14:paraId="10BCD7C4" w14:textId="6A1FDC41" w:rsidR="00A75B1F" w:rsidRDefault="00A75B1F" w:rsidP="001B6B62">
      <w:pPr>
        <w:ind w:firstLineChars="202" w:firstLine="424"/>
      </w:pPr>
      <w:r w:rsidRPr="00A75B1F">
        <w:rPr>
          <w:rFonts w:hint="eastAsia"/>
          <w:noProof/>
        </w:rPr>
        <w:drawing>
          <wp:inline distT="0" distB="0" distL="0" distR="0" wp14:anchorId="673D94CD" wp14:editId="66040C2D">
            <wp:extent cx="3168650" cy="2863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8650" cy="2863850"/>
                    </a:xfrm>
                    <a:prstGeom prst="rect">
                      <a:avLst/>
                    </a:prstGeom>
                    <a:noFill/>
                    <a:ln>
                      <a:noFill/>
                    </a:ln>
                  </pic:spPr>
                </pic:pic>
              </a:graphicData>
            </a:graphic>
          </wp:inline>
        </w:drawing>
      </w:r>
    </w:p>
    <w:p w14:paraId="3C03850A" w14:textId="77777777" w:rsidR="003D2C12" w:rsidRDefault="003D2C12" w:rsidP="003922B2">
      <w:pPr>
        <w:ind w:firstLineChars="202" w:firstLine="424"/>
      </w:pPr>
    </w:p>
    <w:p w14:paraId="5E01D776" w14:textId="6F6CD6C1" w:rsidR="008166F4" w:rsidRDefault="008166F4" w:rsidP="003922B2">
      <w:pPr>
        <w:ind w:firstLineChars="202" w:firstLine="424"/>
      </w:pPr>
      <w:r>
        <w:rPr>
          <w:rFonts w:hint="eastAsia"/>
        </w:rPr>
        <w:t>R语言</w:t>
      </w:r>
      <w:proofErr w:type="spellStart"/>
      <w:r w:rsidR="004D3569">
        <w:rPr>
          <w:rFonts w:hint="eastAsia"/>
        </w:rPr>
        <w:t>gsDesign</w:t>
      </w:r>
      <w:proofErr w:type="spellEnd"/>
      <w:r w:rsidR="004D3569">
        <w:rPr>
          <w:rFonts w:hint="eastAsia"/>
        </w:rPr>
        <w:t>包</w:t>
      </w:r>
      <w:r w:rsidR="00455598">
        <w:rPr>
          <w:rFonts w:hint="eastAsia"/>
        </w:rPr>
        <w:t>Farrington</w:t>
      </w:r>
      <w:r w:rsidR="00455598">
        <w:t>-Manning</w:t>
      </w:r>
      <w:r w:rsidR="00455598">
        <w:rPr>
          <w:rFonts w:hint="eastAsia"/>
        </w:rPr>
        <w:t>法</w:t>
      </w:r>
      <w:r>
        <w:rPr>
          <w:rFonts w:hint="eastAsia"/>
        </w:rPr>
        <w:t>计算</w:t>
      </w:r>
      <w:r w:rsidR="00BB415A">
        <w:rPr>
          <w:rFonts w:hint="eastAsia"/>
        </w:rPr>
        <w:t>结果在脱落前也是1</w:t>
      </w:r>
      <w:r w:rsidR="00BB415A">
        <w:t>594</w:t>
      </w:r>
      <w:r w:rsidR="00BB415A">
        <w:rPr>
          <w:rFonts w:hint="eastAsia"/>
        </w:rPr>
        <w:t>例。</w:t>
      </w:r>
    </w:p>
    <w:p w14:paraId="74B2ADF3" w14:textId="77777777" w:rsidR="004D3569" w:rsidRDefault="004D3569" w:rsidP="004D3569">
      <w:pPr>
        <w:ind w:firstLineChars="202" w:firstLine="424"/>
      </w:pPr>
      <w:r>
        <w:t>library(</w:t>
      </w:r>
      <w:proofErr w:type="spellStart"/>
      <w:r>
        <w:t>gsDesign</w:t>
      </w:r>
      <w:proofErr w:type="spellEnd"/>
      <w:r>
        <w:t>)</w:t>
      </w:r>
    </w:p>
    <w:p w14:paraId="05C82669" w14:textId="77777777" w:rsidR="004D3569" w:rsidRDefault="004D3569" w:rsidP="004D3569">
      <w:pPr>
        <w:ind w:firstLineChars="202" w:firstLine="424"/>
      </w:pPr>
      <w:proofErr w:type="spellStart"/>
      <w:proofErr w:type="gramStart"/>
      <w:r>
        <w:t>nBinomial</w:t>
      </w:r>
      <w:proofErr w:type="spellEnd"/>
      <w:r>
        <w:t>(</w:t>
      </w:r>
      <w:proofErr w:type="gramEnd"/>
      <w:r>
        <w:t xml:space="preserve">p1 = 0.08, p2 = 0.08, delta0 = 0.044, </w:t>
      </w:r>
    </w:p>
    <w:p w14:paraId="6A76499B" w14:textId="77777777" w:rsidR="004D3569" w:rsidRDefault="004D3569" w:rsidP="004D3569">
      <w:pPr>
        <w:ind w:firstLineChars="202" w:firstLine="424"/>
      </w:pPr>
      <w:r>
        <w:t xml:space="preserve">          alpha = 0.025, beta = 1-0.89)</w:t>
      </w:r>
    </w:p>
    <w:p w14:paraId="56F2B9BE" w14:textId="77777777" w:rsidR="004D3569" w:rsidRDefault="004D3569" w:rsidP="004D3569">
      <w:pPr>
        <w:ind w:firstLineChars="202" w:firstLine="424"/>
      </w:pPr>
      <w:r>
        <w:rPr>
          <w:rFonts w:hint="eastAsia"/>
        </w:rPr>
        <w:t>结果输出：</w:t>
      </w:r>
    </w:p>
    <w:p w14:paraId="38CC8038" w14:textId="77777777" w:rsidR="004D3569" w:rsidRDefault="004D3569" w:rsidP="004D3569">
      <w:pPr>
        <w:tabs>
          <w:tab w:val="left" w:pos="5723"/>
        </w:tabs>
        <w:ind w:firstLineChars="202" w:firstLine="424"/>
      </w:pPr>
      <w:r w:rsidRPr="001B6B62">
        <w:t>[1] 1593.403</w:t>
      </w:r>
    </w:p>
    <w:p w14:paraId="7C1BAC1D" w14:textId="77777777" w:rsidR="009C7D8E" w:rsidRDefault="009C7D8E" w:rsidP="003922B2">
      <w:pPr>
        <w:ind w:firstLineChars="202" w:firstLine="424"/>
      </w:pPr>
    </w:p>
    <w:p w14:paraId="0094B1F7" w14:textId="3532E22D" w:rsidR="00E162CD" w:rsidRDefault="00E162CD" w:rsidP="003922B2">
      <w:pPr>
        <w:ind w:firstLineChars="202" w:firstLine="424"/>
      </w:pPr>
      <w:r>
        <w:rPr>
          <w:rFonts w:hint="eastAsia"/>
        </w:rPr>
        <w:t>PASS软件Farrington</w:t>
      </w:r>
      <w:r>
        <w:t>-Manning</w:t>
      </w:r>
      <w:r>
        <w:rPr>
          <w:rFonts w:hint="eastAsia"/>
        </w:rPr>
        <w:t>法计算结果在脱落前也是1</w:t>
      </w:r>
      <w:r>
        <w:t>594</w:t>
      </w:r>
      <w:r>
        <w:rPr>
          <w:rFonts w:hint="eastAsia"/>
        </w:rPr>
        <w:t>例</w:t>
      </w:r>
      <w:r w:rsidR="008E5FF1">
        <w:rPr>
          <w:rFonts w:hint="eastAsia"/>
        </w:rPr>
        <w:t>，操作同前，在参数界面Test</w:t>
      </w:r>
      <w:r w:rsidR="008E5FF1">
        <w:t xml:space="preserve"> </w:t>
      </w:r>
      <w:r w:rsidR="008E5FF1">
        <w:rPr>
          <w:rFonts w:hint="eastAsia"/>
        </w:rPr>
        <w:t>Type选择Likelihood</w:t>
      </w:r>
      <w:r w:rsidR="008E5FF1">
        <w:t xml:space="preserve"> Score (Farr. &amp; Mann.):</w:t>
      </w:r>
    </w:p>
    <w:p w14:paraId="0079BCFE" w14:textId="2C1FECDD" w:rsidR="008E5FF1" w:rsidRDefault="008E5FF1" w:rsidP="003922B2">
      <w:pPr>
        <w:ind w:firstLineChars="202" w:firstLine="424"/>
      </w:pPr>
      <w:r w:rsidRPr="008E5FF1">
        <w:rPr>
          <w:noProof/>
        </w:rPr>
        <w:lastRenderedPageBreak/>
        <w:drawing>
          <wp:inline distT="0" distB="0" distL="0" distR="0" wp14:anchorId="5FCEA3B7" wp14:editId="156B7D9F">
            <wp:extent cx="4709568" cy="49000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09568" cy="4900085"/>
                    </a:xfrm>
                    <a:prstGeom prst="rect">
                      <a:avLst/>
                    </a:prstGeom>
                  </pic:spPr>
                </pic:pic>
              </a:graphicData>
            </a:graphic>
          </wp:inline>
        </w:drawing>
      </w:r>
    </w:p>
    <w:p w14:paraId="06AF663C" w14:textId="77777777" w:rsidR="008E5FF1" w:rsidRDefault="008E5FF1" w:rsidP="003922B2">
      <w:pPr>
        <w:ind w:firstLineChars="202" w:firstLine="424"/>
      </w:pPr>
    </w:p>
    <w:p w14:paraId="791DE5E1" w14:textId="0CCC467A" w:rsidR="008E5FF1" w:rsidRDefault="008E5FF1" w:rsidP="003922B2">
      <w:pPr>
        <w:ind w:firstLineChars="202" w:firstLine="424"/>
      </w:pPr>
      <w:r w:rsidRPr="008E5FF1">
        <w:rPr>
          <w:noProof/>
        </w:rPr>
        <w:drawing>
          <wp:inline distT="0" distB="0" distL="0" distR="0" wp14:anchorId="13B8793C" wp14:editId="01611043">
            <wp:extent cx="5274310" cy="16630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663065"/>
                    </a:xfrm>
                    <a:prstGeom prst="rect">
                      <a:avLst/>
                    </a:prstGeom>
                  </pic:spPr>
                </pic:pic>
              </a:graphicData>
            </a:graphic>
          </wp:inline>
        </w:drawing>
      </w:r>
    </w:p>
    <w:p w14:paraId="696186FB" w14:textId="77777777" w:rsidR="00B30259" w:rsidRDefault="00B30259" w:rsidP="003922B2">
      <w:pPr>
        <w:ind w:firstLineChars="202" w:firstLine="424"/>
      </w:pPr>
    </w:p>
    <w:p w14:paraId="35AB78B6" w14:textId="152FC4F9" w:rsidR="00895360" w:rsidRDefault="00895360" w:rsidP="003922B2">
      <w:pPr>
        <w:ind w:firstLineChars="202" w:firstLine="424"/>
      </w:pPr>
      <w:r>
        <w:rPr>
          <w:rFonts w:hint="eastAsia"/>
        </w:rPr>
        <w:t>研究</w:t>
      </w:r>
      <w:r w:rsidR="001B6B62">
        <w:rPr>
          <w:rFonts w:hint="eastAsia"/>
        </w:rPr>
        <w:t>实际</w:t>
      </w:r>
      <w:r>
        <w:rPr>
          <w:rFonts w:hint="eastAsia"/>
        </w:rPr>
        <w:t>入组了1</w:t>
      </w:r>
      <w:r>
        <w:t>684</w:t>
      </w:r>
      <w:r>
        <w:rPr>
          <w:rFonts w:hint="eastAsia"/>
        </w:rPr>
        <w:t>例患者，主要终点ITT</w:t>
      </w:r>
      <w:r w:rsidR="00DA7838">
        <w:rPr>
          <w:rFonts w:hint="eastAsia"/>
        </w:rPr>
        <w:t>集</w:t>
      </w:r>
      <w:r>
        <w:rPr>
          <w:rFonts w:hint="eastAsia"/>
        </w:rPr>
        <w:t>分析在对照组和试验组分别为6</w:t>
      </w:r>
      <w:r>
        <w:t>.5%</w:t>
      </w:r>
      <w:r>
        <w:rPr>
          <w:rFonts w:hint="eastAsia"/>
        </w:rPr>
        <w:t>和6</w:t>
      </w:r>
      <w:r>
        <w:t>.7%</w:t>
      </w:r>
      <w:r>
        <w:rPr>
          <w:rFonts w:hint="eastAsia"/>
        </w:rPr>
        <w:t>（K</w:t>
      </w:r>
      <w:r>
        <w:t>-</w:t>
      </w:r>
      <w:r>
        <w:rPr>
          <w:rFonts w:hint="eastAsia"/>
        </w:rPr>
        <w:t>M率分别为6</w:t>
      </w:r>
      <w:r>
        <w:t>.2%</w:t>
      </w:r>
      <w:r>
        <w:rPr>
          <w:rFonts w:hint="eastAsia"/>
        </w:rPr>
        <w:t>和6</w:t>
      </w:r>
      <w:r>
        <w:t>.7%</w:t>
      </w:r>
      <w:r>
        <w:rPr>
          <w:rFonts w:hint="eastAsia"/>
        </w:rPr>
        <w:t>），非劣效P</w:t>
      </w:r>
      <w:r>
        <w:t>=0.0005</w:t>
      </w:r>
      <w:r w:rsidR="00A75B1F">
        <w:rPr>
          <w:rFonts w:hint="eastAsia"/>
        </w:rPr>
        <w:t>；</w:t>
      </w:r>
      <w:r>
        <w:rPr>
          <w:rFonts w:hint="eastAsia"/>
        </w:rPr>
        <w:t>PP</w:t>
      </w:r>
      <w:r w:rsidR="00DA7838">
        <w:rPr>
          <w:rFonts w:hint="eastAsia"/>
        </w:rPr>
        <w:t>集</w:t>
      </w:r>
      <w:r>
        <w:rPr>
          <w:rFonts w:hint="eastAsia"/>
        </w:rPr>
        <w:t>分析两组均为6</w:t>
      </w:r>
      <w:r>
        <w:t>.4%</w:t>
      </w:r>
      <w:r>
        <w:rPr>
          <w:rFonts w:hint="eastAsia"/>
        </w:rPr>
        <w:t>，非劣效P</w:t>
      </w:r>
      <w:r>
        <w:t>=0.0003</w:t>
      </w:r>
      <w:r>
        <w:rPr>
          <w:rFonts w:hint="eastAsia"/>
        </w:rPr>
        <w:t>，研究达成。</w:t>
      </w:r>
    </w:p>
    <w:p w14:paraId="2DE342D8" w14:textId="2C4386AF" w:rsidR="00895360" w:rsidRPr="00191053" w:rsidRDefault="00895360" w:rsidP="00A44E98">
      <w:pPr>
        <w:pStyle w:val="Heading2"/>
      </w:pPr>
      <w:r w:rsidRPr="00191053">
        <w:rPr>
          <w:rFonts w:hint="eastAsia"/>
        </w:rPr>
        <w:t>优效</w:t>
      </w:r>
      <w:r w:rsidR="00B40493">
        <w:rPr>
          <w:rFonts w:hint="eastAsia"/>
        </w:rPr>
        <w:t>设计</w:t>
      </w:r>
    </w:p>
    <w:p w14:paraId="58321229" w14:textId="1464FDA9" w:rsidR="00C62B0B" w:rsidRDefault="0059771A" w:rsidP="00EA3913">
      <w:pPr>
        <w:ind w:firstLineChars="200" w:firstLine="420"/>
      </w:pPr>
      <w:r w:rsidRPr="0059771A">
        <w:rPr>
          <w:highlight w:val="yellow"/>
        </w:rPr>
        <w:t xml:space="preserve">例 </w:t>
      </w:r>
      <w:r w:rsidRPr="0059771A">
        <w:rPr>
          <w:highlight w:val="yellow"/>
        </w:rPr>
        <w:fldChar w:fldCharType="begin"/>
      </w:r>
      <w:r w:rsidRPr="0059771A">
        <w:rPr>
          <w:highlight w:val="yellow"/>
        </w:rPr>
        <w:instrText xml:space="preserve"> STYLEREF 1 \s </w:instrText>
      </w:r>
      <w:r w:rsidRPr="0059771A">
        <w:rPr>
          <w:highlight w:val="yellow"/>
        </w:rPr>
        <w:fldChar w:fldCharType="separate"/>
      </w:r>
      <w:r w:rsidRPr="0059771A">
        <w:rPr>
          <w:noProof/>
          <w:highlight w:val="yellow"/>
        </w:rPr>
        <w:t>6</w:t>
      </w:r>
      <w:r w:rsidRPr="0059771A">
        <w:rPr>
          <w:highlight w:val="yellow"/>
        </w:rPr>
        <w:fldChar w:fldCharType="end"/>
      </w:r>
      <w:r w:rsidRPr="0059771A">
        <w:rPr>
          <w:highlight w:val="yellow"/>
        </w:rPr>
        <w:noBreakHyphen/>
      </w:r>
      <w:r w:rsidRPr="0059771A">
        <w:rPr>
          <w:highlight w:val="yellow"/>
        </w:rPr>
        <w:fldChar w:fldCharType="begin"/>
      </w:r>
      <w:r w:rsidRPr="0059771A">
        <w:rPr>
          <w:highlight w:val="yellow"/>
        </w:rPr>
        <w:instrText xml:space="preserve"> SEQ 例 \* ARABIC \s 1 </w:instrText>
      </w:r>
      <w:r w:rsidRPr="0059771A">
        <w:rPr>
          <w:highlight w:val="yellow"/>
        </w:rPr>
        <w:fldChar w:fldCharType="separate"/>
      </w:r>
      <w:r w:rsidRPr="0059771A">
        <w:rPr>
          <w:noProof/>
          <w:highlight w:val="yellow"/>
        </w:rPr>
        <w:t>4</w:t>
      </w:r>
      <w:r w:rsidRPr="0059771A">
        <w:rPr>
          <w:highlight w:val="yellow"/>
        </w:rPr>
        <w:fldChar w:fldCharType="end"/>
      </w:r>
      <w:r w:rsidR="00EA3913">
        <w:t xml:space="preserve"> </w:t>
      </w:r>
      <w:r w:rsidR="002919F5">
        <w:rPr>
          <w:rFonts w:hint="eastAsia"/>
        </w:rPr>
        <w:t>某研究</w:t>
      </w:r>
      <w:r w:rsidR="002919F5">
        <w:fldChar w:fldCharType="begin"/>
      </w:r>
      <w:r w:rsidR="002919F5">
        <w:instrText xml:space="preserve"> ADDIN NE.Ref.{C6052621-E8F0-4C32-819A-A16BA41F5A8F}</w:instrText>
      </w:r>
      <w:r w:rsidR="002919F5">
        <w:fldChar w:fldCharType="separate"/>
      </w:r>
      <w:r w:rsidR="00507F63">
        <w:rPr>
          <w:rFonts w:ascii="等线" w:eastAsia="等线" w:cs="等线"/>
          <w:color w:val="000000"/>
          <w:kern w:val="0"/>
          <w:szCs w:val="21"/>
          <w:vertAlign w:val="superscript"/>
        </w:rPr>
        <w:t>9</w:t>
      </w:r>
      <w:r w:rsidR="002919F5">
        <w:fldChar w:fldCharType="end"/>
      </w:r>
      <w:r w:rsidR="002919F5">
        <w:rPr>
          <w:rFonts w:hint="eastAsia"/>
        </w:rPr>
        <w:t>探索一种新的内镜成像方法能否提高早期胃癌的检出率。</w:t>
      </w:r>
      <w:r w:rsidR="008C6A36">
        <w:rPr>
          <w:rFonts w:hint="eastAsia"/>
        </w:rPr>
        <w:t>假设对照组检出率为0</w:t>
      </w:r>
      <w:r w:rsidR="008C6A36">
        <w:t>.75%</w:t>
      </w:r>
      <w:r w:rsidR="008C6A36">
        <w:rPr>
          <w:rFonts w:hint="eastAsia"/>
        </w:rPr>
        <w:t>，试验组3</w:t>
      </w:r>
      <w:r w:rsidR="008C6A36">
        <w:t>.75%</w:t>
      </w:r>
      <w:r w:rsidR="008C6A36">
        <w:rPr>
          <w:rFonts w:hint="eastAsia"/>
        </w:rPr>
        <w:t>，优效界值1</w:t>
      </w:r>
      <w:r w:rsidR="008C6A36">
        <w:t>%</w:t>
      </w:r>
      <w:r w:rsidR="008C6A36">
        <w:rPr>
          <w:rFonts w:hint="eastAsia"/>
        </w:rPr>
        <w:t>，单侧检验错误0</w:t>
      </w:r>
      <w:r w:rsidR="008C6A36">
        <w:t>.025</w:t>
      </w:r>
      <w:r w:rsidR="008C6A36">
        <w:rPr>
          <w:rFonts w:hint="eastAsia"/>
        </w:rPr>
        <w:t>，检验效能0</w:t>
      </w:r>
      <w:r w:rsidR="008C6A36">
        <w:t>.9</w:t>
      </w:r>
      <w:r w:rsidR="008C6A36">
        <w:rPr>
          <w:rFonts w:hint="eastAsia"/>
        </w:rPr>
        <w:t>，脱落率</w:t>
      </w:r>
      <w:r w:rsidR="008C6A36">
        <w:rPr>
          <w:rFonts w:hint="eastAsia"/>
        </w:rPr>
        <w:lastRenderedPageBreak/>
        <w:t>5</w:t>
      </w:r>
      <w:r w:rsidR="008C6A36">
        <w:t>%</w:t>
      </w:r>
      <w:r w:rsidR="008C6A36">
        <w:rPr>
          <w:rFonts w:hint="eastAsia"/>
        </w:rPr>
        <w:t>，则需要每组1</w:t>
      </w:r>
      <w:r w:rsidR="008C6A36">
        <w:t>378</w:t>
      </w:r>
      <w:r w:rsidR="008C6A36">
        <w:rPr>
          <w:rFonts w:hint="eastAsia"/>
        </w:rPr>
        <w:t>例患者，为便于研究中心入选，总样本量扩充至2</w:t>
      </w:r>
      <w:r w:rsidR="008C6A36">
        <w:t>800</w:t>
      </w:r>
      <w:r w:rsidR="008C6A36">
        <w:rPr>
          <w:rFonts w:hint="eastAsia"/>
        </w:rPr>
        <w:t>。</w:t>
      </w:r>
    </w:p>
    <w:p w14:paraId="5FEDCA3A" w14:textId="70EA6D81" w:rsidR="002919F5" w:rsidRDefault="00EA3913" w:rsidP="003922B2">
      <w:pPr>
        <w:ind w:firstLineChars="202" w:firstLine="424"/>
      </w:pPr>
      <w:r>
        <w:rPr>
          <w:rFonts w:hint="eastAsia"/>
        </w:rPr>
        <w:t>Excel表计算脱落前样本量，独立方差法、合并方差法及Farrington</w:t>
      </w:r>
      <w:r>
        <w:t>-</w:t>
      </w:r>
      <w:r>
        <w:rPr>
          <w:rFonts w:hint="eastAsia"/>
        </w:rPr>
        <w:t>Manning法分别为2</w:t>
      </w:r>
      <w:r>
        <w:t>288</w:t>
      </w:r>
      <w:r>
        <w:rPr>
          <w:rFonts w:hint="eastAsia"/>
        </w:rPr>
        <w:t>，2</w:t>
      </w:r>
      <w:r>
        <w:t>302</w:t>
      </w:r>
      <w:r>
        <w:rPr>
          <w:rFonts w:hint="eastAsia"/>
        </w:rPr>
        <w:t>及2</w:t>
      </w:r>
      <w:r>
        <w:t>150</w:t>
      </w:r>
      <w:r>
        <w:rPr>
          <w:rFonts w:hint="eastAsia"/>
        </w:rPr>
        <w:t>例，</w:t>
      </w:r>
      <w:r w:rsidR="005720B9">
        <w:rPr>
          <w:rFonts w:hint="eastAsia"/>
        </w:rPr>
        <w:t>R语言及</w:t>
      </w:r>
      <w:r>
        <w:rPr>
          <w:rFonts w:hint="eastAsia"/>
        </w:rPr>
        <w:t>PASS软件计算</w:t>
      </w:r>
      <w:r w:rsidR="005720B9">
        <w:rPr>
          <w:rFonts w:hint="eastAsia"/>
        </w:rPr>
        <w:t>与之完全一致，</w:t>
      </w:r>
      <w:r>
        <w:rPr>
          <w:rFonts w:hint="eastAsia"/>
        </w:rPr>
        <w:t>均</w:t>
      </w:r>
      <w:r w:rsidR="002919F5">
        <w:rPr>
          <w:rFonts w:hint="eastAsia"/>
        </w:rPr>
        <w:t>未能</w:t>
      </w:r>
      <w:r w:rsidR="00905F0A">
        <w:rPr>
          <w:rFonts w:hint="eastAsia"/>
        </w:rPr>
        <w:t>准确</w:t>
      </w:r>
      <w:r w:rsidR="002919F5">
        <w:rPr>
          <w:rFonts w:hint="eastAsia"/>
        </w:rPr>
        <w:t>重复该例的样本量计算。</w:t>
      </w:r>
      <w:r>
        <w:rPr>
          <w:rFonts w:hint="eastAsia"/>
        </w:rPr>
        <w:t>R语言独立方差法</w:t>
      </w:r>
      <w:r w:rsidR="00905F0A">
        <w:rPr>
          <w:rFonts w:hint="eastAsia"/>
        </w:rPr>
        <w:t>结果</w:t>
      </w:r>
      <w:r w:rsidR="005720B9">
        <w:rPr>
          <w:rFonts w:hint="eastAsia"/>
        </w:rPr>
        <w:t>示例</w:t>
      </w:r>
      <w:r w:rsidR="00905F0A">
        <w:rPr>
          <w:rFonts w:hint="eastAsia"/>
        </w:rPr>
        <w:t>：</w:t>
      </w:r>
    </w:p>
    <w:p w14:paraId="4E67F707" w14:textId="77777777" w:rsidR="00905F0A" w:rsidRDefault="00905F0A" w:rsidP="00905F0A">
      <w:pPr>
        <w:ind w:firstLineChars="202" w:firstLine="424"/>
      </w:pPr>
      <w:r>
        <w:t>library(</w:t>
      </w:r>
      <w:proofErr w:type="spellStart"/>
      <w:r>
        <w:t>pwrss</w:t>
      </w:r>
      <w:proofErr w:type="spellEnd"/>
      <w:r>
        <w:t>)</w:t>
      </w:r>
    </w:p>
    <w:p w14:paraId="057CAC53" w14:textId="77777777" w:rsidR="00905F0A" w:rsidRDefault="00905F0A" w:rsidP="00905F0A">
      <w:pPr>
        <w:ind w:firstLineChars="202" w:firstLine="424"/>
      </w:pPr>
      <w:r>
        <w:t>pwrss.z.2</w:t>
      </w:r>
      <w:proofErr w:type="gramStart"/>
      <w:r>
        <w:t>props(</w:t>
      </w:r>
      <w:proofErr w:type="gramEnd"/>
      <w:r>
        <w:t>p1 = 0.0375, p2 = 0.0075, alpha = 0.025, power = 0.9,</w:t>
      </w:r>
    </w:p>
    <w:p w14:paraId="3FCC7175" w14:textId="619280A0" w:rsidR="00905F0A" w:rsidRDefault="00905F0A" w:rsidP="00905F0A">
      <w:pPr>
        <w:ind w:firstLineChars="202" w:firstLine="424"/>
      </w:pPr>
      <w:r>
        <w:t xml:space="preserve">               margin = 0.01, alternative="superior")</w:t>
      </w:r>
    </w:p>
    <w:p w14:paraId="4C5D5E27" w14:textId="34F1EAD1" w:rsidR="005720B9" w:rsidRDefault="005720B9" w:rsidP="00905F0A">
      <w:pPr>
        <w:ind w:firstLineChars="202" w:firstLine="424"/>
      </w:pPr>
    </w:p>
    <w:p w14:paraId="3FCA15F0" w14:textId="4F903860" w:rsidR="005720B9" w:rsidRDefault="005720B9" w:rsidP="00905F0A">
      <w:pPr>
        <w:ind w:firstLineChars="202" w:firstLine="424"/>
      </w:pPr>
      <w:r>
        <w:rPr>
          <w:rFonts w:hint="eastAsia"/>
        </w:rPr>
        <w:t>PASS软件独立方差法示例：</w:t>
      </w:r>
    </w:p>
    <w:p w14:paraId="276677D1" w14:textId="694226F3" w:rsidR="005720B9" w:rsidRDefault="005720B9" w:rsidP="00905F0A">
      <w:pPr>
        <w:ind w:firstLineChars="202" w:firstLine="424"/>
      </w:pPr>
      <w:r w:rsidRPr="005720B9">
        <w:rPr>
          <w:noProof/>
        </w:rPr>
        <w:drawing>
          <wp:inline distT="0" distB="0" distL="0" distR="0" wp14:anchorId="6551D6DB" wp14:editId="0FAC8A4B">
            <wp:extent cx="4038950" cy="40618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38950" cy="4061812"/>
                    </a:xfrm>
                    <a:prstGeom prst="rect">
                      <a:avLst/>
                    </a:prstGeom>
                  </pic:spPr>
                </pic:pic>
              </a:graphicData>
            </a:graphic>
          </wp:inline>
        </w:drawing>
      </w:r>
    </w:p>
    <w:p w14:paraId="29DD31F6" w14:textId="77777777" w:rsidR="005720B9" w:rsidRDefault="005720B9" w:rsidP="00905F0A">
      <w:pPr>
        <w:ind w:firstLineChars="202" w:firstLine="424"/>
      </w:pPr>
    </w:p>
    <w:p w14:paraId="21F7F22F" w14:textId="64270326" w:rsidR="005720B9" w:rsidRDefault="005720B9" w:rsidP="00905F0A">
      <w:pPr>
        <w:ind w:firstLineChars="202" w:firstLine="424"/>
      </w:pPr>
      <w:r w:rsidRPr="005720B9">
        <w:rPr>
          <w:noProof/>
        </w:rPr>
        <w:drawing>
          <wp:inline distT="0" distB="0" distL="0" distR="0" wp14:anchorId="3A9D1FC4" wp14:editId="38D87C58">
            <wp:extent cx="5235394" cy="173751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5394" cy="1737511"/>
                    </a:xfrm>
                    <a:prstGeom prst="rect">
                      <a:avLst/>
                    </a:prstGeom>
                  </pic:spPr>
                </pic:pic>
              </a:graphicData>
            </a:graphic>
          </wp:inline>
        </w:drawing>
      </w:r>
    </w:p>
    <w:p w14:paraId="47B0B813" w14:textId="77777777" w:rsidR="005720B9" w:rsidRDefault="005720B9" w:rsidP="00905F0A">
      <w:pPr>
        <w:ind w:firstLineChars="202" w:firstLine="424"/>
      </w:pPr>
    </w:p>
    <w:p w14:paraId="73ABE3B8" w14:textId="56F6F6E7" w:rsidR="002919F5" w:rsidRDefault="008C6A36" w:rsidP="003922B2">
      <w:pPr>
        <w:ind w:firstLineChars="202" w:firstLine="424"/>
      </w:pPr>
      <w:r>
        <w:rPr>
          <w:rFonts w:hint="eastAsia"/>
        </w:rPr>
        <w:t>研究实际入组了2</w:t>
      </w:r>
      <w:r>
        <w:t>383</w:t>
      </w:r>
      <w:r>
        <w:rPr>
          <w:rFonts w:hint="eastAsia"/>
        </w:rPr>
        <w:t>例患者，对照组检出率4</w:t>
      </w:r>
      <w:r>
        <w:t>.31%</w:t>
      </w:r>
      <w:r>
        <w:rPr>
          <w:rFonts w:hint="eastAsia"/>
        </w:rPr>
        <w:t>，试验组8</w:t>
      </w:r>
      <w:r>
        <w:t>.01%</w:t>
      </w:r>
      <w:r>
        <w:rPr>
          <w:rFonts w:hint="eastAsia"/>
        </w:rPr>
        <w:t>，差值3</w:t>
      </w:r>
      <w:r>
        <w:t>.70%</w:t>
      </w:r>
      <w:r w:rsidR="00EA3913">
        <w:rPr>
          <w:rFonts w:hint="eastAsia"/>
        </w:rPr>
        <w:t>，</w:t>
      </w:r>
      <w:r>
        <w:rPr>
          <w:rFonts w:hint="eastAsia"/>
        </w:rPr>
        <w:t>P</w:t>
      </w:r>
      <w:r>
        <w:t>&lt;0.001</w:t>
      </w:r>
      <w:r w:rsidR="00EA3913">
        <w:rPr>
          <w:rFonts w:hint="eastAsia"/>
        </w:rPr>
        <w:t>，研究达成。</w:t>
      </w:r>
    </w:p>
    <w:p w14:paraId="0B685A4D" w14:textId="03E1506C" w:rsidR="00A34E9F" w:rsidRDefault="00A34E9F" w:rsidP="00A44E98">
      <w:pPr>
        <w:pStyle w:val="Heading2"/>
      </w:pPr>
      <w:r w:rsidRPr="00ED5B0B">
        <w:rPr>
          <w:rFonts w:hint="eastAsia"/>
        </w:rPr>
        <w:lastRenderedPageBreak/>
        <w:t>讨论</w:t>
      </w:r>
    </w:p>
    <w:p w14:paraId="28F34BC5" w14:textId="072D1D3D" w:rsidR="009F7125" w:rsidRPr="00173F6B" w:rsidRDefault="00173F6B" w:rsidP="00173F6B">
      <w:pPr>
        <w:ind w:firstLineChars="200" w:firstLine="420"/>
      </w:pPr>
      <w:r>
        <w:rPr>
          <w:rFonts w:hint="eastAsia"/>
        </w:rPr>
        <w:t>对</w:t>
      </w:r>
      <w:r w:rsidR="00AC540D">
        <w:rPr>
          <w:rFonts w:hint="eastAsia"/>
        </w:rPr>
        <w:t>常规的</w:t>
      </w:r>
      <w:r>
        <w:rPr>
          <w:rFonts w:hint="eastAsia"/>
        </w:rPr>
        <w:t>随机对照临床试验的分析，意向治疗（ITT）分析通常是比较保守的分析，但在非劣效研究中一般不是这种情况，</w:t>
      </w:r>
      <w:r w:rsidR="00541D3D">
        <w:rPr>
          <w:rFonts w:hint="eastAsia"/>
        </w:rPr>
        <w:t>符合</w:t>
      </w:r>
      <w:r>
        <w:rPr>
          <w:rFonts w:hint="eastAsia"/>
        </w:rPr>
        <w:t>方案（PP）分析通常更为保守。研究设计时需预先</w:t>
      </w:r>
      <w:r w:rsidR="00541D3D">
        <w:rPr>
          <w:rFonts w:hint="eastAsia"/>
        </w:rPr>
        <w:t>指</w:t>
      </w:r>
      <w:r>
        <w:rPr>
          <w:rFonts w:hint="eastAsia"/>
        </w:rPr>
        <w:t>定哪一种分析为主分析，严格的做法是要求ITT和PP分析均满足</w:t>
      </w:r>
      <w:r w:rsidRPr="00173F6B">
        <w:t>才能宣称非劣效</w:t>
      </w:r>
      <w:r>
        <w:rPr>
          <w:rFonts w:hint="eastAsia"/>
        </w:rPr>
        <w:t>，比如本章的</w:t>
      </w:r>
      <w:r w:rsidR="00AC540D">
        <w:fldChar w:fldCharType="begin"/>
      </w:r>
      <w:r w:rsidR="00AC540D">
        <w:instrText xml:space="preserve"> </w:instrText>
      </w:r>
      <w:r w:rsidR="00AC540D">
        <w:rPr>
          <w:rFonts w:hint="eastAsia"/>
        </w:rPr>
        <w:instrText>REF _Ref140753587 \h</w:instrText>
      </w:r>
      <w:r w:rsidR="00AC540D">
        <w:instrText xml:space="preserve"> </w:instrText>
      </w:r>
      <w:r w:rsidR="00AC540D">
        <w:fldChar w:fldCharType="separate"/>
      </w:r>
      <w:r w:rsidR="00AC540D">
        <w:t xml:space="preserve">例 </w:t>
      </w:r>
      <w:r w:rsidR="00AC540D">
        <w:rPr>
          <w:noProof/>
        </w:rPr>
        <w:t>6</w:t>
      </w:r>
      <w:r w:rsidR="00AC540D">
        <w:noBreakHyphen/>
      </w:r>
      <w:r w:rsidR="00AC540D">
        <w:rPr>
          <w:noProof/>
        </w:rPr>
        <w:t>3</w:t>
      </w:r>
      <w:r w:rsidR="00AC540D">
        <w:fldChar w:fldCharType="end"/>
      </w:r>
      <w:r w:rsidRPr="00173F6B">
        <w:t>。</w:t>
      </w:r>
    </w:p>
    <w:p w14:paraId="4172E316" w14:textId="2F5FDB35" w:rsidR="00A34E9F" w:rsidRPr="00AC540D" w:rsidRDefault="0049297F" w:rsidP="00AC540D">
      <w:pPr>
        <w:pStyle w:val="Heading3"/>
      </w:pPr>
      <w:r w:rsidRPr="00AC540D">
        <w:rPr>
          <w:rFonts w:hint="eastAsia"/>
        </w:rPr>
        <w:t>非劣效界值的</w:t>
      </w:r>
      <w:r w:rsidR="000728ED" w:rsidRPr="00AC540D">
        <w:rPr>
          <w:rFonts w:hint="eastAsia"/>
        </w:rPr>
        <w:t>设</w:t>
      </w:r>
      <w:r w:rsidRPr="00AC540D">
        <w:rPr>
          <w:rFonts w:hint="eastAsia"/>
        </w:rPr>
        <w:t>定</w:t>
      </w:r>
    </w:p>
    <w:p w14:paraId="37B96EC7" w14:textId="67D25FD5" w:rsidR="00A904F3" w:rsidRDefault="003D2C12" w:rsidP="003922B2">
      <w:pPr>
        <w:ind w:firstLineChars="202" w:firstLine="424"/>
      </w:pPr>
      <w:r>
        <w:rPr>
          <w:rFonts w:hint="eastAsia"/>
        </w:rPr>
        <w:t>美国FDA</w:t>
      </w:r>
      <w:r>
        <w:t xml:space="preserve"> 201</w:t>
      </w:r>
      <w:r w:rsidR="009074AD">
        <w:t>0</w:t>
      </w:r>
      <w:r>
        <w:rPr>
          <w:rFonts w:hint="eastAsia"/>
        </w:rPr>
        <w:t>年发布了《非劣效临床试验评价有效性的指导原则</w:t>
      </w:r>
      <w:r w:rsidR="0059771A">
        <w:rPr>
          <w:rFonts w:hint="eastAsia"/>
        </w:rPr>
        <w:t>（</w:t>
      </w:r>
      <w:r w:rsidR="009074AD">
        <w:rPr>
          <w:rFonts w:hint="eastAsia"/>
        </w:rPr>
        <w:t>草案</w:t>
      </w:r>
      <w:r w:rsidR="0059771A">
        <w:rPr>
          <w:rFonts w:hint="eastAsia"/>
        </w:rPr>
        <w:t>）</w:t>
      </w:r>
      <w:r>
        <w:rPr>
          <w:rFonts w:hint="eastAsia"/>
        </w:rPr>
        <w:t>》</w:t>
      </w:r>
      <w:r w:rsidR="009074AD">
        <w:rPr>
          <w:rFonts w:hint="eastAsia"/>
        </w:rPr>
        <w:t>，并于2</w:t>
      </w:r>
      <w:r w:rsidR="009074AD">
        <w:t>016</w:t>
      </w:r>
      <w:r w:rsidR="009074AD">
        <w:rPr>
          <w:rFonts w:hint="eastAsia"/>
        </w:rPr>
        <w:t>年发布了最终版本</w:t>
      </w:r>
      <w:r>
        <w:fldChar w:fldCharType="begin"/>
      </w:r>
      <w:r w:rsidR="0046144A">
        <w:instrText xml:space="preserve"> ADDIN NE.Ref.{F1752267-CB5A-40E4-A524-79FED6B7940E}</w:instrText>
      </w:r>
      <w:r>
        <w:fldChar w:fldCharType="separate"/>
      </w:r>
      <w:r w:rsidR="00507F63">
        <w:rPr>
          <w:rFonts w:ascii="等线" w:eastAsia="等线" w:cs="等线"/>
          <w:color w:val="000000"/>
          <w:kern w:val="0"/>
          <w:szCs w:val="21"/>
          <w:vertAlign w:val="superscript"/>
        </w:rPr>
        <w:t>10</w:t>
      </w:r>
      <w:r>
        <w:fldChar w:fldCharType="end"/>
      </w:r>
      <w:r>
        <w:rPr>
          <w:rFonts w:hint="eastAsia"/>
        </w:rPr>
        <w:t>，</w:t>
      </w:r>
      <w:r w:rsidR="000728ED">
        <w:rPr>
          <w:rFonts w:hint="eastAsia"/>
        </w:rPr>
        <w:t>提出了非劣效界值设定的固定法与合成法。</w:t>
      </w:r>
      <w:r>
        <w:rPr>
          <w:rFonts w:hint="eastAsia"/>
        </w:rPr>
        <w:t>随后我</w:t>
      </w:r>
      <w:r w:rsidR="00AC540D">
        <w:rPr>
          <w:rFonts w:hint="eastAsia"/>
        </w:rPr>
        <w:t>国</w:t>
      </w:r>
      <w:r>
        <w:rPr>
          <w:rFonts w:hint="eastAsia"/>
        </w:rPr>
        <w:t>药监局器审中心和药审中心也分别发布了相应的指导原则。</w:t>
      </w:r>
      <w:r w:rsidR="00EA2060">
        <w:rPr>
          <w:rFonts w:hint="eastAsia"/>
        </w:rPr>
        <w:t>2</w:t>
      </w:r>
      <w:r w:rsidR="00EA2060">
        <w:t>018</w:t>
      </w:r>
      <w:r>
        <w:rPr>
          <w:rFonts w:hint="eastAsia"/>
        </w:rPr>
        <w:t>年药监局</w:t>
      </w:r>
      <w:r w:rsidR="00541D3D">
        <w:rPr>
          <w:rFonts w:hint="eastAsia"/>
        </w:rPr>
        <w:t>器审中心</w:t>
      </w:r>
      <w:r>
        <w:rPr>
          <w:rFonts w:hint="eastAsia"/>
        </w:rPr>
        <w:t>发布的</w:t>
      </w:r>
      <w:r w:rsidR="00EA2060">
        <w:rPr>
          <w:rFonts w:hint="eastAsia"/>
        </w:rPr>
        <w:t>《</w:t>
      </w:r>
      <w:r w:rsidR="00A904F3" w:rsidRPr="00A904F3">
        <w:rPr>
          <w:rFonts w:hint="eastAsia"/>
        </w:rPr>
        <w:t>医疗器械临床试验设计指导原则</w:t>
      </w:r>
      <w:r w:rsidR="00EA2060">
        <w:rPr>
          <w:rFonts w:hint="eastAsia"/>
        </w:rPr>
        <w:t>》</w:t>
      </w:r>
      <w:r w:rsidR="00EA2060">
        <w:fldChar w:fldCharType="begin"/>
      </w:r>
      <w:r w:rsidR="0046144A">
        <w:instrText xml:space="preserve"> ADDIN NE.Ref.{29303ECC-26C9-4B62-B868-FABCEFC83A1F}</w:instrText>
      </w:r>
      <w:r w:rsidR="00EA2060">
        <w:fldChar w:fldCharType="separate"/>
      </w:r>
      <w:r w:rsidR="00507F63">
        <w:rPr>
          <w:rFonts w:ascii="等线" w:eastAsia="等线" w:cs="等线"/>
          <w:color w:val="000000"/>
          <w:kern w:val="0"/>
          <w:szCs w:val="21"/>
          <w:vertAlign w:val="superscript"/>
        </w:rPr>
        <w:t>1</w:t>
      </w:r>
      <w:r w:rsidR="00EA2060">
        <w:fldChar w:fldCharType="end"/>
      </w:r>
      <w:r w:rsidR="00EA2060">
        <w:rPr>
          <w:rFonts w:hint="eastAsia"/>
        </w:rPr>
        <w:t>指出：</w:t>
      </w:r>
      <w:r w:rsidR="00EA2060" w:rsidRPr="00EA2060">
        <w:rPr>
          <w:rFonts w:hint="eastAsia"/>
        </w:rPr>
        <w:t>界值的制定主要考虑临床实际意义，需要被临床认可或接受。理论上，非劣效界值的确定可采用两步法，一是通过</w:t>
      </w:r>
      <w:r w:rsidR="00EA2060" w:rsidRPr="00EA2060">
        <w:t>Meta分析估计对照器械减去安慰效应后的绝对效应或对照器械的相对效应M1，二是结合临床具体情况，在考虑保留对照器械效应的适当比例1-f后，确定非劣效界值M2（M2=f×M1）。f越小，试验器械的效应越接近对照器械，一般情况下，f的取值在0～0.5之间。</w:t>
      </w:r>
      <w:r w:rsidR="00A904F3">
        <w:rPr>
          <w:rFonts w:hint="eastAsia"/>
        </w:rPr>
        <w:t>2</w:t>
      </w:r>
      <w:r w:rsidR="00A904F3">
        <w:t>020</w:t>
      </w:r>
      <w:r>
        <w:rPr>
          <w:rFonts w:hint="eastAsia"/>
        </w:rPr>
        <w:t>年药监局</w:t>
      </w:r>
      <w:r w:rsidR="00541D3D">
        <w:rPr>
          <w:rFonts w:hint="eastAsia"/>
        </w:rPr>
        <w:t>药审中心</w:t>
      </w:r>
      <w:r>
        <w:rPr>
          <w:rFonts w:hint="eastAsia"/>
        </w:rPr>
        <w:t>发布的</w:t>
      </w:r>
      <w:r w:rsidR="00A904F3">
        <w:rPr>
          <w:rFonts w:hint="eastAsia"/>
        </w:rPr>
        <w:t>《</w:t>
      </w:r>
      <w:r w:rsidR="00A904F3" w:rsidRPr="00A904F3">
        <w:rPr>
          <w:rFonts w:hint="eastAsia"/>
        </w:rPr>
        <w:t>药物临床试验非劣效设计指导原则</w:t>
      </w:r>
      <w:r w:rsidR="00A904F3">
        <w:rPr>
          <w:rFonts w:hint="eastAsia"/>
        </w:rPr>
        <w:t>》</w:t>
      </w:r>
      <w:r w:rsidR="00A904F3">
        <w:fldChar w:fldCharType="begin"/>
      </w:r>
      <w:r w:rsidR="0046144A">
        <w:instrText xml:space="preserve"> ADDIN NE.Ref.{C505752B-6123-43F2-97B8-A81CAB887059}</w:instrText>
      </w:r>
      <w:r w:rsidR="00A904F3">
        <w:fldChar w:fldCharType="separate"/>
      </w:r>
      <w:r w:rsidR="00507F63">
        <w:rPr>
          <w:rFonts w:ascii="等线" w:eastAsia="等线" w:cs="等线"/>
          <w:color w:val="000000"/>
          <w:kern w:val="0"/>
          <w:szCs w:val="21"/>
          <w:vertAlign w:val="superscript"/>
        </w:rPr>
        <w:t>11</w:t>
      </w:r>
      <w:r w:rsidR="00A904F3">
        <w:fldChar w:fldCharType="end"/>
      </w:r>
      <w:r>
        <w:rPr>
          <w:rFonts w:hint="eastAsia"/>
        </w:rPr>
        <w:t>也有类似表述</w:t>
      </w:r>
      <w:r w:rsidR="00A904F3">
        <w:rPr>
          <w:rFonts w:hint="eastAsia"/>
        </w:rPr>
        <w:t>：</w:t>
      </w:r>
      <w:r w:rsidR="00157870">
        <w:rPr>
          <w:rFonts w:hint="eastAsia"/>
        </w:rPr>
        <w:t>非劣效界值不应大于阳性对照药相对于安慰剂的临床获益，以确保试验药的疗效至少能够优于安慰剂</w:t>
      </w:r>
      <w:r>
        <w:t>……</w:t>
      </w:r>
      <w:r w:rsidR="00157870">
        <w:rPr>
          <w:rFonts w:hint="eastAsia"/>
        </w:rPr>
        <w:t>非劣效界值的确定通常应根据统计分析和临床判断综合考虑，并在试验方案中说明非劣效界值确定的依据</w:t>
      </w:r>
      <w:r>
        <w:t>……(</w:t>
      </w:r>
      <w:r>
        <w:rPr>
          <w:rFonts w:hint="eastAsia"/>
        </w:rPr>
        <w:t>对于高优指标</w:t>
      </w:r>
      <w:r>
        <w:t>)M1 为既往阳性对照药</w:t>
      </w:r>
      <w:r>
        <w:rPr>
          <w:rFonts w:hint="eastAsia"/>
        </w:rPr>
        <w:t>与安慰剂的优效试验中</w:t>
      </w:r>
      <w:r>
        <w:t>C－P 的 95% CI 下限</w:t>
      </w:r>
      <w:r>
        <w:rPr>
          <w:rFonts w:hint="eastAsia"/>
        </w:rPr>
        <w:t>。</w:t>
      </w:r>
      <w:r w:rsidR="00A904F3">
        <w:t>如果对既</w:t>
      </w:r>
      <w:r w:rsidR="00A904F3">
        <w:rPr>
          <w:rFonts w:hint="eastAsia"/>
        </w:rPr>
        <w:t>往证据的变异性和恒定假设存在顾虑，可采用“折扣”策略确定</w:t>
      </w:r>
      <w:r w:rsidR="00A904F3">
        <w:t xml:space="preserve"> M1，即将 M1通过一定幅度的“折扣”（如减半）转换为更</w:t>
      </w:r>
      <w:r w:rsidR="00A904F3">
        <w:rPr>
          <w:rFonts w:hint="eastAsia"/>
        </w:rPr>
        <w:t>加保守的</w:t>
      </w:r>
      <w:r w:rsidR="00A904F3">
        <w:t xml:space="preserve"> M1。</w:t>
      </w:r>
    </w:p>
    <w:p w14:paraId="0311762B" w14:textId="43BEC531" w:rsidR="00E605A8" w:rsidRDefault="00E605A8" w:rsidP="000728ED">
      <w:pPr>
        <w:ind w:firstLineChars="202" w:firstLine="424"/>
      </w:pPr>
      <w:r>
        <w:rPr>
          <w:rFonts w:hint="eastAsia"/>
        </w:rPr>
        <w:t>但实际上按以上指导原则操作的案例并不多。</w:t>
      </w:r>
      <w:r w:rsidR="003D2C12">
        <w:rPr>
          <w:rFonts w:hint="eastAsia"/>
        </w:rPr>
        <w:t>笔者对过去</w:t>
      </w:r>
      <w:r w:rsidR="003D2C12">
        <w:t>20年发表在NEJM、Lancet和JAMA三大医学期刊上的医疗器械非劣效临床试验界值的设定作</w:t>
      </w:r>
      <w:r w:rsidR="000728ED">
        <w:rPr>
          <w:rFonts w:hint="eastAsia"/>
        </w:rPr>
        <w:t>过</w:t>
      </w:r>
      <w:r w:rsidR="003D2C12" w:rsidRPr="00AC540D">
        <w:t>分析</w:t>
      </w:r>
      <w:r w:rsidR="00AC540D">
        <w:fldChar w:fldCharType="begin"/>
      </w:r>
      <w:r w:rsidR="00AC540D">
        <w:instrText xml:space="preserve"> ADDIN NE.Ref.{A8E21808-AB38-4E98-9F46-4DAB9820A7FA}</w:instrText>
      </w:r>
      <w:r w:rsidR="00AC540D">
        <w:fldChar w:fldCharType="separate"/>
      </w:r>
      <w:r w:rsidR="00507F63">
        <w:rPr>
          <w:rFonts w:ascii="等线" w:eastAsia="等线" w:cs="等线"/>
          <w:color w:val="000000"/>
          <w:kern w:val="0"/>
          <w:szCs w:val="21"/>
          <w:vertAlign w:val="superscript"/>
        </w:rPr>
        <w:t>12</w:t>
      </w:r>
      <w:r w:rsidR="00AC540D">
        <w:fldChar w:fldCharType="end"/>
      </w:r>
      <w:r w:rsidR="003D2C12">
        <w:t>，</w:t>
      </w:r>
      <w:r w:rsidR="000728ED">
        <w:rPr>
          <w:rFonts w:hint="eastAsia"/>
        </w:rPr>
        <w:t>在8</w:t>
      </w:r>
      <w:r w:rsidR="000728ED">
        <w:t>3</w:t>
      </w:r>
      <w:r w:rsidR="000728ED">
        <w:rPr>
          <w:rFonts w:hint="eastAsia"/>
        </w:rPr>
        <w:t>个研究中，</w:t>
      </w:r>
      <w:r w:rsidR="003D2C12">
        <w:t>仅2篇文献明确采用了监管机构指导原则建议的固定法，没有研究采用合成法。</w:t>
      </w:r>
    </w:p>
    <w:p w14:paraId="3A39A9D0" w14:textId="14604714" w:rsidR="003D2C12" w:rsidRDefault="003D2C12" w:rsidP="003D2C12">
      <w:pPr>
        <w:ind w:firstLineChars="202" w:firstLine="424"/>
      </w:pPr>
      <w:r>
        <w:rPr>
          <w:rFonts w:hint="eastAsia"/>
        </w:rPr>
        <w:t>非劣效研究中界值的设定是一个非常重要也通常较为棘手的问题。</w:t>
      </w:r>
      <w:r>
        <w:t>固定法的问题在于根据95%可信区间下限定M1时，这个M1受既往研究的样本量影响。如果既往研究的样本量较小，则95%可信区间较宽，那这个M1</w:t>
      </w:r>
      <w:r>
        <w:rPr>
          <w:rFonts w:hint="eastAsia"/>
        </w:rPr>
        <w:t>就会比较小，造成</w:t>
      </w:r>
      <w:r>
        <w:t>M2的空间受限，尽管这是对既往研究样本量小的惩罚，最终会导致样本量急剧增加而不可接受。</w:t>
      </w:r>
    </w:p>
    <w:p w14:paraId="785E8250" w14:textId="685A12B2" w:rsidR="00A44E98" w:rsidRDefault="00A44E98" w:rsidP="003D2C12">
      <w:pPr>
        <w:ind w:firstLineChars="202" w:firstLine="424"/>
        <w:rPr>
          <w:rFonts w:hint="eastAsia"/>
        </w:rPr>
      </w:pPr>
      <w:r>
        <w:rPr>
          <w:rFonts w:hint="eastAsia"/>
        </w:rPr>
        <w:t>有研究者提出经验性设定非劣效界值，对于定量指标，可取阳性对照组均数的1/10~1/5；对于定性指标，可以取疗效的5%~10%，或直接取10%</w:t>
      </w:r>
      <w:r>
        <w:fldChar w:fldCharType="begin"/>
      </w:r>
      <w:r>
        <w:instrText xml:space="preserve"> ADDIN NE.Ref.{C02EC79A-7F59-4CA8-8F70-01E39AB78A02}</w:instrText>
      </w:r>
      <w:r>
        <w:fldChar w:fldCharType="separate"/>
      </w:r>
      <w:r w:rsidR="00507F63">
        <w:rPr>
          <w:rFonts w:ascii="等线" w:eastAsia="等线" w:cs="等线"/>
          <w:color w:val="000000"/>
          <w:kern w:val="0"/>
          <w:szCs w:val="21"/>
          <w:vertAlign w:val="superscript"/>
        </w:rPr>
        <w:t>13</w:t>
      </w:r>
      <w:r>
        <w:fldChar w:fldCharType="end"/>
      </w:r>
      <w:r>
        <w:rPr>
          <w:rFonts w:hint="eastAsia"/>
        </w:rPr>
        <w:t>。</w:t>
      </w:r>
    </w:p>
    <w:p w14:paraId="0256DF6B" w14:textId="58DA8DEA" w:rsidR="000728ED" w:rsidRDefault="003D2C12" w:rsidP="000728ED">
      <w:pPr>
        <w:ind w:firstLineChars="202" w:firstLine="424"/>
      </w:pPr>
      <w:r>
        <w:rPr>
          <w:rFonts w:hint="eastAsia"/>
        </w:rPr>
        <w:t>我们建议可以采用较为简单</w:t>
      </w:r>
      <w:r w:rsidR="00A44E98">
        <w:rPr>
          <w:rFonts w:hint="eastAsia"/>
        </w:rPr>
        <w:t>实用</w:t>
      </w:r>
      <w:r>
        <w:rPr>
          <w:rFonts w:hint="eastAsia"/>
        </w:rPr>
        <w:t>的</w:t>
      </w:r>
      <w:r w:rsidR="00541D3D">
        <w:rPr>
          <w:rFonts w:hint="eastAsia"/>
        </w:rPr>
        <w:t>基于</w:t>
      </w:r>
      <w:r>
        <w:rPr>
          <w:rFonts w:hint="eastAsia"/>
        </w:rPr>
        <w:t>阳性对照预期值百分比的方法设定非劣效界值</w:t>
      </w:r>
      <w:r w:rsidR="00ED23CE">
        <w:fldChar w:fldCharType="begin"/>
      </w:r>
      <w:r w:rsidR="00ED23CE">
        <w:instrText xml:space="preserve"> ADDIN NE.Ref.{04BDA75F-36D5-468E-A17D-23F797E38C52}</w:instrText>
      </w:r>
      <w:r w:rsidR="00ED23CE">
        <w:fldChar w:fldCharType="separate"/>
      </w:r>
      <w:r w:rsidR="00507F63">
        <w:rPr>
          <w:rFonts w:ascii="等线" w:eastAsia="等线" w:cs="等线"/>
          <w:color w:val="000000"/>
          <w:kern w:val="0"/>
          <w:szCs w:val="21"/>
          <w:vertAlign w:val="superscript"/>
        </w:rPr>
        <w:t>12</w:t>
      </w:r>
      <w:r w:rsidR="00ED23CE">
        <w:fldChar w:fldCharType="end"/>
      </w:r>
      <w:r>
        <w:rPr>
          <w:rFonts w:hint="eastAsia"/>
        </w:rPr>
        <w:t>。</w:t>
      </w:r>
      <w:r w:rsidR="00E605A8">
        <w:rPr>
          <w:rFonts w:hint="eastAsia"/>
        </w:rPr>
        <w:t>FDA</w:t>
      </w:r>
      <w:r>
        <w:t>的指导原则认为M2的选择是一个临床判断，其实，不仅M2，整个界值的设定都是一个临床判断</w:t>
      </w:r>
      <w:r w:rsidR="00E605A8">
        <w:rPr>
          <w:rFonts w:hint="eastAsia"/>
        </w:rPr>
        <w:t>。药监局《</w:t>
      </w:r>
      <w:r w:rsidR="00E605A8" w:rsidRPr="00A904F3">
        <w:rPr>
          <w:rFonts w:hint="eastAsia"/>
        </w:rPr>
        <w:t>医疗器械临床试验设计指导原则</w:t>
      </w:r>
      <w:r w:rsidR="00E605A8">
        <w:rPr>
          <w:rFonts w:hint="eastAsia"/>
        </w:rPr>
        <w:t>》也认为</w:t>
      </w:r>
      <w:r w:rsidR="00E605A8" w:rsidRPr="00EA2060">
        <w:rPr>
          <w:rFonts w:hint="eastAsia"/>
        </w:rPr>
        <w:t>界值的制定主要考虑临床实际意义，需要被临床认可或接受。</w:t>
      </w:r>
      <w:r w:rsidR="00507F63">
        <w:rPr>
          <w:rFonts w:hint="eastAsia"/>
        </w:rPr>
        <w:t>因此，</w:t>
      </w:r>
      <w:r w:rsidR="00507F63">
        <w:rPr>
          <w:rFonts w:hint="eastAsia"/>
        </w:rPr>
        <w:t>界值的确定主要由临床医学专家确定，而不是依赖于统计学专家</w:t>
      </w:r>
      <w:r w:rsidR="00507F63">
        <w:fldChar w:fldCharType="begin"/>
      </w:r>
      <w:r w:rsidR="00507F63">
        <w:instrText xml:space="preserve"> ADDIN NE.Ref.{70705241-6397-45AC-A036-D08BE9F18583}</w:instrText>
      </w:r>
      <w:r w:rsidR="00507F63">
        <w:fldChar w:fldCharType="separate"/>
      </w:r>
      <w:r w:rsidR="00507F63">
        <w:rPr>
          <w:rFonts w:ascii="等线" w:eastAsia="等线" w:cs="等线"/>
          <w:color w:val="000000"/>
          <w:kern w:val="0"/>
          <w:szCs w:val="21"/>
          <w:vertAlign w:val="superscript"/>
        </w:rPr>
        <w:t>23</w:t>
      </w:r>
      <w:r w:rsidR="00507F63">
        <w:fldChar w:fldCharType="end"/>
      </w:r>
      <w:r w:rsidR="00507F63">
        <w:rPr>
          <w:rFonts w:hint="eastAsia"/>
        </w:rPr>
        <w:t>。</w:t>
      </w:r>
      <w:r>
        <w:t>从</w:t>
      </w:r>
      <w:r w:rsidR="00173F6B">
        <w:rPr>
          <w:rFonts w:hint="eastAsia"/>
        </w:rPr>
        <w:t>我们的</w:t>
      </w:r>
      <w:r>
        <w:t>数据</w:t>
      </w:r>
      <w:r w:rsidR="00AC540D">
        <w:rPr>
          <w:rFonts w:hint="eastAsia"/>
        </w:rPr>
        <w:t>分析</w:t>
      </w:r>
      <w:r>
        <w:t>来看，</w:t>
      </w:r>
      <w:r w:rsidR="00173F6B">
        <w:rPr>
          <w:rFonts w:hint="eastAsia"/>
        </w:rPr>
        <w:t>在临床研究实践中</w:t>
      </w:r>
      <w:r>
        <w:t>界值百分比与对照组预期值存在一定的反比关系（</w:t>
      </w:r>
      <w:r w:rsidR="00AC540D">
        <w:fldChar w:fldCharType="begin"/>
      </w:r>
      <w:r w:rsidR="00AC540D">
        <w:instrText xml:space="preserve"> REF _Ref112080412 \h </w:instrText>
      </w:r>
      <w:r w:rsidR="00AC540D">
        <w:fldChar w:fldCharType="separate"/>
      </w:r>
      <w:r w:rsidR="00AC540D">
        <w:t xml:space="preserve">图 </w:t>
      </w:r>
      <w:r w:rsidR="00AC540D">
        <w:rPr>
          <w:noProof/>
        </w:rPr>
        <w:t>6</w:t>
      </w:r>
      <w:r w:rsidR="00AC540D">
        <w:noBreakHyphen/>
      </w:r>
      <w:r w:rsidR="00AC540D">
        <w:rPr>
          <w:noProof/>
        </w:rPr>
        <w:t>1</w:t>
      </w:r>
      <w:r w:rsidR="00AC540D">
        <w:fldChar w:fldCharType="end"/>
      </w:r>
      <w:r>
        <w:t>），总的来说，</w:t>
      </w:r>
      <w:r w:rsidR="00173F6B">
        <w:rPr>
          <w:rFonts w:hint="eastAsia"/>
        </w:rPr>
        <w:t>以低优指标为例，</w:t>
      </w:r>
      <w:r>
        <w:t>界值</w:t>
      </w:r>
      <w:r w:rsidR="00173F6B">
        <w:rPr>
          <w:rFonts w:hint="eastAsia"/>
        </w:rPr>
        <w:t>不宜超过阳性对照组的</w:t>
      </w:r>
      <w:r>
        <w:t>50%，否则需提供充分的理由，特别适当对照组预期值大于10%时。</w:t>
      </w:r>
    </w:p>
    <w:p w14:paraId="59C5AF3C" w14:textId="732D5884" w:rsidR="000728ED" w:rsidRDefault="000728ED" w:rsidP="000728ED">
      <w:pPr>
        <w:rPr>
          <w:noProof/>
        </w:rPr>
      </w:pPr>
      <w:r>
        <w:rPr>
          <w:noProof/>
        </w:rPr>
        <w:lastRenderedPageBreak/>
        <w:drawing>
          <wp:inline distT="0" distB="0" distL="0" distR="0" wp14:anchorId="407C79BB" wp14:editId="054CED04">
            <wp:extent cx="5274310" cy="3195320"/>
            <wp:effectExtent l="0" t="0" r="2540" b="508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9">
                      <a:extLst>
                        <a:ext uri="{28A0092B-C50C-407E-A947-70E740481C1C}">
                          <a14:useLocalDpi xmlns:a14="http://schemas.microsoft.com/office/drawing/2010/main" val="0"/>
                        </a:ext>
                      </a:extLst>
                    </a:blip>
                    <a:srcRect b="-20"/>
                    <a:stretch>
                      <a:fillRect/>
                    </a:stretch>
                  </pic:blipFill>
                  <pic:spPr bwMode="auto">
                    <a:xfrm>
                      <a:off x="0" y="0"/>
                      <a:ext cx="5274310" cy="3195320"/>
                    </a:xfrm>
                    <a:prstGeom prst="rect">
                      <a:avLst/>
                    </a:prstGeom>
                    <a:noFill/>
                    <a:ln>
                      <a:noFill/>
                    </a:ln>
                  </pic:spPr>
                </pic:pic>
              </a:graphicData>
            </a:graphic>
          </wp:inline>
        </w:drawing>
      </w:r>
    </w:p>
    <w:p w14:paraId="0FE086D1" w14:textId="0DF1A7A3" w:rsidR="000728ED" w:rsidRDefault="00AC540D" w:rsidP="00AC540D">
      <w:pPr>
        <w:pStyle w:val="Caption"/>
        <w:jc w:val="center"/>
      </w:pPr>
      <w:bookmarkStart w:id="4" w:name="_Ref112080412"/>
      <w:r>
        <w:t>图</w:t>
      </w:r>
      <w:r>
        <w:t xml:space="preserve"> </w:t>
      </w:r>
      <w:r>
        <w:fldChar w:fldCharType="begin"/>
      </w:r>
      <w:r>
        <w:instrText xml:space="preserve"> STYLEREF 1 \s </w:instrText>
      </w:r>
      <w:r>
        <w:fldChar w:fldCharType="separate"/>
      </w:r>
      <w:r>
        <w:rPr>
          <w:noProof/>
        </w:rPr>
        <w:t>6</w:t>
      </w:r>
      <w: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1</w:t>
      </w:r>
      <w:r>
        <w:fldChar w:fldCharType="end"/>
      </w:r>
      <w:bookmarkEnd w:id="4"/>
      <w:r w:rsidR="000728ED">
        <w:t xml:space="preserve"> </w:t>
      </w:r>
      <w:r w:rsidR="000728ED">
        <w:rPr>
          <w:rFonts w:hint="eastAsia"/>
        </w:rPr>
        <w:t>界值百分比与对照组预期值的</w:t>
      </w:r>
      <w:r w:rsidR="00173F6B">
        <w:rPr>
          <w:rFonts w:hint="eastAsia"/>
        </w:rPr>
        <w:t>反比</w:t>
      </w:r>
      <w:r w:rsidR="000728ED">
        <w:rPr>
          <w:rFonts w:hint="eastAsia"/>
        </w:rPr>
        <w:t>关系</w:t>
      </w:r>
    </w:p>
    <w:p w14:paraId="33A0A744" w14:textId="77777777" w:rsidR="000728ED" w:rsidRPr="00C46023" w:rsidRDefault="000728ED" w:rsidP="000728ED">
      <w:pPr>
        <w:jc w:val="center"/>
        <w:rPr>
          <w:sz w:val="18"/>
          <w:szCs w:val="20"/>
        </w:rPr>
      </w:pPr>
      <w:r w:rsidRPr="00C46023">
        <w:rPr>
          <w:rFonts w:hint="eastAsia"/>
          <w:sz w:val="18"/>
          <w:szCs w:val="20"/>
        </w:rPr>
        <w:t>注：横坐标为对照组预期值，纵坐标为界值百分比。红色表示该终点包含死亡事件。</w:t>
      </w:r>
    </w:p>
    <w:p w14:paraId="632C18A9" w14:textId="54AB44F6" w:rsidR="003D2C12" w:rsidRPr="0023566F" w:rsidRDefault="0023566F" w:rsidP="00AC540D">
      <w:pPr>
        <w:pStyle w:val="Heading3"/>
      </w:pPr>
      <w:bookmarkStart w:id="5" w:name="_Hlk137387441"/>
      <w:r w:rsidRPr="0023566F">
        <w:rPr>
          <w:rFonts w:hint="eastAsia"/>
        </w:rPr>
        <w:t>何时使用Farrington</w:t>
      </w:r>
      <w:r w:rsidRPr="0023566F">
        <w:t>-</w:t>
      </w:r>
      <w:r w:rsidRPr="0023566F">
        <w:rPr>
          <w:rFonts w:hint="eastAsia"/>
        </w:rPr>
        <w:t>Manning法</w:t>
      </w:r>
    </w:p>
    <w:bookmarkEnd w:id="5"/>
    <w:p w14:paraId="518981DD" w14:textId="210BBAB2" w:rsidR="00A63577" w:rsidRDefault="00173F6B" w:rsidP="00AC540D">
      <w:pPr>
        <w:ind w:firstLine="420"/>
      </w:pPr>
      <w:r>
        <w:rPr>
          <w:rFonts w:hint="eastAsia"/>
        </w:rPr>
        <w:t>两组</w:t>
      </w:r>
      <w:r w:rsidR="00F61152">
        <w:rPr>
          <w:rFonts w:hint="eastAsia"/>
        </w:rPr>
        <w:t>率的比较的非劣效设计，同之前</w:t>
      </w:r>
      <w:r w:rsidR="00615215">
        <w:rPr>
          <w:rFonts w:hint="eastAsia"/>
        </w:rPr>
        <w:t>介绍的</w:t>
      </w:r>
      <w:r w:rsidR="00F61152">
        <w:rPr>
          <w:rFonts w:hint="eastAsia"/>
        </w:rPr>
        <w:t>两组率的差异性检验一样有独立方差法和合并方差法，这两种方法的</w:t>
      </w:r>
      <w:r w:rsidR="00615215">
        <w:rPr>
          <w:rFonts w:hint="eastAsia"/>
        </w:rPr>
        <w:t>异同</w:t>
      </w:r>
      <w:r w:rsidR="00F61152">
        <w:rPr>
          <w:rFonts w:hint="eastAsia"/>
        </w:rPr>
        <w:t>可以参考之前章节的分析。两组率的比较的非劣效设计，还有Farrington</w:t>
      </w:r>
      <w:r w:rsidR="00F61152">
        <w:t>-</w:t>
      </w:r>
      <w:r w:rsidR="00F61152">
        <w:rPr>
          <w:rFonts w:hint="eastAsia"/>
        </w:rPr>
        <w:t>Manning法，</w:t>
      </w:r>
      <w:r w:rsidR="0061104A">
        <w:rPr>
          <w:rFonts w:hint="eastAsia"/>
        </w:rPr>
        <w:t>通常</w:t>
      </w:r>
      <w:r w:rsidR="00336E26">
        <w:rPr>
          <w:rFonts w:hint="eastAsia"/>
        </w:rPr>
        <w:t>这是相对更保守的样本量计算</w:t>
      </w:r>
      <w:r w:rsidR="007B2EA9">
        <w:rPr>
          <w:rFonts w:hint="eastAsia"/>
        </w:rPr>
        <w:t>方法</w:t>
      </w:r>
      <w:r w:rsidR="007B2EA9">
        <w:fldChar w:fldCharType="begin"/>
      </w:r>
      <w:r w:rsidR="0046144A">
        <w:instrText xml:space="preserve"> ADDIN NE.Ref.{A3201F88-7BFC-44E2-BB8F-65FE772DE736}</w:instrText>
      </w:r>
      <w:r w:rsidR="007B2EA9">
        <w:fldChar w:fldCharType="separate"/>
      </w:r>
      <w:r w:rsidR="00507F63">
        <w:rPr>
          <w:rFonts w:ascii="等线" w:eastAsia="等线" w:cs="等线"/>
          <w:color w:val="000000"/>
          <w:kern w:val="0"/>
          <w:szCs w:val="21"/>
          <w:vertAlign w:val="superscript"/>
        </w:rPr>
        <w:t>3</w:t>
      </w:r>
      <w:r w:rsidR="007B2EA9">
        <w:fldChar w:fldCharType="end"/>
      </w:r>
      <w:r w:rsidR="00336E26">
        <w:rPr>
          <w:rFonts w:hint="eastAsia"/>
        </w:rPr>
        <w:t>。</w:t>
      </w:r>
      <w:r w:rsidR="003D21EB">
        <w:rPr>
          <w:rFonts w:hint="eastAsia"/>
        </w:rPr>
        <w:t>有时这三种方法计算的样本量差异会较大，特别是不对称设计时，比如本章的，独立方差法、合并方差法及Farrington-Manning法计算的样本量分别为248、248及374。</w:t>
      </w:r>
      <w:r w:rsidR="0061104A">
        <w:rPr>
          <w:rFonts w:hint="eastAsia"/>
        </w:rPr>
        <w:t>三种方法的具体选用</w:t>
      </w:r>
      <w:r w:rsidR="00615215">
        <w:rPr>
          <w:rFonts w:hint="eastAsia"/>
        </w:rPr>
        <w:t>目前并没有明确的推荐，建议可选择样本量较大的方法，可确保检验效能</w:t>
      </w:r>
      <w:r w:rsidR="00093951">
        <w:rPr>
          <w:rFonts w:hint="eastAsia"/>
        </w:rPr>
        <w:t>，或者做一些样本量的模拟分析</w:t>
      </w:r>
      <w:r w:rsidR="00615215">
        <w:rPr>
          <w:rFonts w:hint="eastAsia"/>
        </w:rPr>
        <w:t>。</w:t>
      </w:r>
    </w:p>
    <w:p w14:paraId="2347E875" w14:textId="70F59F44" w:rsidR="00A63577" w:rsidRPr="00A63577" w:rsidRDefault="00A63577" w:rsidP="00AC540D">
      <w:pPr>
        <w:pStyle w:val="Heading3"/>
      </w:pPr>
      <w:r w:rsidRPr="00A63577">
        <w:rPr>
          <w:rFonts w:hint="eastAsia"/>
        </w:rPr>
        <w:t>非劣效转差异性检验或优效检验</w:t>
      </w:r>
    </w:p>
    <w:p w14:paraId="7CD58B13" w14:textId="574D026E" w:rsidR="00541D3D" w:rsidRDefault="00541D3D" w:rsidP="00541D3D">
      <w:pPr>
        <w:autoSpaceDE w:val="0"/>
        <w:autoSpaceDN w:val="0"/>
        <w:adjustRightInd w:val="0"/>
        <w:ind w:firstLineChars="200" w:firstLine="420"/>
        <w:jc w:val="left"/>
      </w:pPr>
      <w:r>
        <w:rPr>
          <w:rFonts w:hint="eastAsia"/>
        </w:rPr>
        <w:t>一般来说，非劣效设计研究在满足了非劣效检验后可以进一步作差异性检验并宣称优于对照组，</w:t>
      </w:r>
      <w:r w:rsidR="00AD0AF5">
        <w:rPr>
          <w:rFonts w:hint="eastAsia"/>
        </w:rPr>
        <w:t>这种转换无需进行</w:t>
      </w:r>
      <w:r w:rsidR="00AD0AF5">
        <w:rPr>
          <w:rFonts w:asciiTheme="minorEastAsia" w:hAnsiTheme="minorEastAsia" w:hint="eastAsia"/>
        </w:rPr>
        <w:t>α</w:t>
      </w:r>
      <w:r w:rsidR="00AD0AF5">
        <w:rPr>
          <w:rFonts w:hint="eastAsia"/>
        </w:rPr>
        <w:t>校正，但需要预先在研究方案中作出规定</w:t>
      </w:r>
      <w:r w:rsidR="00AD0AF5">
        <w:fldChar w:fldCharType="begin"/>
      </w:r>
      <w:r w:rsidR="00AD0AF5">
        <w:instrText xml:space="preserve"> ADDIN NE.Ref.{C3DBDF93-3826-4E47-B6D0-A1FD879D02D8}</w:instrText>
      </w:r>
      <w:r w:rsidR="00AD0AF5">
        <w:fldChar w:fldCharType="separate"/>
      </w:r>
      <w:r w:rsidR="00507F63">
        <w:rPr>
          <w:rFonts w:ascii="等线" w:eastAsia="等线" w:cs="等线"/>
          <w:color w:val="000000"/>
          <w:kern w:val="0"/>
          <w:szCs w:val="21"/>
          <w:vertAlign w:val="superscript"/>
        </w:rPr>
        <w:t>13</w:t>
      </w:r>
      <w:r w:rsidR="00AD0AF5">
        <w:fldChar w:fldCharType="end"/>
      </w:r>
      <w:r w:rsidR="00AD0AF5">
        <w:rPr>
          <w:rFonts w:hint="eastAsia"/>
        </w:rPr>
        <w:t>。</w:t>
      </w:r>
      <w:r>
        <w:rPr>
          <w:rFonts w:hint="eastAsia"/>
        </w:rPr>
        <w:t>例如</w:t>
      </w:r>
      <w:proofErr w:type="spellStart"/>
      <w:r w:rsidR="003D21EB">
        <w:rPr>
          <w:rFonts w:hint="eastAsia"/>
        </w:rPr>
        <w:t>BeNeDuctus</w:t>
      </w:r>
      <w:proofErr w:type="spellEnd"/>
      <w:r w:rsidR="003D21EB">
        <w:rPr>
          <w:rFonts w:hint="eastAsia"/>
        </w:rPr>
        <w:t>研究</w:t>
      </w:r>
      <w:r w:rsidR="003D21EB">
        <w:fldChar w:fldCharType="begin"/>
      </w:r>
      <w:r w:rsidR="003D21EB">
        <w:instrText xml:space="preserve"> ADDIN NE.Ref.{A3A169B3-37DD-44DC-8EF3-541325FBCBCD}</w:instrText>
      </w:r>
      <w:r w:rsidR="003D21EB">
        <w:fldChar w:fldCharType="separate"/>
      </w:r>
      <w:r w:rsidR="00507F63">
        <w:rPr>
          <w:rFonts w:ascii="等线" w:eastAsia="等线" w:cs="等线"/>
          <w:color w:val="000000"/>
          <w:kern w:val="0"/>
          <w:szCs w:val="21"/>
          <w:vertAlign w:val="superscript"/>
        </w:rPr>
        <w:t>15</w:t>
      </w:r>
      <w:r w:rsidR="003D21EB">
        <w:fldChar w:fldCharType="end"/>
      </w:r>
      <w:r w:rsidR="003D21EB">
        <w:rPr>
          <w:rFonts w:hint="eastAsia"/>
        </w:rPr>
        <w:t>，结果</w:t>
      </w:r>
      <w:r>
        <w:rPr>
          <w:rFonts w:hint="eastAsia"/>
        </w:rPr>
        <w:t>已显示试验组优于对照组。而优效设计或差异性比较的研究，在不满足优效或差异性检验后，通常不能</w:t>
      </w:r>
      <w:r w:rsidR="00615215">
        <w:rPr>
          <w:rFonts w:hint="eastAsia"/>
        </w:rPr>
        <w:t>直接</w:t>
      </w:r>
      <w:r>
        <w:rPr>
          <w:rFonts w:hint="eastAsia"/>
        </w:rPr>
        <w:t>转为非劣效比较，除非事先定义了非劣效界值并</w:t>
      </w:r>
      <w:r w:rsidR="00AD0AF5">
        <w:rPr>
          <w:rFonts w:hint="eastAsia"/>
        </w:rPr>
        <w:t>考虑了多重性校正</w:t>
      </w:r>
      <w:r>
        <w:rPr>
          <w:rFonts w:hint="eastAsia"/>
        </w:rPr>
        <w:t>。</w:t>
      </w:r>
    </w:p>
    <w:p w14:paraId="645E94A1" w14:textId="13D9F3E0" w:rsidR="00AC540D" w:rsidRPr="00AC540D" w:rsidRDefault="00AC540D" w:rsidP="00AC540D">
      <w:pPr>
        <w:pStyle w:val="Heading3"/>
      </w:pPr>
      <w:r w:rsidRPr="00AC540D">
        <w:rPr>
          <w:rFonts w:hint="eastAsia"/>
        </w:rPr>
        <w:t>率差vs率比</w:t>
      </w:r>
    </w:p>
    <w:p w14:paraId="273E7D7A" w14:textId="514FD297" w:rsidR="00AC540D" w:rsidRPr="00AC540D" w:rsidRDefault="003D21EB" w:rsidP="00124616">
      <w:pPr>
        <w:ind w:firstLineChars="202" w:firstLine="424"/>
      </w:pPr>
      <w:r>
        <w:rPr>
          <w:rFonts w:hint="eastAsia"/>
        </w:rPr>
        <w:t>本章所介绍的两组率比较的非劣效设计都是基于率的差值。</w:t>
      </w:r>
      <w:r w:rsidR="00AC540D">
        <w:rPr>
          <w:rFonts w:hint="eastAsia"/>
        </w:rPr>
        <w:t>FDA</w:t>
      </w:r>
      <w:r w:rsidR="00AC540D">
        <w:t>的</w:t>
      </w:r>
      <w:r>
        <w:rPr>
          <w:rFonts w:hint="eastAsia"/>
        </w:rPr>
        <w:t>《非劣效临床试验评价有效性的指导原则》</w:t>
      </w:r>
      <w:r w:rsidR="00AC540D">
        <w:t>认为当研究终点为定性数据时，因事件发生率在不同的研究中可能会有较大的变异，界值采用HR或RR等相对数通常比绝对差值更稳健</w:t>
      </w:r>
      <w:r>
        <w:rPr>
          <w:rFonts w:hint="eastAsia"/>
        </w:rPr>
        <w:t>。</w:t>
      </w:r>
      <w:r w:rsidR="00AC540D">
        <w:rPr>
          <w:rFonts w:hint="eastAsia"/>
        </w:rPr>
        <w:t>我们</w:t>
      </w:r>
      <w:r>
        <w:rPr>
          <w:rFonts w:hint="eastAsia"/>
        </w:rPr>
        <w:t>对实际临床研究的数据分析</w:t>
      </w:r>
      <w:r>
        <w:fldChar w:fldCharType="begin"/>
      </w:r>
      <w:r>
        <w:instrText xml:space="preserve"> ADDIN NE.Ref.{FB8FDAB2-1AE3-4E56-B032-421779C599CD}</w:instrText>
      </w:r>
      <w:r>
        <w:fldChar w:fldCharType="separate"/>
      </w:r>
      <w:r w:rsidR="00507F63">
        <w:rPr>
          <w:rFonts w:ascii="等线" w:eastAsia="等线" w:cs="等线"/>
          <w:color w:val="000000"/>
          <w:kern w:val="0"/>
          <w:szCs w:val="21"/>
          <w:vertAlign w:val="superscript"/>
        </w:rPr>
        <w:t>12</w:t>
      </w:r>
      <w:r>
        <w:fldChar w:fldCharType="end"/>
      </w:r>
      <w:r w:rsidR="00AC540D">
        <w:rPr>
          <w:rFonts w:hint="eastAsia"/>
        </w:rPr>
        <w:t>显示在8</w:t>
      </w:r>
      <w:r w:rsidR="00AC540D">
        <w:t>3</w:t>
      </w:r>
      <w:r w:rsidR="00AC540D">
        <w:rPr>
          <w:rFonts w:hint="eastAsia"/>
        </w:rPr>
        <w:t>个</w:t>
      </w:r>
      <w:r>
        <w:rPr>
          <w:rFonts w:hint="eastAsia"/>
        </w:rPr>
        <w:t>两组率的非劣效</w:t>
      </w:r>
      <w:r w:rsidR="00AC540D">
        <w:rPr>
          <w:rFonts w:hint="eastAsia"/>
        </w:rPr>
        <w:t>研究中，</w:t>
      </w:r>
      <w:r w:rsidR="00AC540D">
        <w:t>83.1%</w:t>
      </w:r>
      <w:r w:rsidR="00AC540D">
        <w:rPr>
          <w:rFonts w:hint="eastAsia"/>
        </w:rPr>
        <w:t>的界值</w:t>
      </w:r>
      <w:r w:rsidR="00AC540D">
        <w:t>采用了绝对差值</w:t>
      </w:r>
      <w:r w:rsidR="00AC540D">
        <w:rPr>
          <w:rFonts w:hint="eastAsia"/>
        </w:rPr>
        <w:t>。</w:t>
      </w:r>
      <w:r w:rsidR="00AC540D">
        <w:t>Macaya等</w:t>
      </w:r>
      <w:r w:rsidR="00AC540D">
        <w:fldChar w:fldCharType="begin"/>
      </w:r>
      <w:r w:rsidR="00AC540D">
        <w:instrText xml:space="preserve"> ADDIN NE.Ref.{E9E0A554-57F3-4F4C-B206-D14CE60A48AC}</w:instrText>
      </w:r>
      <w:r w:rsidR="00AC540D">
        <w:fldChar w:fldCharType="separate"/>
      </w:r>
      <w:r w:rsidR="00507F63">
        <w:rPr>
          <w:rFonts w:ascii="等线" w:eastAsia="等线" w:cs="等线"/>
          <w:color w:val="000000"/>
          <w:kern w:val="0"/>
          <w:szCs w:val="21"/>
          <w:vertAlign w:val="superscript"/>
        </w:rPr>
        <w:t>16</w:t>
      </w:r>
      <w:r w:rsidR="00AC540D">
        <w:fldChar w:fldCharType="end"/>
      </w:r>
      <w:r w:rsidR="00AC540D">
        <w:t>考察了9个冠脉支架的非劣效研究，非劣效界值</w:t>
      </w:r>
      <w:r w:rsidR="00AC540D">
        <w:rPr>
          <w:rFonts w:hint="eastAsia"/>
        </w:rPr>
        <w:t>全部</w:t>
      </w:r>
      <w:r w:rsidR="00AC540D">
        <w:t>采用了绝对差值，结果也都达成了非劣效，但如果采用相对数界值，仅4个仍能保持非劣效的结论。</w:t>
      </w:r>
      <w:r w:rsidR="00124616">
        <w:rPr>
          <w:rFonts w:hint="eastAsia"/>
        </w:rPr>
        <w:t>这点也易于理解，以低优指标并发症为例，当两组率的预期值都较高为10%，因而设定了一个较高的非劣效界值5%，这时候的RR是1.5；而当实际两组发生的并发症都明显较低，试验组和对照组分别为6%和</w:t>
      </w:r>
      <w:r w:rsidR="00124616">
        <w:rPr>
          <w:rFonts w:hint="eastAsia"/>
        </w:rPr>
        <w:lastRenderedPageBreak/>
        <w:t>4%，这时候的RR已经为1.5了，RR的假设检验肯定通不过了，而率差的假设检验仍然能够通过。</w:t>
      </w:r>
    </w:p>
    <w:p w14:paraId="615A65A3" w14:textId="77777777" w:rsidR="00507F63" w:rsidRDefault="00D6631C" w:rsidP="00507F63">
      <w:pPr>
        <w:autoSpaceDE w:val="0"/>
        <w:autoSpaceDN w:val="0"/>
        <w:adjustRightInd w:val="0"/>
        <w:jc w:val="left"/>
        <w:rPr>
          <w:rFonts w:ascii="Times New Roman" w:hAnsi="Times New Roman" w:cs="Times New Roman"/>
          <w:kern w:val="0"/>
          <w:sz w:val="24"/>
          <w:szCs w:val="24"/>
        </w:rPr>
      </w:pPr>
      <w:r>
        <w:fldChar w:fldCharType="begin"/>
      </w:r>
      <w:r>
        <w:instrText xml:space="preserve"> ADDIN NE.Bib</w:instrText>
      </w:r>
      <w:r>
        <w:fldChar w:fldCharType="separate"/>
      </w:r>
    </w:p>
    <w:p w14:paraId="63F9F86D" w14:textId="77777777" w:rsidR="00507F63" w:rsidRDefault="00507F63" w:rsidP="00507F63">
      <w:pPr>
        <w:autoSpaceDE w:val="0"/>
        <w:autoSpaceDN w:val="0"/>
        <w:adjustRightInd w:val="0"/>
        <w:jc w:val="center"/>
        <w:rPr>
          <w:rFonts w:ascii="Times New Roman" w:hAnsi="Times New Roman" w:cs="Times New Roman"/>
          <w:kern w:val="0"/>
          <w:sz w:val="24"/>
          <w:szCs w:val="24"/>
        </w:rPr>
      </w:pPr>
      <w:r>
        <w:rPr>
          <w:rFonts w:ascii="Times New Roman" w:hAnsi="Times New Roman" w:cs="Times New Roman"/>
          <w:b/>
          <w:bCs/>
          <w:color w:val="000000"/>
          <w:kern w:val="0"/>
          <w:sz w:val="40"/>
          <w:szCs w:val="40"/>
        </w:rPr>
        <w:t>References:</w:t>
      </w:r>
    </w:p>
    <w:p w14:paraId="07BC621D"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1.</w:t>
      </w:r>
      <w:r>
        <w:rPr>
          <w:rFonts w:ascii="Times New Roman" w:hAnsi="Times New Roman" w:cs="Times New Roman"/>
          <w:color w:val="000000"/>
          <w:kern w:val="0"/>
          <w:sz w:val="20"/>
          <w:szCs w:val="20"/>
        </w:rPr>
        <w:tab/>
      </w:r>
      <w:bookmarkStart w:id="6" w:name="_neb2B2DF180_26DF_423D_9E11_E45F91ADE8D9"/>
      <w:r>
        <w:rPr>
          <w:rFonts w:ascii="宋体" w:eastAsia="宋体" w:hAnsi="Times New Roman" w:cs="宋体" w:hint="eastAsia"/>
          <w:color w:val="000000"/>
          <w:kern w:val="0"/>
          <w:sz w:val="20"/>
          <w:szCs w:val="20"/>
        </w:rPr>
        <w:t>国家药品监督管理局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医疗器械临床试验设计指导原则</w:t>
      </w:r>
      <w:r>
        <w:rPr>
          <w:rFonts w:ascii="Times New Roman" w:hAnsi="Times New Roman" w:cs="Times New Roman"/>
          <w:color w:val="000000"/>
          <w:kern w:val="0"/>
          <w:sz w:val="20"/>
          <w:szCs w:val="20"/>
        </w:rPr>
        <w:t>; 2018.</w:t>
      </w:r>
      <w:bookmarkEnd w:id="6"/>
    </w:p>
    <w:p w14:paraId="610CB751"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2.</w:t>
      </w:r>
      <w:r>
        <w:rPr>
          <w:rFonts w:ascii="Times New Roman" w:hAnsi="Times New Roman" w:cs="Times New Roman"/>
          <w:color w:val="000000"/>
          <w:kern w:val="0"/>
          <w:sz w:val="20"/>
          <w:szCs w:val="20"/>
        </w:rPr>
        <w:tab/>
      </w:r>
      <w:bookmarkStart w:id="7" w:name="_neb35AA1771_ABD8_483E_AEDF_7F7DE3A26BFA"/>
      <w:r>
        <w:rPr>
          <w:rFonts w:ascii="宋体" w:eastAsia="宋体" w:hAnsi="Times New Roman" w:cs="宋体" w:hint="eastAsia"/>
          <w:color w:val="000000"/>
          <w:kern w:val="0"/>
          <w:sz w:val="20"/>
          <w:szCs w:val="20"/>
        </w:rPr>
        <w:t>李卫</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医疗器械临床试验统计方法</w:t>
      </w:r>
      <w:r>
        <w:rPr>
          <w:rFonts w:ascii="Times New Roman" w:hAnsi="Times New Roman" w:cs="Times New Roman"/>
          <w:color w:val="000000"/>
          <w:kern w:val="0"/>
          <w:sz w:val="20"/>
          <w:szCs w:val="20"/>
        </w:rPr>
        <w:t>. 2</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科学出版社</w:t>
      </w:r>
      <w:r>
        <w:rPr>
          <w:rFonts w:ascii="Times New Roman" w:hAnsi="Times New Roman" w:cs="Times New Roman"/>
          <w:color w:val="000000"/>
          <w:kern w:val="0"/>
          <w:sz w:val="20"/>
          <w:szCs w:val="20"/>
        </w:rPr>
        <w:t>; 2016.</w:t>
      </w:r>
      <w:bookmarkEnd w:id="7"/>
    </w:p>
    <w:p w14:paraId="3FE194E3"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3.</w:t>
      </w:r>
      <w:r>
        <w:rPr>
          <w:rFonts w:ascii="Times New Roman" w:hAnsi="Times New Roman" w:cs="Times New Roman"/>
          <w:color w:val="000000"/>
          <w:kern w:val="0"/>
          <w:sz w:val="20"/>
          <w:szCs w:val="20"/>
        </w:rPr>
        <w:tab/>
      </w:r>
      <w:bookmarkStart w:id="8" w:name="_neb9A86B02B_1BA2_4C59_8CBA_AB3ADA9E8493"/>
      <w:r>
        <w:rPr>
          <w:rFonts w:ascii="Times New Roman" w:hAnsi="Times New Roman" w:cs="Times New Roman"/>
          <w:color w:val="000000"/>
          <w:kern w:val="0"/>
          <w:sz w:val="20"/>
          <w:szCs w:val="20"/>
        </w:rPr>
        <w:t xml:space="preserve">Chow S, Shao J, Wang H, </w:t>
      </w:r>
      <w:proofErr w:type="spellStart"/>
      <w:r>
        <w:rPr>
          <w:rFonts w:ascii="Times New Roman" w:hAnsi="Times New Roman" w:cs="Times New Roman"/>
          <w:color w:val="000000"/>
          <w:kern w:val="0"/>
          <w:sz w:val="20"/>
          <w:szCs w:val="20"/>
        </w:rPr>
        <w:t>Lokhnygina</w:t>
      </w:r>
      <w:proofErr w:type="spellEnd"/>
      <w:r>
        <w:rPr>
          <w:rFonts w:ascii="Times New Roman" w:hAnsi="Times New Roman" w:cs="Times New Roman"/>
          <w:color w:val="000000"/>
          <w:kern w:val="0"/>
          <w:sz w:val="20"/>
          <w:szCs w:val="20"/>
        </w:rPr>
        <w:t xml:space="preserve"> Y. Sample Size Calculations in Clinical Research. Third Edition ed: CRC Press; 2018.</w:t>
      </w:r>
      <w:bookmarkEnd w:id="8"/>
    </w:p>
    <w:p w14:paraId="4C19A8F9"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4.</w:t>
      </w:r>
      <w:r>
        <w:rPr>
          <w:rFonts w:ascii="Times New Roman" w:hAnsi="Times New Roman" w:cs="Times New Roman"/>
          <w:color w:val="000000"/>
          <w:kern w:val="0"/>
          <w:sz w:val="20"/>
          <w:szCs w:val="20"/>
        </w:rPr>
        <w:tab/>
      </w:r>
      <w:bookmarkStart w:id="9" w:name="_nebC5D0175B_FD8B_4905_9AB7_EBCF15FC463B"/>
      <w:r>
        <w:rPr>
          <w:rFonts w:ascii="Times New Roman" w:hAnsi="Times New Roman" w:cs="Times New Roman"/>
          <w:color w:val="000000"/>
          <w:kern w:val="0"/>
          <w:sz w:val="20"/>
          <w:szCs w:val="20"/>
        </w:rPr>
        <w:t>Kieser M. Methods and Applications of Sample Size Calculation and Recalculation in Clinical Trials: Springer; 2020.</w:t>
      </w:r>
      <w:bookmarkEnd w:id="9"/>
    </w:p>
    <w:p w14:paraId="0F743080"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5.</w:t>
      </w:r>
      <w:r>
        <w:rPr>
          <w:rFonts w:ascii="Times New Roman" w:hAnsi="Times New Roman" w:cs="Times New Roman"/>
          <w:color w:val="000000"/>
          <w:kern w:val="0"/>
          <w:sz w:val="20"/>
          <w:szCs w:val="20"/>
        </w:rPr>
        <w:tab/>
      </w:r>
      <w:bookmarkStart w:id="10" w:name="_neb8C7C33B0_38EF_4BC3_9B00_C2C518D6B4DF"/>
      <w:r>
        <w:rPr>
          <w:rFonts w:ascii="Times New Roman" w:hAnsi="Times New Roman" w:cs="Times New Roman"/>
          <w:color w:val="000000"/>
          <w:kern w:val="0"/>
          <w:sz w:val="20"/>
          <w:szCs w:val="20"/>
        </w:rPr>
        <w:t>CCTS</w:t>
      </w:r>
      <w:r>
        <w:rPr>
          <w:rFonts w:ascii="宋体" w:eastAsia="宋体" w:hAnsi="Times New Roman" w:cs="宋体" w:hint="eastAsia"/>
          <w:color w:val="000000"/>
          <w:kern w:val="0"/>
          <w:sz w:val="20"/>
          <w:szCs w:val="20"/>
        </w:rPr>
        <w:t>工作小组</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夏结来</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非劣效临床试验的统计学考虑</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中国卫生统计</w:t>
      </w:r>
      <w:r>
        <w:rPr>
          <w:rFonts w:ascii="Times New Roman" w:hAnsi="Times New Roman" w:cs="Times New Roman"/>
          <w:color w:val="000000"/>
          <w:kern w:val="0"/>
          <w:sz w:val="20"/>
          <w:szCs w:val="20"/>
        </w:rPr>
        <w:t xml:space="preserve"> 2012;29:270-4.</w:t>
      </w:r>
      <w:bookmarkEnd w:id="10"/>
    </w:p>
    <w:p w14:paraId="77756262"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6.</w:t>
      </w:r>
      <w:r>
        <w:rPr>
          <w:rFonts w:ascii="Times New Roman" w:hAnsi="Times New Roman" w:cs="Times New Roman"/>
          <w:color w:val="000000"/>
          <w:kern w:val="0"/>
          <w:sz w:val="20"/>
          <w:szCs w:val="20"/>
        </w:rPr>
        <w:tab/>
      </w:r>
      <w:bookmarkStart w:id="11" w:name="_nebCE83C429_FBC1_4728_92A1_25ABDD00014B"/>
      <w:r>
        <w:rPr>
          <w:rFonts w:ascii="宋体" w:eastAsia="宋体" w:hAnsi="Times New Roman" w:cs="宋体" w:hint="eastAsia"/>
          <w:color w:val="000000"/>
          <w:kern w:val="0"/>
          <w:sz w:val="20"/>
          <w:szCs w:val="20"/>
        </w:rPr>
        <w:t>尹国圣</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石昊伦</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临床试验设计的统计方法</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高等教育出版社</w:t>
      </w:r>
      <w:r>
        <w:rPr>
          <w:rFonts w:ascii="Times New Roman" w:hAnsi="Times New Roman" w:cs="Times New Roman"/>
          <w:color w:val="000000"/>
          <w:kern w:val="0"/>
          <w:sz w:val="20"/>
          <w:szCs w:val="20"/>
        </w:rPr>
        <w:t>; 2018.</w:t>
      </w:r>
      <w:bookmarkEnd w:id="11"/>
    </w:p>
    <w:p w14:paraId="6D4C392B"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7.</w:t>
      </w:r>
      <w:r>
        <w:rPr>
          <w:rFonts w:ascii="Times New Roman" w:hAnsi="Times New Roman" w:cs="Times New Roman"/>
          <w:color w:val="000000"/>
          <w:kern w:val="0"/>
          <w:sz w:val="20"/>
          <w:szCs w:val="20"/>
        </w:rPr>
        <w:tab/>
      </w:r>
      <w:bookmarkStart w:id="12" w:name="_neb23E0D031_07A0_4A35_B349_A608EA5F7DE2"/>
      <w:r>
        <w:rPr>
          <w:rFonts w:ascii="Times New Roman" w:hAnsi="Times New Roman" w:cs="Times New Roman"/>
          <w:color w:val="000000"/>
          <w:kern w:val="0"/>
          <w:sz w:val="20"/>
          <w:szCs w:val="20"/>
        </w:rPr>
        <w:t xml:space="preserve">Schroder JN, Patel CB, DeVore AD, et al. Transplantation Outcomes with Donor Hearts after Circulatory Death. NEW ENGL J MED </w:t>
      </w:r>
      <w:proofErr w:type="gramStart"/>
      <w:r>
        <w:rPr>
          <w:rFonts w:ascii="Times New Roman" w:hAnsi="Times New Roman" w:cs="Times New Roman"/>
          <w:color w:val="000000"/>
          <w:kern w:val="0"/>
          <w:sz w:val="20"/>
          <w:szCs w:val="20"/>
        </w:rPr>
        <w:t>2023;388:2121</w:t>
      </w:r>
      <w:proofErr w:type="gramEnd"/>
      <w:r>
        <w:rPr>
          <w:rFonts w:ascii="Times New Roman" w:hAnsi="Times New Roman" w:cs="Times New Roman"/>
          <w:color w:val="000000"/>
          <w:kern w:val="0"/>
          <w:sz w:val="20"/>
          <w:szCs w:val="20"/>
        </w:rPr>
        <w:t>-31.</w:t>
      </w:r>
      <w:bookmarkEnd w:id="12"/>
    </w:p>
    <w:p w14:paraId="203A124C"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8.</w:t>
      </w:r>
      <w:r>
        <w:rPr>
          <w:rFonts w:ascii="Times New Roman" w:hAnsi="Times New Roman" w:cs="Times New Roman"/>
          <w:color w:val="000000"/>
          <w:kern w:val="0"/>
          <w:sz w:val="20"/>
          <w:szCs w:val="20"/>
        </w:rPr>
        <w:tab/>
      </w:r>
      <w:bookmarkStart w:id="13" w:name="_nebD17CF9F3_AA4E_43DC_9E09_F9FE919A4BB4"/>
      <w:proofErr w:type="spellStart"/>
      <w:r>
        <w:rPr>
          <w:rFonts w:ascii="Times New Roman" w:hAnsi="Times New Roman" w:cs="Times New Roman"/>
          <w:color w:val="000000"/>
          <w:kern w:val="0"/>
          <w:sz w:val="20"/>
          <w:szCs w:val="20"/>
        </w:rPr>
        <w:t>Kereiakes</w:t>
      </w:r>
      <w:proofErr w:type="spellEnd"/>
      <w:r>
        <w:rPr>
          <w:rFonts w:ascii="Times New Roman" w:hAnsi="Times New Roman" w:cs="Times New Roman"/>
          <w:color w:val="000000"/>
          <w:kern w:val="0"/>
          <w:sz w:val="20"/>
          <w:szCs w:val="20"/>
        </w:rPr>
        <w:t xml:space="preserve"> DJ, Meredith IT, Windecker S, et al. Efficacy and safety of a novel bioabsorbable polymer-coated, </w:t>
      </w:r>
      <w:proofErr w:type="spellStart"/>
      <w:r>
        <w:rPr>
          <w:rFonts w:ascii="Times New Roman" w:hAnsi="Times New Roman" w:cs="Times New Roman"/>
          <w:color w:val="000000"/>
          <w:kern w:val="0"/>
          <w:sz w:val="20"/>
          <w:szCs w:val="20"/>
        </w:rPr>
        <w:t>everolimus</w:t>
      </w:r>
      <w:proofErr w:type="spellEnd"/>
      <w:r>
        <w:rPr>
          <w:rFonts w:ascii="Times New Roman" w:hAnsi="Times New Roman" w:cs="Times New Roman"/>
          <w:color w:val="000000"/>
          <w:kern w:val="0"/>
          <w:sz w:val="20"/>
          <w:szCs w:val="20"/>
        </w:rPr>
        <w:t>-</w:t>
      </w:r>
      <w:proofErr w:type="gramStart"/>
      <w:r>
        <w:rPr>
          <w:rFonts w:ascii="Times New Roman" w:hAnsi="Times New Roman" w:cs="Times New Roman"/>
          <w:color w:val="000000"/>
          <w:kern w:val="0"/>
          <w:sz w:val="20"/>
          <w:szCs w:val="20"/>
        </w:rPr>
        <w:t>eluting  coronary</w:t>
      </w:r>
      <w:proofErr w:type="gramEnd"/>
      <w:r>
        <w:rPr>
          <w:rFonts w:ascii="Times New Roman" w:hAnsi="Times New Roman" w:cs="Times New Roman"/>
          <w:color w:val="000000"/>
          <w:kern w:val="0"/>
          <w:sz w:val="20"/>
          <w:szCs w:val="20"/>
        </w:rPr>
        <w:t xml:space="preserve"> stent: the EVOLVE II Randomized Trial. CIRC-CARDIOVASC INTE 2015;8.</w:t>
      </w:r>
      <w:bookmarkEnd w:id="13"/>
    </w:p>
    <w:p w14:paraId="6EDCA1D5"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 xml:space="preserve"> 9.</w:t>
      </w:r>
      <w:r>
        <w:rPr>
          <w:rFonts w:ascii="Times New Roman" w:hAnsi="Times New Roman" w:cs="Times New Roman"/>
          <w:color w:val="000000"/>
          <w:kern w:val="0"/>
          <w:sz w:val="20"/>
          <w:szCs w:val="20"/>
        </w:rPr>
        <w:tab/>
      </w:r>
      <w:bookmarkStart w:id="14" w:name="_neb1499732C_7CB2_47CE_9FF3_48837007048A"/>
      <w:r>
        <w:rPr>
          <w:rFonts w:ascii="Times New Roman" w:hAnsi="Times New Roman" w:cs="Times New Roman"/>
          <w:color w:val="000000"/>
          <w:kern w:val="0"/>
          <w:sz w:val="20"/>
          <w:szCs w:val="20"/>
        </w:rPr>
        <w:t xml:space="preserve">Gao J, Zhang X, Meng Q, et al. Linked Color Imaging Can Improve Detection Rate of Early Gastric Cancer in </w:t>
      </w:r>
      <w:proofErr w:type="gramStart"/>
      <w:r>
        <w:rPr>
          <w:rFonts w:ascii="Times New Roman" w:hAnsi="Times New Roman" w:cs="Times New Roman"/>
          <w:color w:val="000000"/>
          <w:kern w:val="0"/>
          <w:sz w:val="20"/>
          <w:szCs w:val="20"/>
        </w:rPr>
        <w:t>a  High</w:t>
      </w:r>
      <w:proofErr w:type="gramEnd"/>
      <w:r>
        <w:rPr>
          <w:rFonts w:ascii="Times New Roman" w:hAnsi="Times New Roman" w:cs="Times New Roman"/>
          <w:color w:val="000000"/>
          <w:kern w:val="0"/>
          <w:sz w:val="20"/>
          <w:szCs w:val="20"/>
        </w:rPr>
        <w:t xml:space="preserve">-Risk Population: A Multi-Center Randomized Controlled Clinical Trial. DIGEST DIS SCI </w:t>
      </w:r>
      <w:proofErr w:type="gramStart"/>
      <w:r>
        <w:rPr>
          <w:rFonts w:ascii="Times New Roman" w:hAnsi="Times New Roman" w:cs="Times New Roman"/>
          <w:color w:val="000000"/>
          <w:kern w:val="0"/>
          <w:sz w:val="20"/>
          <w:szCs w:val="20"/>
        </w:rPr>
        <w:t>2021;66:1212</w:t>
      </w:r>
      <w:proofErr w:type="gramEnd"/>
      <w:r>
        <w:rPr>
          <w:rFonts w:ascii="Times New Roman" w:hAnsi="Times New Roman" w:cs="Times New Roman"/>
          <w:color w:val="000000"/>
          <w:kern w:val="0"/>
          <w:sz w:val="20"/>
          <w:szCs w:val="20"/>
        </w:rPr>
        <w:t>-9.</w:t>
      </w:r>
      <w:bookmarkEnd w:id="14"/>
    </w:p>
    <w:p w14:paraId="2139595F"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10.</w:t>
      </w:r>
      <w:r>
        <w:rPr>
          <w:rFonts w:ascii="Times New Roman" w:hAnsi="Times New Roman" w:cs="Times New Roman"/>
          <w:color w:val="000000"/>
          <w:kern w:val="0"/>
          <w:sz w:val="20"/>
          <w:szCs w:val="20"/>
        </w:rPr>
        <w:tab/>
      </w:r>
      <w:bookmarkStart w:id="15" w:name="_neb2D36967A_C8C1_4959_A993_DD184119003D"/>
      <w:r>
        <w:rPr>
          <w:rFonts w:ascii="Times New Roman" w:hAnsi="Times New Roman" w:cs="Times New Roman"/>
          <w:color w:val="000000"/>
          <w:kern w:val="0"/>
          <w:sz w:val="20"/>
          <w:szCs w:val="20"/>
        </w:rPr>
        <w:t>FDA. Non-Inferiority Clinical Trials to Establish Effectiveness Guidance for Industry; 2016.</w:t>
      </w:r>
      <w:bookmarkEnd w:id="15"/>
    </w:p>
    <w:p w14:paraId="3026680E"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11.</w:t>
      </w:r>
      <w:r>
        <w:rPr>
          <w:rFonts w:ascii="Times New Roman" w:hAnsi="Times New Roman" w:cs="Times New Roman"/>
          <w:color w:val="000000"/>
          <w:kern w:val="0"/>
          <w:sz w:val="20"/>
          <w:szCs w:val="20"/>
        </w:rPr>
        <w:tab/>
      </w:r>
      <w:bookmarkStart w:id="16" w:name="_neb5619144E_9331_4C0B_9008_6E9A9E2F5574"/>
      <w:r>
        <w:rPr>
          <w:rFonts w:ascii="宋体" w:eastAsia="宋体" w:hAnsi="Times New Roman" w:cs="宋体" w:hint="eastAsia"/>
          <w:color w:val="000000"/>
          <w:kern w:val="0"/>
          <w:sz w:val="20"/>
          <w:szCs w:val="20"/>
        </w:rPr>
        <w:t>国家药品监督管理局</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药物临床试验非劣效设计指导原则</w:t>
      </w:r>
      <w:r>
        <w:rPr>
          <w:rFonts w:ascii="Times New Roman" w:hAnsi="Times New Roman" w:cs="Times New Roman"/>
          <w:color w:val="000000"/>
          <w:kern w:val="0"/>
          <w:sz w:val="20"/>
          <w:szCs w:val="20"/>
        </w:rPr>
        <w:t>; 2020.</w:t>
      </w:r>
      <w:bookmarkEnd w:id="16"/>
    </w:p>
    <w:p w14:paraId="4C72B30F"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12.</w:t>
      </w:r>
      <w:r>
        <w:rPr>
          <w:rFonts w:ascii="Times New Roman" w:hAnsi="Times New Roman" w:cs="Times New Roman"/>
          <w:color w:val="000000"/>
          <w:kern w:val="0"/>
          <w:sz w:val="20"/>
          <w:szCs w:val="20"/>
        </w:rPr>
        <w:tab/>
      </w:r>
      <w:bookmarkStart w:id="17" w:name="_nebEEA30ABB_08C8_4463_A281_D00F7644497D"/>
      <w:r>
        <w:rPr>
          <w:rFonts w:ascii="宋体" w:eastAsia="宋体" w:hAnsi="Times New Roman" w:cs="宋体" w:hint="eastAsia"/>
          <w:color w:val="000000"/>
          <w:kern w:val="0"/>
          <w:sz w:val="20"/>
          <w:szCs w:val="20"/>
        </w:rPr>
        <w:t>曾治宇</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李青</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张晓星</w:t>
      </w:r>
      <w:r>
        <w:rPr>
          <w:rFonts w:ascii="Times New Roman" w:hAnsi="Times New Roman" w:cs="Times New Roman"/>
          <w:color w:val="000000"/>
          <w:kern w:val="0"/>
          <w:sz w:val="20"/>
          <w:szCs w:val="20"/>
        </w:rPr>
        <w:t xml:space="preserve">, et al. </w:t>
      </w:r>
      <w:r>
        <w:rPr>
          <w:rFonts w:ascii="宋体" w:eastAsia="宋体" w:hAnsi="Times New Roman" w:cs="宋体" w:hint="eastAsia"/>
          <w:color w:val="000000"/>
          <w:kern w:val="0"/>
          <w:sz w:val="20"/>
          <w:szCs w:val="20"/>
        </w:rPr>
        <w:t>医疗器械非劣效设计临床试验界值设定的现状与分析</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中国食品药品监管</w:t>
      </w:r>
      <w:r>
        <w:rPr>
          <w:rFonts w:ascii="Times New Roman" w:hAnsi="Times New Roman" w:cs="Times New Roman"/>
          <w:color w:val="000000"/>
          <w:kern w:val="0"/>
          <w:sz w:val="20"/>
          <w:szCs w:val="20"/>
        </w:rPr>
        <w:t xml:space="preserve"> 2024:30-8.</w:t>
      </w:r>
      <w:bookmarkEnd w:id="17"/>
    </w:p>
    <w:p w14:paraId="674C1559"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13.</w:t>
      </w:r>
      <w:r>
        <w:rPr>
          <w:rFonts w:ascii="Times New Roman" w:hAnsi="Times New Roman" w:cs="Times New Roman"/>
          <w:color w:val="000000"/>
          <w:kern w:val="0"/>
          <w:sz w:val="20"/>
          <w:szCs w:val="20"/>
        </w:rPr>
        <w:tab/>
      </w:r>
      <w:bookmarkStart w:id="18" w:name="_nebE5902C24_CC14_4C9F_995C_6EC5C77709C1"/>
      <w:r>
        <w:rPr>
          <w:rFonts w:ascii="宋体" w:eastAsia="宋体" w:hAnsi="Times New Roman" w:cs="宋体" w:hint="eastAsia"/>
          <w:color w:val="000000"/>
          <w:kern w:val="0"/>
          <w:sz w:val="20"/>
          <w:szCs w:val="20"/>
        </w:rPr>
        <w:t>陈峰</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医学统计学</w:t>
      </w:r>
      <w:r>
        <w:rPr>
          <w:rFonts w:ascii="Times New Roman" w:hAnsi="Times New Roman" w:cs="Times New Roman"/>
          <w:color w:val="000000"/>
          <w:kern w:val="0"/>
          <w:sz w:val="20"/>
          <w:szCs w:val="20"/>
        </w:rPr>
        <w:t>. 4</w:t>
      </w:r>
      <w:r>
        <w:rPr>
          <w:rFonts w:ascii="宋体" w:eastAsia="宋体" w:hAnsi="Times New Roman" w:cs="宋体" w:hint="eastAsia"/>
          <w:color w:val="000000"/>
          <w:kern w:val="0"/>
          <w:sz w:val="20"/>
          <w:szCs w:val="20"/>
        </w:rPr>
        <w:t>版</w:t>
      </w:r>
      <w:r>
        <w:rPr>
          <w:rFonts w:ascii="Times New Roman" w:hAnsi="Times New Roman" w:cs="Times New Roman"/>
          <w:color w:val="000000"/>
          <w:kern w:val="0"/>
          <w:sz w:val="20"/>
          <w:szCs w:val="20"/>
        </w:rPr>
        <w:t xml:space="preserve"> ed.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2024.</w:t>
      </w:r>
      <w:bookmarkEnd w:id="18"/>
    </w:p>
    <w:p w14:paraId="6CDBDB6F"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14.</w:t>
      </w:r>
      <w:r>
        <w:rPr>
          <w:rFonts w:ascii="Times New Roman" w:hAnsi="Times New Roman" w:cs="Times New Roman"/>
          <w:color w:val="000000"/>
          <w:kern w:val="0"/>
          <w:sz w:val="20"/>
          <w:szCs w:val="20"/>
        </w:rPr>
        <w:tab/>
      </w:r>
      <w:bookmarkStart w:id="19" w:name="_neb6098FF72_304D_40F1_8D22_58D80BEDE741"/>
      <w:r>
        <w:rPr>
          <w:rFonts w:ascii="宋体" w:eastAsia="宋体" w:hAnsi="Times New Roman" w:cs="宋体" w:hint="eastAsia"/>
          <w:color w:val="000000"/>
          <w:kern w:val="0"/>
          <w:sz w:val="20"/>
          <w:szCs w:val="20"/>
        </w:rPr>
        <w:t>陈峰</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夏结来</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临床试验统计学</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北京</w:t>
      </w:r>
      <w:r>
        <w:rPr>
          <w:rFonts w:ascii="Times New Roman" w:hAnsi="Times New Roman" w:cs="Times New Roman"/>
          <w:color w:val="000000"/>
          <w:kern w:val="0"/>
          <w:sz w:val="20"/>
          <w:szCs w:val="20"/>
        </w:rPr>
        <w:t xml:space="preserve">: </w:t>
      </w:r>
      <w:r>
        <w:rPr>
          <w:rFonts w:ascii="宋体" w:eastAsia="宋体" w:hAnsi="Times New Roman" w:cs="宋体" w:hint="eastAsia"/>
          <w:color w:val="000000"/>
          <w:kern w:val="0"/>
          <w:sz w:val="20"/>
          <w:szCs w:val="20"/>
        </w:rPr>
        <w:t>人民卫生出版社</w:t>
      </w:r>
      <w:r>
        <w:rPr>
          <w:rFonts w:ascii="Times New Roman" w:hAnsi="Times New Roman" w:cs="Times New Roman"/>
          <w:color w:val="000000"/>
          <w:kern w:val="0"/>
          <w:sz w:val="20"/>
          <w:szCs w:val="20"/>
        </w:rPr>
        <w:t>; 2018.</w:t>
      </w:r>
      <w:bookmarkEnd w:id="19"/>
    </w:p>
    <w:p w14:paraId="497E24F0"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15.</w:t>
      </w:r>
      <w:r>
        <w:rPr>
          <w:rFonts w:ascii="Times New Roman" w:hAnsi="Times New Roman" w:cs="Times New Roman"/>
          <w:color w:val="000000"/>
          <w:kern w:val="0"/>
          <w:sz w:val="20"/>
          <w:szCs w:val="20"/>
        </w:rPr>
        <w:tab/>
      </w:r>
      <w:bookmarkStart w:id="20" w:name="_neb0F5BFAA7_87E0_4AA5_9FD1_5D385BA9CDB3"/>
      <w:r>
        <w:rPr>
          <w:rFonts w:ascii="Times New Roman" w:hAnsi="Times New Roman" w:cs="Times New Roman"/>
          <w:color w:val="000000"/>
          <w:kern w:val="0"/>
          <w:sz w:val="20"/>
          <w:szCs w:val="20"/>
        </w:rPr>
        <w:t xml:space="preserve">Hundscheid T, </w:t>
      </w:r>
      <w:proofErr w:type="spellStart"/>
      <w:r>
        <w:rPr>
          <w:rFonts w:ascii="Times New Roman" w:hAnsi="Times New Roman" w:cs="Times New Roman"/>
          <w:color w:val="000000"/>
          <w:kern w:val="0"/>
          <w:sz w:val="20"/>
          <w:szCs w:val="20"/>
        </w:rPr>
        <w:t>Onland</w:t>
      </w:r>
      <w:proofErr w:type="spellEnd"/>
      <w:r>
        <w:rPr>
          <w:rFonts w:ascii="Times New Roman" w:hAnsi="Times New Roman" w:cs="Times New Roman"/>
          <w:color w:val="000000"/>
          <w:kern w:val="0"/>
          <w:sz w:val="20"/>
          <w:szCs w:val="20"/>
        </w:rPr>
        <w:t xml:space="preserve"> W, Kooi E, et al. Expectant Management or Early Ibuprofen for Patent Ductus Arteriosus. NEW ENGL J MED </w:t>
      </w:r>
      <w:proofErr w:type="gramStart"/>
      <w:r>
        <w:rPr>
          <w:rFonts w:ascii="Times New Roman" w:hAnsi="Times New Roman" w:cs="Times New Roman"/>
          <w:color w:val="000000"/>
          <w:kern w:val="0"/>
          <w:sz w:val="20"/>
          <w:szCs w:val="20"/>
        </w:rPr>
        <w:t>2023;388:980</w:t>
      </w:r>
      <w:proofErr w:type="gramEnd"/>
      <w:r>
        <w:rPr>
          <w:rFonts w:ascii="Times New Roman" w:hAnsi="Times New Roman" w:cs="Times New Roman"/>
          <w:color w:val="000000"/>
          <w:kern w:val="0"/>
          <w:sz w:val="20"/>
          <w:szCs w:val="20"/>
        </w:rPr>
        <w:t>-90.</w:t>
      </w:r>
      <w:bookmarkEnd w:id="20"/>
    </w:p>
    <w:p w14:paraId="075BEF85" w14:textId="77777777" w:rsidR="00507F63" w:rsidRDefault="00507F63" w:rsidP="00507F63">
      <w:pPr>
        <w:autoSpaceDE w:val="0"/>
        <w:autoSpaceDN w:val="0"/>
        <w:adjustRightInd w:val="0"/>
        <w:rPr>
          <w:rFonts w:ascii="Times New Roman" w:hAnsi="Times New Roman" w:cs="Times New Roman"/>
          <w:kern w:val="0"/>
          <w:sz w:val="24"/>
          <w:szCs w:val="24"/>
        </w:rPr>
      </w:pPr>
      <w:r>
        <w:rPr>
          <w:rFonts w:ascii="Times New Roman" w:hAnsi="Times New Roman" w:cs="Times New Roman"/>
          <w:color w:val="000000"/>
          <w:kern w:val="0"/>
          <w:sz w:val="20"/>
          <w:szCs w:val="20"/>
        </w:rPr>
        <w:t>16.</w:t>
      </w:r>
      <w:r>
        <w:rPr>
          <w:rFonts w:ascii="Times New Roman" w:hAnsi="Times New Roman" w:cs="Times New Roman"/>
          <w:color w:val="000000"/>
          <w:kern w:val="0"/>
          <w:sz w:val="20"/>
          <w:szCs w:val="20"/>
        </w:rPr>
        <w:tab/>
      </w:r>
      <w:bookmarkStart w:id="21" w:name="_nebC74F416E_B7B1_4509_B178_B4E94C5F8269"/>
      <w:r>
        <w:rPr>
          <w:rFonts w:ascii="Times New Roman" w:hAnsi="Times New Roman" w:cs="Times New Roman"/>
          <w:color w:val="000000"/>
          <w:kern w:val="0"/>
          <w:sz w:val="20"/>
          <w:szCs w:val="20"/>
        </w:rPr>
        <w:t xml:space="preserve">Macaya F, Ryan N, Salinas P, Pocock SJ. Challenges in the Design and Interpretation of Noninferiority Trials: Insights </w:t>
      </w:r>
      <w:proofErr w:type="gramStart"/>
      <w:r>
        <w:rPr>
          <w:rFonts w:ascii="Times New Roman" w:hAnsi="Times New Roman" w:cs="Times New Roman"/>
          <w:color w:val="000000"/>
          <w:kern w:val="0"/>
          <w:sz w:val="20"/>
          <w:szCs w:val="20"/>
        </w:rPr>
        <w:t>From</w:t>
      </w:r>
      <w:proofErr w:type="gramEnd"/>
      <w:r>
        <w:rPr>
          <w:rFonts w:ascii="Times New Roman" w:hAnsi="Times New Roman" w:cs="Times New Roman"/>
          <w:color w:val="000000"/>
          <w:kern w:val="0"/>
          <w:sz w:val="20"/>
          <w:szCs w:val="20"/>
        </w:rPr>
        <w:t xml:space="preserve"> Recent Stent Trials. J AM COLL CARDIOL </w:t>
      </w:r>
      <w:proofErr w:type="gramStart"/>
      <w:r>
        <w:rPr>
          <w:rFonts w:ascii="Times New Roman" w:hAnsi="Times New Roman" w:cs="Times New Roman"/>
          <w:color w:val="000000"/>
          <w:kern w:val="0"/>
          <w:sz w:val="20"/>
          <w:szCs w:val="20"/>
        </w:rPr>
        <w:t>2017;70:894</w:t>
      </w:r>
      <w:proofErr w:type="gramEnd"/>
      <w:r>
        <w:rPr>
          <w:rFonts w:ascii="Times New Roman" w:hAnsi="Times New Roman" w:cs="Times New Roman"/>
          <w:color w:val="000000"/>
          <w:kern w:val="0"/>
          <w:sz w:val="20"/>
          <w:szCs w:val="20"/>
        </w:rPr>
        <w:t>-903.</w:t>
      </w:r>
      <w:bookmarkEnd w:id="21"/>
    </w:p>
    <w:p w14:paraId="1832F0A5" w14:textId="699CA917" w:rsidR="00A34E9F" w:rsidRDefault="00D6631C" w:rsidP="00D6631C">
      <w:r>
        <w:fldChar w:fldCharType="end"/>
      </w:r>
    </w:p>
    <w:sectPr w:rsidR="00A34E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8462F"/>
    <w:multiLevelType w:val="multilevel"/>
    <w:tmpl w:val="2B8C068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186936C7"/>
    <w:multiLevelType w:val="multilevel"/>
    <w:tmpl w:val="9102A1F4"/>
    <w:lvl w:ilvl="0">
      <w:start w:val="6"/>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58DF289B"/>
    <w:multiLevelType w:val="multilevel"/>
    <w:tmpl w:val="77C4F662"/>
    <w:lvl w:ilvl="0">
      <w:start w:val="6"/>
      <w:numFmt w:val="decimal"/>
      <w:pStyle w:val="Heading1"/>
      <w:lvlText w:val="%1"/>
      <w:lvlJc w:val="left"/>
      <w:pPr>
        <w:ind w:left="425" w:hanging="425"/>
      </w:pPr>
      <w:rPr>
        <w:rFonts w:hint="eastAsia"/>
      </w:rPr>
    </w:lvl>
    <w:lvl w:ilvl="1">
      <w:start w:val="1"/>
      <w:numFmt w:val="decimal"/>
      <w:pStyle w:val="Heading2"/>
      <w:lvlText w:val="%1.%2"/>
      <w:lvlJc w:val="left"/>
      <w:pPr>
        <w:ind w:left="567" w:hanging="567"/>
      </w:pPr>
      <w:rPr>
        <w:rFonts w:hint="eastAsia"/>
      </w:rPr>
    </w:lvl>
    <w:lvl w:ilvl="2">
      <w:start w:val="1"/>
      <w:numFmt w:val="decimal"/>
      <w:pStyle w:val="Heading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3482986">
    <w:abstractNumId w:val="1"/>
  </w:num>
  <w:num w:numId="2" w16cid:durableId="1438672676">
    <w:abstractNumId w:val="0"/>
  </w:num>
  <w:num w:numId="3" w16cid:durableId="795221523">
    <w:abstractNumId w:val="1"/>
    <w:lvlOverride w:ilvl="0">
      <w:lvl w:ilvl="0">
        <w:start w:val="6"/>
        <w:numFmt w:val="decimal"/>
        <w:lvlText w:val="%1"/>
        <w:lvlJc w:val="left"/>
        <w:pPr>
          <w:ind w:left="425" w:hanging="425"/>
        </w:pPr>
        <w:rPr>
          <w:rFonts w:hint="eastAsia"/>
        </w:rPr>
      </w:lvl>
    </w:lvlOverride>
    <w:lvlOverride w:ilvl="1">
      <w:lvl w:ilvl="1">
        <w:start w:val="1"/>
        <w:numFmt w:val="decimal"/>
        <w:lvlText w:val="%1.%2"/>
        <w:lvlJc w:val="left"/>
        <w:pPr>
          <w:ind w:left="567" w:hanging="567"/>
        </w:pPr>
        <w:rPr>
          <w:rFonts w:hint="eastAsia"/>
        </w:rPr>
      </w:lvl>
    </w:lvlOverride>
    <w:lvlOverride w:ilvl="2">
      <w:lvl w:ilvl="2">
        <w:start w:val="1"/>
        <w:numFmt w:val="decimal"/>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 w:numId="4" w16cid:durableId="10492507">
    <w:abstractNumId w:val="2"/>
  </w:num>
  <w:num w:numId="5" w16cid:durableId="585578837">
    <w:abstractNumId w:val="2"/>
    <w:lvlOverride w:ilvl="0">
      <w:lvl w:ilvl="0">
        <w:start w:val="6"/>
        <w:numFmt w:val="decimal"/>
        <w:pStyle w:val="Heading1"/>
        <w:lvlText w:val="%1"/>
        <w:lvlJc w:val="left"/>
        <w:pPr>
          <w:ind w:left="425" w:hanging="425"/>
        </w:pPr>
        <w:rPr>
          <w:rFonts w:hint="eastAsia"/>
        </w:rPr>
      </w:lvl>
    </w:lvlOverride>
    <w:lvlOverride w:ilvl="1">
      <w:lvl w:ilvl="1">
        <w:start w:val="1"/>
        <w:numFmt w:val="decimal"/>
        <w:pStyle w:val="Heading2"/>
        <w:lvlText w:val="%1.%2"/>
        <w:lvlJc w:val="left"/>
        <w:pPr>
          <w:ind w:left="567" w:hanging="567"/>
        </w:pPr>
        <w:rPr>
          <w:rFonts w:hint="eastAsia"/>
        </w:rPr>
      </w:lvl>
    </w:lvlOverride>
    <w:lvlOverride w:ilvl="2">
      <w:lvl w:ilvl="2">
        <w:start w:val="1"/>
        <w:numFmt w:val="decimal"/>
        <w:pStyle w:val="Heading3"/>
        <w:lvlText w:val="%1.%2.%3"/>
        <w:lvlJc w:val="left"/>
        <w:pPr>
          <w:ind w:left="709" w:hanging="709"/>
        </w:pPr>
        <w:rPr>
          <w:rFonts w:hint="eastAsia"/>
        </w:rPr>
      </w:lvl>
    </w:lvlOverride>
    <w:lvlOverride w:ilvl="3">
      <w:lvl w:ilvl="3">
        <w:start w:val="1"/>
        <w:numFmt w:val="decimal"/>
        <w:lvlText w:val="%1.%2.%3.%4."/>
        <w:lvlJc w:val="left"/>
        <w:pPr>
          <w:ind w:left="851" w:hanging="851"/>
        </w:pPr>
        <w:rPr>
          <w:rFonts w:hint="eastAsia"/>
        </w:rPr>
      </w:lvl>
    </w:lvlOverride>
    <w:lvlOverride w:ilvl="4">
      <w:lvl w:ilvl="4">
        <w:start w:val="1"/>
        <w:numFmt w:val="decimal"/>
        <w:lvlText w:val="%1.%2.%3.%4.%5."/>
        <w:lvlJc w:val="left"/>
        <w:pPr>
          <w:ind w:left="992" w:hanging="992"/>
        </w:pPr>
        <w:rPr>
          <w:rFonts w:hint="eastAsia"/>
        </w:rPr>
      </w:lvl>
    </w:lvlOverride>
    <w:lvlOverride w:ilvl="5">
      <w:lvl w:ilvl="5">
        <w:start w:val="1"/>
        <w:numFmt w:val="decimal"/>
        <w:lvlText w:val="%1.%2.%3.%4.%5.%6."/>
        <w:lvlJc w:val="left"/>
        <w:pPr>
          <w:ind w:left="1134" w:hanging="1134"/>
        </w:pPr>
        <w:rPr>
          <w:rFonts w:hint="eastAsia"/>
        </w:rPr>
      </w:lvl>
    </w:lvlOverride>
    <w:lvlOverride w:ilvl="6">
      <w:lvl w:ilvl="6">
        <w:start w:val="1"/>
        <w:numFmt w:val="decimal"/>
        <w:lvlText w:val="%1.%2.%3.%4.%5.%6.%7."/>
        <w:lvlJc w:val="left"/>
        <w:pPr>
          <w:ind w:left="1276" w:hanging="1276"/>
        </w:pPr>
        <w:rPr>
          <w:rFonts w:hint="eastAsia"/>
        </w:rPr>
      </w:lvl>
    </w:lvlOverride>
    <w:lvlOverride w:ilvl="7">
      <w:lvl w:ilvl="7">
        <w:start w:val="1"/>
        <w:numFmt w:val="decimal"/>
        <w:lvlText w:val="%1.%2.%3.%4.%5.%6.%7.%8."/>
        <w:lvlJc w:val="left"/>
        <w:pPr>
          <w:ind w:left="1418" w:hanging="1418"/>
        </w:pPr>
        <w:rPr>
          <w:rFonts w:hint="eastAsia"/>
        </w:rPr>
      </w:lvl>
    </w:lvlOverride>
    <w:lvlOverride w:ilvl="8">
      <w:lvl w:ilvl="8">
        <w:start w:val="1"/>
        <w:numFmt w:val="decimal"/>
        <w:lvlText w:val="%1.%2.%3.%4.%5.%6.%7.%8.%9."/>
        <w:lvlJc w:val="left"/>
        <w:pPr>
          <w:ind w:left="1559" w:hanging="1559"/>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Data.1{00F22944-2056-4ABA-BCA2-E54C3AB951EC}" w:val=" ADDIN NE.Ref.{00F22944-2056-4ABA-BCA2-E54C3AB951EC}&lt;Citation&gt;&lt;Group&gt;&lt;References&gt;&lt;Item&gt;&lt;ID&gt;19&lt;/ID&gt;&lt;UID&gt;{EA4A2356-0955-461E-8F68-099D13934EAA}&lt;/UID&gt;&lt;Title&gt;Subcutaneous or Transvenous Defibrillator Therapy&lt;/Title&gt;&lt;Template&gt;Journal Article&lt;/Template&gt;&lt;Star&gt;0&lt;/Star&gt;&lt;Tag&gt;0&lt;/Tag&gt;&lt;Author&gt;Knops, R E; Olde, Nordkamp LRA; Delnoy, PHM; Boersma, LVA; Kuschyk, J; El-Chami, M F; Bonnemeier, H; Behr, E R; Brouwer, T F; Kaab, S; Mittal, S; Quast, ABE; Smeding, L; van der Stuijt, W; de Weger, A; de Wilde, K C; Bijsterveld, N R; Richter, S; Brouwer, M A; de Groot, J R; Kooiman, K M; Lambiase, P D; Neuzil, P; Vernooy, K; Alings, M; Betts, T R; Bracke, FALE; Burke, M C; de Jong, JSSG; Wright, D J; Tijssen, JGP; Wilde, AAM&lt;/Author&gt;&lt;Year&gt;2020&lt;/Year&gt;&lt;Details&gt;&lt;_accession_num&gt;32757521&lt;/_accession_num&gt;&lt;_author_adr&gt;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
    <w:docVar w:name="NE.Data.1{A3A169B3-37DD-44DC-8EF3-541325FBCBCD}" w:val=" ADDIN NE.Ref.{A3A169B3-37DD-44DC-8EF3-541325FBCBCD}&lt;Citation&gt;&lt;Group&gt;&lt;References&gt;&lt;Item&gt;&lt;ID&gt;64&lt;/ID&gt;&lt;UID&gt;{0F5BFAA7-87E0-4AA5-9FD1-5D385BA9CDB3}&lt;/UID&gt;&lt;Title&gt;Expectant Management or Early Ibuprofen for Patent Ductus Arteriosus&lt;/Title&gt;&lt;Template&gt;Journal Article&lt;/Template&gt;&lt;Star&gt;0&lt;/Star&gt;&lt;Tag&gt;0&lt;/Tag&gt;&lt;Author&gt;Hundscheid, T; Onland, W; Kooi, EMW; Vijlbrief, D C; de Vries, W B; Dijkman, K P; van Kaam, A H; Villamor, E; Kroon, A A; Visser, R; Mulder-de, Tollenaer SM; De Bisschop, B; Dijk, P H; Avino, D; Hocq, C; Zecic, A; Meeus, M; de Baat, T; Derriks, F; Henriksen, T B; Kyng, K J; Donders, R; Nuytemans, DHGM; Van Overmeire, B; Mulder, A L; de Boode, W P&lt;/Author&gt;&lt;Year&gt;2023&lt;/Year&gt;&lt;Details&gt;&lt;_accessed&gt;65742378&lt;/_accessed&gt;&lt;_accession_num&gt;36477458&lt;/_accession_num&gt;&lt;_author_adr&gt;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lt;/_author_adr&gt;&lt;_collection_scope&gt;SCIE&lt;/_collection_scope&gt;&lt;_created&gt;64924875&lt;/_created&gt;&lt;_date&gt;2023-03-16&lt;/_date&gt;&lt;_date_display&gt;2023 Mar 16&lt;/_date_display&gt;&lt;_db_updated&gt;PubMed&lt;/_db_updated&gt;&lt;_doi&gt;10.1056/NEJMoa2207418&lt;/_doi&gt;&lt;_impact_factor&gt; 176.079&lt;/_impact_factor&gt;&lt;_isbn&gt;1533-4406 (Electronic); 0028-4793 (Linking)&lt;/_isbn&gt;&lt;_issue&gt;11&lt;/_issue&gt;&lt;_journal&gt;N Engl J Med&lt;/_journal&gt;&lt;_language&gt;eng&lt;/_language&gt;&lt;_modified&gt;64927271&lt;/_modified&gt;&lt;_ori_publication&gt;Copyright (c) 2022 Massachusetts Medical Society.&lt;/_ori_publication&gt;&lt;_pages&gt;980-990&lt;/_pages&gt;&lt;_social_category&gt;医学：内科(1)&lt;/_social_category&gt;&lt;_subject_headings&gt;Humans; Infant; Infant, Newborn; *Bronchopulmonary Dysplasia/etiology; *Ductus Arteriosus, Patent/diagnostic imaging/drug therapy/mortality/therapy; Echocardiography; *Enterocolitis, Necrotizing/etiology; *Ibuprofen/administration &amp;amp; dosage/adverse effects/therapeutic use; Indomethacin/adverse effects/therapeutic use; Infant, Extremely Premature; Infant, Low Birth Weight; Infant, Newborn, Diseases/drug therapy/therapy; *Watchful Waiting&lt;/_subject_headings&gt;&lt;_tertiary_title&gt;The New England journal of medicine&lt;/_tertiary_title&gt;&lt;_type_work&gt;Equivalenc"/>
    <w:docVar w:name="NE.Data.1{B13BA52D-7034-4C8C-B27D-A15D60B95281}" w:val=" ADDIN NE.Ref.{B13BA52D-7034-4C8C-B27D-A15D60B95281}&lt;Citation&gt;&lt;Group&gt;&lt;References&gt;&lt;Item&gt;&lt;ID&gt;64&lt;/ID&gt;&lt;UID&gt;{0F5BFAA7-87E0-4AA5-9FD1-5D385BA9CDB3}&lt;/UID&gt;&lt;Title&gt;Expectant Management or Early Ibuprofen for Patent Ductus Arteriosus&lt;/Title&gt;&lt;Template&gt;Journal Article&lt;/Template&gt;&lt;Star&gt;0&lt;/Star&gt;&lt;Tag&gt;0&lt;/Tag&gt;&lt;Author&gt;Hundscheid, T; Onland, W; Kooi, EMW; Vijlbrief, D C; de Vries, W B; Dijkman, K P; van Kaam, A H; Villamor, E; Kroon, A A; Visser, R; Mulder-de, Tollenaer SM; De Bisschop, B; Dijk, P H; Avino, D; Hocq, C; Zecic, A; Meeus, M; de Baat, T; Derriks, F; Henriksen, T B; Kyng, K J; Donders, R; Nuytemans, DHGM; Van Overmeire, B; Mulder, A L; de Boode, W P&lt;/Author&gt;&lt;Year&gt;2023&lt;/Year&gt;&lt;Details&gt;&lt;_accessed&gt;64927270&lt;/_accessed&gt;&lt;_accession_num&gt;36477458&lt;/_accession_num&gt;&lt;_author_adr&gt;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lt;/_author_adr&gt;&lt;_collection_scope&gt;SCIE&lt;/_collection_scope&gt;&lt;_created&gt;64924875&lt;/_created&gt;&lt;_date&gt;2023-03-16&lt;/_date&gt;&lt;_date_display&gt;2023 Mar 16&lt;/_date_display&gt;&lt;_db_updated&gt;PubMed&lt;/_db_updated&gt;&lt;_doi&gt;10.1056/NEJMoa2207418&lt;/_doi&gt;&lt;_impact_factor&gt; 176.079&lt;/_impact_factor&gt;&lt;_isbn&gt;1533-4406 (Electronic); 0028-4793 (Linking)&lt;/_isbn&gt;&lt;_issue&gt;11&lt;/_issue&gt;&lt;_journal&gt;N Engl J Med&lt;/_journal&gt;&lt;_language&gt;eng&lt;/_language&gt;&lt;_modified&gt;64927271&lt;/_modified&gt;&lt;_ori_publication&gt;Copyright (c) 2022 Massachusetts Medical Society.&lt;/_ori_publication&gt;&lt;_pages&gt;980-990&lt;/_pages&gt;&lt;_social_category&gt;医学：内科(1)&lt;/_social_category&gt;&lt;_subject_headings&gt;Humans; Infant; Infant, Newborn; *Bronchopulmonary Dysplasia/etiology; *Ductus Arteriosus, Patent/diagnostic imaging/drug therapy/mortality/therapy; Echocardiography; *Enterocolitis, Necrotizing/etiology; *Ibuprofen/administration &amp;amp; dosage/adverse effects/therapeutic use; Indomethacin/adverse effects/therapeutic use; Infant, Extremely Premature; Infant, Low Birth Weight; Infant, Newborn, Diseases/drug therapy/therapy; *Watchful Waiting&lt;/_subject_headings&gt;&lt;_tertiary_title&gt;The New England journal of medicine&lt;/_tertiary_title&gt;&lt;_type_work&gt;Equivalenc"/>
    <w:docVar w:name="NE.Data.1{DB383D26-8F37-45BA-87CE-1A224C67C267}" w:val=" ADDIN NE.Ref.{DB383D26-8F37-45BA-87CE-1A224C67C267}&lt;Citation&gt;&lt;Group&gt;&lt;References&gt;&lt;Item&gt;&lt;ID&gt;64&lt;/ID&gt;&lt;UID&gt;{0F5BFAA7-87E0-4AA5-9FD1-5D385BA9CDB3}&lt;/UID&gt;&lt;Title&gt;Expectant Management or Early Ibuprofen for Patent Ductus Arteriosus&lt;/Title&gt;&lt;Template&gt;Journal Article&lt;/Template&gt;&lt;Star&gt;0&lt;/Star&gt;&lt;Tag&gt;0&lt;/Tag&gt;&lt;Author&gt;Hundscheid, T; Onland, W; Kooi, EMW; Vijlbrief, D C; de Vries, W B; Dijkman, K P; van Kaam, A H; Villamor, E; Kroon, A A; Visser, R; Mulder-de, Tollenaer SM; De Bisschop, B; Dijk, P H; Avino, D; Hocq, C; Zecic, A; Meeus, M; de Baat, T; Derriks, F; Henriksen, T B; Kyng, K J; Donders, R; Nuytemans, DHGM; Van Overmeire, B; Mulder, A L; de Boode, W P&lt;/Author&gt;&lt;Year&gt;2023&lt;/Year&gt;&lt;Details&gt;&lt;_accessed&gt;65742378&lt;/_accessed&gt;&lt;_accession_num&gt;36477458&lt;/_accession_num&gt;&lt;_author_adr&gt;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 From the Department of Pediatrics, Division of Neonatology (T.H., W.P.B.), and  the Department for Health Evidence (R.D.), Radboud University Medical Center,  Radboud Institute for Health Sciences, Amalia Children&amp;apos;s Hospital, Nijmegen, the  Department of Neonatology, Amsterdam Reproduction and Development, Emma  Children&amp;apos;s Hospital, Amsterdam University Medical Centers (W.O., W.B.V., A.H.K.,  T.B.), and Neonatology Network Netherlands (D.H.G.M.N.), Amsterdam, University  Medical Center Groningen, Beatrix Children&amp;apos;s Hospital, and the Department of  Pediatrics, Division of Neonatology, University of Groningen (E.M.W.K., P.H.D.),  Groningen, the Division of Woman and Baby, Department of Neonatology, University  Medical Center Utrecht, Utrecht University, Wilhelmina Children&amp;apos;s Hospital,  Utrecht (D.C.V., W.B.V.), the Department of Neonatology, Maxima Medical Center  Veldhoven, Veldhoven (K.P.D.), Maastricht University Medical Center, the  Department of Pediatrics, Division of Neonatology, School for Oncology and  Reproduction, University of Maastricht, Maastricht (E.V.), the Department of  Pediatrics, Division of Neonatology, Erasmus Medical Center Rotterdam, Sophia  Children&amp;apos;s Hospital, Rotterdam (A.A.K.), the Department of Pediatrics, Division  of Neonatology, Leiden University Medical Center, Willem Alexander Children&amp;apos;s  Hospital, Leiden (R.V.), and the Department of Pediatrics, Division of  Neonatology, Isala Women&amp;apos;s and Children&amp;apos;s Hospital Zwolle, Zwolle (S.M.M.-T.) -  all in the Netherlands; the Department of Neonatology, Vrije Universiteit  Brussel, Universitair Ziekenhuis Brussel (B.D.B.), the Department of Pediatrics,  Division of Neonatology, Hopital Universitaire des Enfants Reine Fabiola (D.A.),  the Department of Pediatrics, Division of Neonatology, Cliniques Universitaires  St. Luc (C.H.), the Department of Neonatology, Cliniques Universitaires de  Bruxelles, Hopital Erasme (F.D., B.V.O.), and Kind en Gezin-Opgroeien, Flemish  Government, Sint-Gillis (B.V.O.), Brussels, the Department of Pediatrics,  Division of Neonatology, Ghent University Hospital, Ghent (A.Z.), and the  Department of Neonatology, Antwerp University Hospital, Edegem (A.L.M., M.M.) -  all in Belgium; and the Departments of Pediatrics and Adolescent Medicine and  Clinical Medicine, Aarhus University Hospital and Aarhus University, Aarhus,  Denmark (T.B.H., K.J.K.).&lt;/_author_adr&gt;&lt;_collection_scope&gt;SCIE&lt;/_collection_scope&gt;&lt;_created&gt;64924875&lt;/_created&gt;&lt;_date&gt;2023-03-16&lt;/_date&gt;&lt;_date_display&gt;2023 Mar 16&lt;/_date_display&gt;&lt;_db_updated&gt;PubMed&lt;/_db_updated&gt;&lt;_doi&gt;10.1056/NEJMoa2207418&lt;/_doi&gt;&lt;_impact_factor&gt; 176.079&lt;/_impact_factor&gt;&lt;_isbn&gt;1533-4406 (Electronic); 0028-4793 (Linking)&lt;/_isbn&gt;&lt;_issue&gt;11&lt;/_issue&gt;&lt;_journal&gt;N Engl J Med&lt;/_journal&gt;&lt;_language&gt;eng&lt;/_language&gt;&lt;_modified&gt;64927271&lt;/_modified&gt;&lt;_ori_publication&gt;Copyright (c) 2022 Massachusetts Medical Society.&lt;/_ori_publication&gt;&lt;_pages&gt;980-990&lt;/_pages&gt;&lt;_social_category&gt;医学：内科(1)&lt;/_social_category&gt;&lt;_subject_headings&gt;Humans; Infant; Infant, Newborn; *Bronchopulmonary Dysplasia/etiology; *Ductus Arteriosus, Patent/diagnostic imaging/drug therapy/mortality/therapy; Echocardiography; *Enterocolitis, Necrotizing/etiology; *Ibuprofen/administration &amp;amp; dosage/adverse effects/therapeutic use; Indomethacin/adverse effects/therapeutic use; Infant, Extremely Premature; Infant, Low Birth Weight; Infant, Newborn, Diseases/drug therapy/therapy; *Watchful Waiting&lt;/_subject_headings&gt;&lt;_tertiary_title&gt;The New England journal of medicine&lt;/_tertiary_title&gt;&lt;_type_work&gt;Equivalenc"/>
    <w:docVar w:name="NE.Data.1{DE2B28C9-1A6C-4A5F-B62F-EA65D4B0E2F6}" w:val=" ADDIN NE.Ref.{DE2B28C9-1A6C-4A5F-B62F-EA65D4B0E2F6}&lt;Citation&gt;&lt;Group&gt;&lt;References&gt;&lt;Item&gt;&lt;ID&gt;74&lt;/ID&gt;&lt;UID&gt;{23E0D031-07A0-4A35-B349-A608EA5F7DE2}&lt;/UID&gt;&lt;Title&gt;Transplantation Outcomes with Donor Hearts after Circulatory Death&lt;/Title&gt;&lt;Template&gt;Journal Article&lt;/Template&gt;&lt;Star&gt;0&lt;/Star&gt;&lt;Tag&gt;0&lt;/Tag&gt;&lt;Author&gt;Schroder, J N; Patel, C B; DeVore, A D; Bryner, B S; Casalinova, S; Shah, A; Smith, J W; Fiedler, A G; Daneshmand, M; Silvestry, S; Geirsson, A; Pretorius, V; Joyce, D L; Um, J Y; Esmailian, F; Takeda, K; Mudy, K; Shudo, Y; Salerno, C T; Pham, S M; Goldstein, D J; Philpott, J; Dunning, J; Lozonschi, L; Couper, G S; Mallidi, H R; Givertz, M M; Pham, D T; Shaffer, A W; Kai, M; Quader, M A; Absi, T; Attia, T S; Shukrallah, B; Sun, B C; Farr, M; Mehra, M R; Madsen, J C; Milano, C A; D&amp;apos;Alessandro, D A&lt;/Author&gt;&lt;Year&gt;2023&lt;/Year&gt;&lt;Details&gt;&lt;_accessed&gt;64939280&lt;/_accessed&gt;&lt;_accession_num&gt;37285526&lt;/_accession_num&gt;&lt;_author_adr&gt;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 From Duke University Medical Center, Durham, NC (J.N.S., C.B.P., A.D.D., S.C.,  C.A.M.); Northwestern University (B.S.B., D.T.P.) and the University of Chicago  (C.T.S.) - both in Chicago; Vanderbilt University Medical Center, Nashville  (A.S., T.A.); University of Wisconsin Hospital and Clinics, Madison (J.W.S.), and  the Medical College of Wisconsin, Milwaukee (D.L.J.); the University of  California, San Francisco, San Francisco (A.G.F.), the University of California,  San Diego, La Jolla (V.P.), Cedars-Sinai Medical Center, Los Angeles (F.E.), and  Stanford University Medical Center, Stanford (Y.S.) - all in California; Emory  University Hospital, Atlanta (M.D., T.S.A.); Advent Health, Orlando (S.S.), Mayo  Clinic, Jacksonville (S.M.P.), and Tampa General Hospital, Tampa (J.D., L.L.) -  all in Florida; Yale School of Medicine, New Haven, CT (A.G.); Nebraska Medical  Center, Omaha (J.Y.U.); Columbia University Medical Center, New York (K.T.),  Montefiore Medical Center, Bronx (D.J.G.), and Westchester Medical Center,  Valhalla (M.K.) - all in New York; Minneapolis Heart Institute Foundation (K.M.,  B.S., B.C.S.) and the University of Minnesota Medical Center (A.W.S.) - both in  Minneapolis; Sentara Norfolk General Hospital, Norfolk (J.P.), and Virginia  Commonwealth University, Richmond (M.A.Q.) - both in Virginia; Tufts Medical  Center (G.S.C.), Brigham and Women&amp;apos;s Hospital (H.R.M., M.M.G., M.R.M.), and  Massachusetts General Hospital (J.C.M., D.A.D.) - all in Boston; and the  University of Texas Southwestern Medical Center, Dallas (M.F.).&lt;/_author_adr&gt;&lt;_collection_scope&gt;SCIE&lt;/_collection_scope&gt;&lt;_created&gt;64936130&lt;/_created&gt;&lt;_date&gt;2023-06-08&lt;/_date&gt;&lt;_date_display&gt;2023 Jun 8&lt;/_date_display&gt;&lt;_db_updated&gt;PubMed&lt;/_db_updated&gt;&lt;_doi&gt;10.1056/NEJMoa2212438&lt;/_doi&gt;&lt;_impact_factor&gt; 176.079&lt;/_impact_factor&gt;&lt;_isbn&gt;1533-4406 (Electronic); 0028-4793 (Linking)&lt;/_isbn&gt;&lt;_issue&gt;23&lt;/_issue&gt;&lt;_journal&gt;N Engl J Med&lt;/_journal&gt;&lt;_language&gt;eng&lt;/_language&gt;&lt;_modified&gt;64939280&lt;/_modified&gt;&lt;_ori_publication&gt;Copyright (c) 2023 Massachusetts Medical Society.&lt;/_ori_publication&gt;&lt;_pages&gt;2121-2131&lt;/_pages&gt;&lt;_social_category&gt;医学：内科(1)&lt;/_social_category&gt;&lt;_subject_headings&gt;Adult; Humans; *Brain Death; Graft Survival; *Heart Transplantation; Organ Preservation; *Tissue and Organ Procurement; Tissue Donors; Death; Patient Safety&lt;/_subject_headings&gt;&lt;_tertiary_title&gt;The New England journal of medicine&lt;/_tertiary_title&gt;&lt;_type_work&gt;Equivalence Trial; Journal Article; Randomized Controlled Trial&lt;/_type_work&gt;&lt;_url&gt;http://www.ncbi.nlm.nih.gov/entrez/query.fcgi?cmd=Retrieve&amp;amp;db=pubmed&amp;amp;dopt=Abstract&amp;amp;list_uids=37285526&amp;amp;query_hl=1&lt;/_url"/>
    <w:docVar w:name="NE.Data.2{00F22944-2056-4ABA-BCA2-E54C3AB951EC}" w:val="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 From the Heart Center, Department of Clinical and Experimental Cardiology,  Amsterdam Cardiovascular Sciences, Amsterdam University Medical Centers,  University of Amsterdam (R.E.K., L.R.A.O.N., L.V.A.B., T.F.B., A.-F.B.E.Q., L.S.,  W.S., A.W., K.C.W., J.R.G., K.M.K., M.C.B., J.G.P.T., A.A.M.W.), ERN GUARD-Heart  (E.R.B., P.D.L., A.A.M.W.), and the Department of Cardiology, OLVG (J.S.S.G.J.),  Amsterdam, the Department of Cardiology, Isala Heart Centre, Zwolle  (P.-P.H.M.D.), the Department of Cardiology, St. Antonius Hospital, Nieuwegein  (L.V.A.B.), the Department of Cardiology, Flevoziekenhuis, Almere (N.R.B.), the  Department of Cardiology, Radboud University Medical Center, Nijmegen (M.A.B.),  the Department of Cardiology, Cardiovascular Research Institute Maastricht,  Maastricht University Medical Center, Maastricht (K.V.), the Department of  Cardiology, Amphia Hospital, Breda (M.A.), Werkgroep Cardiologische Centra  Nederland, Utrecht (M.A.), and the Department of Electrophysiology, Catharina  Hospital, Eindhoven (F.A.L.E.B.) - all in the Netherlands; the First Department  of Medicine-Cardiology, University Medical Center Mannheim, and the German Center  for Cardiovascular Research Partner Site Heidelberg-Mannheim, Mannheim (J.K.),  Klinik fur Innere Medizin III, Schwerpunkt Kardiologie und Angiologie,  Universitatsklinikum Schleswig-Holstein, Campus Kiel, Kiel (H.B.), the Department  of Medicine I, Ludwig-Maximilians University Hospital, and the German Center for  Cardiovascular Research, Munich Heart Alliance, Munich (S.K.), and the Department  of Electrophysiology, Heart Center at University of Leipzig, Leipzig (S.R.) - all  in Germany; the Division of Cardiology Section of Electrophysiology, Emory  University, Atlanta (M.F.E.-C.); the Cardiology Clinical Academic Group, St.  George&amp;apos;s, University of London and St. George&amp;apos;s University Hospitals NHS  Foundation Trust London (E.R.B.), and Office of the Director of Clinical  Electrophysiology Research and Lead for Inherited Arrhythmia Specialist Services,  University College London and Barts Heart Centre (P.D.L.), London, the Oxford  Biomedical Research Centre, Oxford University Hospitals NHS Trust, Oxford  (T.R.B.), and Liverpool Heart and Chest Hospital, Liverpool (D.J.W.) - all in the  United Kingdom; Valley Health System, Ridgewood, NJ (S.M.); the Department of  Cardiology, Homolka Hospital, Prague, Czech Republic (P.N.); and CorVita Science  Foundation, Chicago (M.C.B.).&lt;/_author_adr&gt;&lt;_date_display&gt;2020 Aug 6&lt;/_date_display&gt;&lt;_date&gt;2020-08-06&lt;/_date&gt;&lt;_doi&gt;10.1056/NEJMoa1915932&lt;/_doi&gt;&lt;_isbn&gt;1533-4406 (Electronic); 0028-4793 (Linking)&lt;/_isbn&gt;&lt;_issue&gt;6&lt;/_issue&gt;&lt;_journal&gt;N Engl J Med&lt;/_journal&gt;&lt;_language&gt;eng&lt;/_language&gt;&lt;_ori_publication&gt;Copyright (c) 2020 Massachusetts Medical Society.&lt;/_ori_publication&gt;&lt;_pages&gt;526-536&lt;/_pages&gt;&lt;_subject_headings&gt;Aged; Arrhythmias, Cardiac/*therapy; Cardiomyopathies/therapy; Death, Sudden, Cardiac/epidemiology/prevention &amp;amp; control; Defibrillators, Implantable/*adverse effects; Electrodes, Implanted/adverse effects; Equipment Failure; Female; Follow-Up Studies; Heart Diseases/therapy; Humans; Incidence; Kaplan-Meier Estimate; Male; Middle Aged; Prosthesis Design&lt;/_subject_headings&gt;&lt;_tertiary_title&gt;The New England journal of medicine&lt;/_tertiary_title&gt;&lt;_type_work&gt;Comparative Study; Equivalence Trial; Journal Article; Multicenter Study; Randomized Controlled Trial; Research Support, Non-U.S. Gov&amp;apos;t&lt;/_type_work&gt;&lt;_url&gt;http://www.ncbi.nlm.nih.gov/entrez/query.fcgi?cmd=Retrieve&amp;amp;db=pubmed&amp;amp;dopt=Abstract&amp;amp;list_uids=32757521&amp;amp;query_hl=1&lt;/_url&gt;&lt;_volume&gt;383&lt;/_volume&gt;&lt;_created&gt;64881282&lt;/_created&gt;&lt;_modified&gt;64881282&lt;/_modified&gt;&lt;_db_updated&gt;PubMed&lt;/_db_updated&gt;&lt;_impact_factor&gt; 176.079&lt;/_impact_factor&gt;&lt;_social_category&gt;医学：内科(1)&lt;/_social_category&gt;&lt;_collection_scope&gt;SCIE&lt;/_collection_scope&gt;&lt;_accessed&gt;64881283&lt;/_accessed&gt;&lt;/Details&gt;&lt;Extra&gt;&lt;DBUID&gt;{1F004544-7F3B-46C7-B932-C63AA7CCA45F}&lt;/DBUID&gt;&lt;/Extra&gt;&lt;/Item&gt;&lt;/References&gt;&lt;/Group&gt;&lt;/Citation&gt;_x000a_"/>
    <w:docVar w:name="NE.Data.2{A3A169B3-37DD-44DC-8EF3-541325FBCBCD}" w:val="e Trial; Journal Article; Multicenter Study; Randomized Controlled Trial&lt;/_type_work&gt;&lt;_url&gt;http://www.ncbi.nlm.nih.gov/entrez/query.fcgi?cmd=Retrieve&amp;amp;db=pubmed&amp;amp;dopt=Abstract&amp;amp;list_uids=36477458&amp;amp;query_hl=1&lt;/_url&gt;&lt;_volume&gt;388&lt;/_volume&gt;&lt;/Details&gt;&lt;Extra&gt;&lt;DBUID&gt;{1F004544-7F3B-46C7-B932-C63AA7CCA45F}&lt;/DBUID&gt;&lt;/Extra&gt;&lt;/Item&gt;&lt;/References&gt;&lt;/Group&gt;&lt;/Citation&gt;_x000a_"/>
    <w:docVar w:name="NE.Data.2{B13BA52D-7034-4C8C-B27D-A15D60B95281}" w:val="e Trial; Journal Article; Multicenter Study; Randomized Controlled Trial&lt;/_type_work&gt;&lt;_url&gt;http://www.ncbi.nlm.nih.gov/entrez/query.fcgi?cmd=Retrieve&amp;amp;db=pubmed&amp;amp;dopt=Abstract&amp;amp;list_uids=36477458&amp;amp;query_hl=1&lt;/_url&gt;&lt;_volume&gt;388&lt;/_volume&gt;&lt;/Details&gt;&lt;Extra&gt;&lt;DBUID&gt;{1F004544-7F3B-46C7-B932-C63AA7CCA45F}&lt;/DBUID&gt;&lt;/Extra&gt;&lt;/Item&gt;&lt;/References&gt;&lt;/Group&gt;&lt;/Citation&gt;_x000a_"/>
    <w:docVar w:name="NE.Data.2{DB383D26-8F37-45BA-87CE-1A224C67C267}" w:val="e Trial; Journal Article; Multicenter Study; Randomized Controlled Trial&lt;/_type_work&gt;&lt;_url&gt;http://www.ncbi.nlm.nih.gov/entrez/query.fcgi?cmd=Retrieve&amp;amp;db=pubmed&amp;amp;dopt=Abstract&amp;amp;list_uids=36477458&amp;amp;query_hl=1&lt;/_url&gt;&lt;_volume&gt;388&lt;/_volume&gt;&lt;/Details&gt;&lt;Extra&gt;&lt;DBUID&gt;{1F004544-7F3B-46C7-B932-C63AA7CCA45F}&lt;/DBUID&gt;&lt;/Extra&gt;&lt;/Item&gt;&lt;/References&gt;&lt;/Group&gt;&lt;/Citation&gt;_x000a_"/>
    <w:docVar w:name="NE.Data.2{DE2B28C9-1A6C-4A5F-B62F-EA65D4B0E2F6}" w:val="&gt;&lt;_volume&gt;388&lt;/_volume&gt;&lt;/Details&gt;&lt;Extra&gt;&lt;DBUID&gt;{1F004544-7F3B-46C7-B932-C63AA7CCA45F}&lt;/DBUID&gt;&lt;/Extra&gt;&lt;/Item&gt;&lt;/References&gt;&lt;/Group&gt;&lt;/Citation&gt;_x000a_"/>
    <w:docVar w:name="NE.Ref{00F22944-2056-4ABA-BCA2-E54C3AB951EC}" w:val="NE.Data.1{00F22944-2056-4ABA-BCA2-E54C3AB951EC}=NE.Data.2{00F22944-2056-4ABA-BCA2-E54C3AB951EC}"/>
    <w:docVar w:name="NE.Ref{03781425-7049-4832-B215-2B1548EDEBEF}" w:val=" ADDIN NE.Ref.{03781425-7049-4832-B215-2B1548EDEBEF}&lt;Citation&gt;&lt;Group&gt;&lt;References&gt;&lt;Item&gt;&lt;ID&gt;6&lt;/ID&gt;&lt;UID&gt;{2B2DF180-26DF-423D-9E11-E45F91ADE8D9}&lt;/UID&gt;&lt;Title&gt;医疗器械临床试验设计指导原则&lt;/Title&gt;&lt;Template&gt;Report&lt;/Template&gt;&lt;Star&gt;0&lt;/Star&gt;&lt;Tag&gt;0&lt;/Tag&gt;&lt;Author&gt;国家药品监督管理局&lt;/Author&gt;&lt;Year&gt;2018&lt;/Year&gt;&lt;Details&gt;&lt;_accessed&gt;64942110&lt;/_accessed&gt;&lt;_created&gt;63171181&lt;/_created&gt;&lt;_modified&gt;64942110&lt;/_modified&gt;&lt;_translated_author&gt;Guo, Jiayaopinjianduguanlijuyiliaoqixiejishushenpingzhongxin&lt;/_translated_author&gt;&lt;/Details&gt;&lt;Extra&gt;&lt;DBUID&gt;{1F004544-7F3B-46C7-B932-C63AA7CCA45F}&lt;/DBUID&gt;&lt;/Extra&gt;&lt;/Item&gt;&lt;/References&gt;&lt;/Group&gt;&lt;Group&gt;&lt;References&gt;&lt;Item&gt;&lt;ID&gt;79&lt;/ID&gt;&lt;UID&gt;{35AA1771-ABD8-483E-AEDF-7F7DE3A26BFA}&lt;/UID&gt;&lt;Title&gt;医疗器械临床试验统计方法&lt;/Title&gt;&lt;Template&gt;Book&lt;/Template&gt;&lt;Star&gt;0&lt;/Star&gt;&lt;Tag&gt;0&lt;/Tag&gt;&lt;Author&gt;李卫&lt;/Author&gt;&lt;Year&gt;2016&lt;/Year&gt;&lt;Details&gt;&lt;_accessed&gt;64969348&lt;/_accessed&gt;&lt;_created&gt;64965577&lt;/_created&gt;&lt;_edition&gt;2版&lt;/_edition&gt;&lt;_modified&gt;64969348&lt;/_modified&gt;&lt;_place_published&gt;北京&lt;/_place_published&gt;&lt;_publisher&gt;科学出版社&lt;/_publisher&gt;&lt;_translated_author&gt;Li, Wei&lt;/_translated_author&gt;&lt;/Details&gt;&lt;Extra&gt;&lt;DBUID&gt;{1F004544-7F3B-46C7-B932-C63AA7CCA45F}&lt;/DBUID&gt;&lt;/Extra&gt;&lt;/Item&gt;&lt;/References&gt;&lt;/Group&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9351&lt;/_accessed&gt;&lt;_created&gt;64898564&lt;/_created&gt;&lt;_edition&gt;Third Edition&lt;/_edition&gt;&lt;_modified&gt;64969051&lt;/_modified&gt;&lt;_publisher&gt;CRC Press&lt;/_publisher&gt;&lt;/Details&gt;&lt;Extra&gt;&lt;DBUID&gt;{1F004544-7F3B-46C7-B932-C63AA7CCA45F}&lt;/DBUID&gt;&lt;/Extra&gt;&lt;/Item&gt;&lt;/References&gt;&lt;/Group&gt;&lt;Group&gt;&lt;References&gt;&lt;Item&gt;&lt;ID&gt;55&lt;/ID&gt;&lt;UID&gt;{C5D0175B-FD8B-4905-9AB7-EBCF15FC463B}&lt;/UID&gt;&lt;Title&gt;Methods and Applications of Sample Size Calculation and Recalculation in Clinical Trials&lt;/Title&gt;&lt;Template&gt;Book&lt;/Template&gt;&lt;Star&gt;0&lt;/Star&gt;&lt;Tag&gt;0&lt;/Tag&gt;&lt;Author&gt;Kieser, Meinhard&lt;/Author&gt;&lt;Year&gt;2020&lt;/Year&gt;&lt;Details&gt;&lt;_accessed&gt;64966901&lt;/_accessed&gt;&lt;_created&gt;64921555&lt;/_created&gt;&lt;_modified&gt;64966901&lt;/_modified&gt;&lt;_publisher&gt;Springer&lt;/_publisher&gt;&lt;/Details&gt;&lt;Extra&gt;&lt;DBUID&gt;{1F004544-7F3B-46C7-B932-C63AA7CCA45F}&lt;/DBUID&gt;&lt;/Extra&gt;&lt;/Item&gt;&lt;/References&gt;&lt;/Group&gt;&lt;/Citation&gt;_x000a_"/>
    <w:docVar w:name="NE.Ref{04BDA75F-36D5-468E-A17D-23F797E38C52}" w:val=" ADDIN NE.Ref.{04BDA75F-36D5-468E-A17D-23F797E38C52}&lt;Citation&gt;&lt;Group&gt;&lt;References&gt;&lt;Item&gt;&lt;ID&gt;96&lt;/ID&gt;&lt;UID&gt;{EEA30ABB-08C8-4463-A281-D00F7644497D}&lt;/UID&gt;&lt;Title&gt;医疗器械非劣效设计临床试验界值设定的现状与分析&lt;/Title&gt;&lt;Template&gt;Journal Article&lt;/Template&gt;&lt;Star&gt;0&lt;/Star&gt;&lt;Tag&gt;0&lt;/Tag&gt;&lt;Author&gt;曾治宇; 李青; 张晓星; 彭琳; 曾理; 张豫伟; 韩磊&lt;/Author&gt;&lt;Year&gt;2024&lt;/Year&gt;&lt;Details&gt;&lt;_accessed&gt;65452973&lt;/_accessed&gt;&lt;_author_aff&gt;波科国际医疗贸易(上海)有限公司;&lt;/_author_aff&gt;&lt;_created&gt;65358171&lt;/_created&gt;&lt;_date&gt;2024-01-15&lt;/_date&gt;&lt;_db_updated&gt;CNKI - Reference&lt;/_db_updated&gt;&lt;_issue&gt;01&lt;/_issue&gt;&lt;_journal&gt;中国食品药品监管&lt;/_journal&gt;&lt;_keywords&gt;临床试验;非劣效研究;界值;预期值;医疗器械&lt;/_keywords&gt;&lt;_modified&gt;65739586&lt;/_modified&gt;&lt;_pages&gt;30-38&lt;/_pages&gt;&lt;_url&gt;https://kns.cnki.net/kcms2/article/abstract?v=YoFA4grnCX4uXjIHmCxLFhhpAz0T8ScHo9dOyjuOfNv2ksVVh6F4_y9r7OGfjh0Fo6SnzikDA4kdecpVmvLAFv0GMCMrxhUNVN_fxsFVoQZAOBAgzA0kl8e6MekPHIvBbe2c3MAn-2Q=&amp;amp;uniplatform=NZKPT&amp;amp;language=CHS&lt;/_url&gt;&lt;_translated_author&gt;Ceng, Zhi yu;Li, Qing;Zhang, Xiao xing;Peng, Lin;Ceng, Li;Zhang, Yu wei;Han, Lei&lt;/_translated_author&gt;&lt;/Details&gt;&lt;Extra&gt;&lt;DBUID&gt;{1F004544-7F3B-46C7-B932-C63AA7CCA45F}&lt;/DBUID&gt;&lt;/Extra&gt;&lt;/Item&gt;&lt;/References&gt;&lt;/Group&gt;&lt;/Citation&gt;_x000a_"/>
    <w:docVar w:name="NE.Ref{0F420870-57A8-4D85-ACFD-11A40F235DF1}" w:val=" ADDIN NE.Ref.{0F420870-57A8-4D85-ACFD-11A40F235DF1}&lt;Citation&gt;&lt;Group&gt;&lt;References&gt;&lt;Item&gt;&lt;ID&gt;45&lt;/ID&gt;&lt;UID&gt;{057F18B6-AECF-4D48-A915-2426E8E5AF2F}&lt;/UID&gt;&lt;Title&gt;Transcatheter Aortic-Valve Replacement with a Balloon-Expandable Valve in  Low-Risk Patients&lt;/Title&gt;&lt;Template&gt;Journal Article&lt;/Template&gt;&lt;Star&gt;0&lt;/Star&gt;&lt;Tag&gt;0&lt;/Tag&gt;&lt;Author&gt;Mack, M J; Leon, M B; Thourani, V H; Makkar, R; Kodali, S K; Russo, M; Kapadia, S R; Malaisrie, S C; Cohen, D J; Pibarot, P; Leipsic, J; Hahn, R T; Blanke, P; Williams, M R; McCabe, J M; Brown, D L; Babaliaros, V; Goldman, S; Szeto, W Y; Genereux, P; Pershad, A; Pocock, S J; Alu, M C; Webb, J G; Smith, C R&lt;/Author&gt;&lt;Year&gt;2019&lt;/Year&gt;&lt;Details&gt;&lt;_accession_num&gt;30883058&lt;/_accession_num&gt;&lt;_author_adr&gt;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lt;/_author_adr&gt;&lt;_date_display&gt;2019 May 2&lt;/_date_display&gt;&lt;_date&gt;2019-05-02&lt;/_date&gt;&lt;_doi&gt;10.1056/NEJMoa1814052&lt;/_doi&gt;&lt;_isbn&gt;1533-4406 (Electronic); 0028-4793 (Linking)&lt;/_isbn&gt;&lt;_issue&gt;18&lt;/_issue&gt;&lt;_journal&gt;N Engl J Med&lt;/_journal&gt;&lt;_language&gt;eng&lt;/_language&gt;&lt;_ori_publication&gt;Copyright (c) 2019 Massachusetts Medical Society.&lt;/_ori_publication&gt;&lt;_pages&gt;1695-1705&lt;/_pages&gt;&lt;_subject_headings&gt;Aged; Aortic Valve/*surgery; Aortic Valve Stenosis/complications/mortality/*surgery; Atrial Fibrillation/etiology; Female; *Heart Valve Prosthesis; Heart Valve Prosthesis Implantation/adverse effects/*methods; Humans; Kaplan-Meier Estimate; Length of Stay; Male; Patient Readmission/*statistics &amp;amp; numerical data; Postoperative Complications/*epidemiology; Prosthesis Design; Risk Factors; Stroke/epidemiology/etiology; Transcatheter Aortic Valve Replacement/adverse effects/*instrumentation&lt;/_subject_headings&gt;&lt;_tertiary_title&gt;The New England journal of medicine&lt;/_tertiary_title&gt;&lt;_type_work&gt;Comparative Study; Equivalence Trial; Journal Article; Multicenter Study; Randomized Controlled Trial; Research Support, Non-U.S. Gov&amp;apos;t&lt;/_type_work&gt;&lt;_url&gt;http://www.ncbi.nlm.nih.gov/entrez/query.fcgi?cmd=Retrieve&amp;amp;db=pubmed&amp;amp;dopt=Abstract&amp;amp;list_uids=30883058&amp;amp;query_hl=1&lt;/_url&gt;&lt;_volume&gt;380&lt;/_volume&gt;&lt;_created&gt;64904711&lt;/_created&gt;&lt;_modified&gt;64904711&lt;/_modified&gt;&lt;_db_updated&gt;PubMed&lt;/_db_updated&gt;&lt;_impact_factor&gt; 176.079&lt;/_impact_factor&gt;&lt;_social_category&gt;医学：内科(1)&lt;/_social_category&gt;&lt;_collection_scope&gt;SCIE&lt;/_collection_scope&gt;&lt;_accessed&gt;64904711&lt;/_accessed&gt;&lt;/Details&gt;&lt;Extra&gt;&lt;DBUID&gt;{1F004544-7F3B-46C7-B932-C63AA7CCA45F}&lt;/DBUID&gt;&lt;/Extra&gt;&lt;/Item&gt;&lt;/References&gt;&lt;/Group&gt;&lt;/Citation&gt;_x000a_"/>
    <w:docVar w:name="NE.Ref{208F7C81-9818-4B45-AF40-5828AA57F6CF}" w:val=" ADDIN NE.Ref.{208F7C81-9818-4B45-AF40-5828AA57F6CF}&lt;Citation&gt;&lt;Group&gt;&lt;References&gt;&lt;Item&gt;&lt;ID&gt;45&lt;/ID&gt;&lt;UID&gt;{057F18B6-AECF-4D48-A915-2426E8E5AF2F}&lt;/UID&gt;&lt;Title&gt;Transcatheter Aortic-Valve Replacement with a Balloon-Expandable Valve in  Low-Risk Patients&lt;/Title&gt;&lt;Template&gt;Journal Article&lt;/Template&gt;&lt;Star&gt;0&lt;/Star&gt;&lt;Tag&gt;0&lt;/Tag&gt;&lt;Author&gt;Mack, M J; Leon, M B; Thourani, V H; Makkar, R; Kodali, S K; Russo, M; Kapadia, S R; Malaisrie, S C; Cohen, D J; Pibarot, P; Leipsic, J; Hahn, R T; Blanke, P; Williams, M R; McCabe, J M; Brown, D L; Babaliaros, V; Goldman, S; Szeto, W Y; Genereux, P; Pershad, A; Pocock, S J; Alu, M C; Webb, J G; Smith, C R&lt;/Author&gt;&lt;Year&gt;2019&lt;/Year&gt;&lt;Details&gt;&lt;_accessed&gt;64927676&lt;/_accessed&gt;&lt;_accession_num&gt;30883058&lt;/_accession_num&gt;&lt;_author_adr&gt;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 From Baylor Scott and White Health, Plano, TX (M.J.M., D.L.B.); Columbia  University Irving Medical Center and New York-Presbyterian Hospital (M.B.L.,  S.K.K., R.T.H., M.C.A., C.R.S.) and New York University Langone Medical Center  (M.R.W.) - both in New York; Medstar Heart and Vascular Institute, Georgetown  University, Washington, DC (V.H.T.); Cedars-Sinai Heart Institute, Los Angeles  (R.M.); Robert Wood Johnson Medical School, Rutgers University, New Brunswick  (M.R.), and Gagnon Cardiovascular Institute, Morristown Medical Center,  Morristown (P.G.) - both in New Jersey; Cleveland Clinic, Cleveland (S.R.K.);  Feinberg School of Medicine, Northwestern University, Chicago (S.C.M.); Saint  Luke&amp;apos;s Mid America Heart Institute, Kansas City, MO (D.J.C.); Quebec Heart and  Lung Institute, Laval University, Quebec, QC (P.P.), and St. Paul&amp;apos;s Hospital,  University of British Columbia, Vancouver (J.L., P.B., J.G.W.) - both in Canada;  University of Washington, Seattle (J.M.M.); Emory University Hospital, Atlanta  (V.B.); Lankenau Medical Center, Wynnewood (S.G.), and the Hospital of the  University of Pennsylvania, Philadelphia (W.Y.S.) - both in Pennsylvania; Banner  University Medical Center, Phoenix, AZ (A.P.); and the London School of Hygiene  and Tropical Medicine, London (S.J.P.).&lt;/_author_adr&gt;&lt;_collection_scope&gt;SCIE&lt;/_collection_scope&gt;&lt;_created&gt;64904711&lt;/_created&gt;&lt;_date&gt;2019-05-02&lt;/_date&gt;&lt;_date_display&gt;2019 May 2&lt;/_date_display&gt;&lt;_db_updated&gt;PubMed&lt;/_db_updated&gt;&lt;_doi&gt;10.1056/NEJMoa1814052&lt;/_doi&gt;&lt;_impact_factor&gt; 176.079&lt;/_impact_factor&gt;&lt;_isbn&gt;1533-4406 (Electronic); 0028-4793 (Linking)&lt;/_isbn&gt;&lt;_issue&gt;18&lt;/_issue&gt;&lt;_journal&gt;N Engl J Med&lt;/_journal&gt;&lt;_language&gt;eng&lt;/_language&gt;&lt;_modified&gt;64927676&lt;/_modified&gt;&lt;_ori_publication&gt;Copyright (c) 2019 Massachusetts Medical Society.&lt;/_ori_publication&gt;&lt;_pages&gt;1695-1705&lt;/_pages&gt;&lt;_social_category&gt;医学：内科(1)&lt;/_social_category&gt;&lt;_subject_headings&gt;Aged; Aortic Valve/*surgery; Aortic Valve Stenosis/complications/mortality/*surgery; Atrial Fibrillation/etiology; Female; *Heart Valve Prosthesis; Heart Valve Prosthesis Implantation/adverse effects/*methods; Humans; Kaplan-Meier Estimate; Length of Stay; Male; Patient Readmission/*statistics &amp;amp; numerical data; Postoperative Complications/*epidemiology; Prosthesis Design; Risk Factors; Stroke/epidemiology/etiology; Transcatheter Aortic Valve Replacement/adverse effects/*instrumentation&lt;/_subject_headings&gt;&lt;_tertiary_title&gt;The New England journal of medicine&lt;/_tertiary_title&gt;&lt;_type_work&gt;Comparative Study; Equivalence Trial; Journal Article; Multicenter Study; Randomized Controlled Trial; Research Support, Non-U.S. Gov&amp;apos;t&lt;/_type_work&gt;&lt;_url&gt;http://www.ncbi.nlm.nih.gov/entrez/query.fcgi?cmd=Retrieve&amp;amp;db=pubmed&amp;amp;dopt=Abstract&amp;amp;list_uids=30883058&amp;amp;query_hl=1&lt;/_url&gt;&lt;_volume&gt;380&lt;/_volume&gt;&lt;/Details&gt;&lt;Extra&gt;&lt;DBUID&gt;{1F004544-7F3B-46C7-B932-C63AA7CCA45F}&lt;/DBUID&gt;&lt;/Extra&gt;&lt;/Item&gt;&lt;/References&gt;&lt;/Group&gt;&lt;/Citation&gt;_x000a_"/>
    <w:docVar w:name="NE.Ref{29303ECC-26C9-4B62-B868-FABCEFC83A1F}" w:val=" ADDIN NE.Ref.{29303ECC-26C9-4B62-B868-FABCEFC83A1F}&lt;Citation&gt;&lt;Group&gt;&lt;References&gt;&lt;Item&gt;&lt;ID&gt;6&lt;/ID&gt;&lt;UID&gt;{2B2DF180-26DF-423D-9E11-E45F91ADE8D9}&lt;/UID&gt;&lt;Title&gt;医疗器械临床试验设计指导原则&lt;/Title&gt;&lt;Template&gt;Report&lt;/Template&gt;&lt;Star&gt;0&lt;/Star&gt;&lt;Tag&gt;0&lt;/Tag&gt;&lt;Author&gt;国家药品监督管理局&lt;/Author&gt;&lt;Year&gt;2018&lt;/Year&gt;&lt;Details&gt;&lt;_accessed&gt;64942110&lt;/_accessed&gt;&lt;_created&gt;63171181&lt;/_created&gt;&lt;_modified&gt;64942110&lt;/_modified&gt;&lt;_translated_author&gt;Guo, Jiayaopinjianduguanlijuyiliaoqixiejishushenpingzhongxin&lt;/_translated_author&gt;&lt;/Details&gt;&lt;Extra&gt;&lt;DBUID&gt;{1F004544-7F3B-46C7-B932-C63AA7CCA45F}&lt;/DBUID&gt;&lt;/Extra&gt;&lt;/Item&gt;&lt;/References&gt;&lt;/Group&gt;&lt;/Citation&gt;_x000a_"/>
    <w:docVar w:name="NE.Ref{51DC33A9-86D8-4396-AD21-1589166F22F0}" w:val=" ADDIN NE.Ref.{51DC33A9-86D8-4396-AD21-1589166F22F0}&lt;Citation&gt;&lt;Group&gt;&lt;References&gt;&lt;Item&gt;&lt;ID&gt;86&lt;/ID&gt;&lt;UID&gt;{CE83C429-FBC1-4728-92A1-25ABDD00014B}&lt;/UID&gt;&lt;Title&gt;临床试验设计的统计方法&lt;/Title&gt;&lt;Template&gt;Book&lt;/Template&gt;&lt;Star&gt;0&lt;/Star&gt;&lt;Tag&gt;0&lt;/Tag&gt;&lt;Author&gt;尹国圣; 石昊伦&lt;/Author&gt;&lt;Year&gt;2018&lt;/Year&gt;&lt;Details&gt;&lt;_publisher&gt;高等教育出版社&lt;/_publisher&gt;&lt;_place_published&gt;北京&lt;/_place_published&gt;&lt;_accessed&gt;64981280&lt;/_accessed&gt;&lt;_created&gt;64981280&lt;/_created&gt;&lt;_modified&gt;64981280&lt;/_modified&gt;&lt;_translated_author&gt;Yin, Guo sheng;Shi, Hao lun&lt;/_translated_author&gt;&lt;/Details&gt;&lt;Extra&gt;&lt;DBUID&gt;{1F004544-7F3B-46C7-B932-C63AA7CCA45F}&lt;/DBUID&gt;&lt;/Extra&gt;&lt;/Item&gt;&lt;/References&gt;&lt;/Group&gt;&lt;/Citation&gt;_x000a_"/>
    <w:docVar w:name="NE.Ref{564834E5-73B0-47AE-84E5-D07BE52EE167}" w:val=" ADDIN NE.Ref.{564834E5-73B0-47AE-84E5-D07BE52EE167}&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9351&lt;/_accessed&gt;&lt;_created&gt;64898564&lt;/_created&gt;&lt;_edition&gt;Third Edition&lt;/_edition&gt;&lt;_modified&gt;64969051&lt;/_modified&gt;&lt;_publisher&gt;CRC Press&lt;/_publisher&gt;&lt;/Details&gt;&lt;Extra&gt;&lt;DBUID&gt;{1F004544-7F3B-46C7-B932-C63AA7CCA45F}&lt;/DBUID&gt;&lt;/Extra&gt;&lt;/Item&gt;&lt;/References&gt;&lt;/Group&gt;&lt;Group&gt;&lt;References&gt;&lt;Item&gt;&lt;ID&gt;61&lt;/ID&gt;&lt;UID&gt;{8C7C33B0-38EF-4BC3-9B00-C2C518D6B4DF}&lt;/UID&gt;&lt;Title&gt;非劣效临床试验的统计学考虑&lt;/Title&gt;&lt;Template&gt;Journal Article&lt;/Template&gt;&lt;Star&gt;0&lt;/Star&gt;&lt;Tag&gt;0&lt;/Tag&gt;&lt;Author&gt;CCTS工作小组; 夏结来&lt;/Author&gt;&lt;Year&gt;2012&lt;/Year&gt;&lt;Details&gt;&lt;_accessed&gt;64924712&lt;/_accessed&gt;&lt;_author_adr&gt;第四军医大学; 第四军医大学&lt;/_author_adr&gt;&lt;_author_aff&gt;第四军医大学; 第四军医大学&lt;/_author_aff&gt;&lt;_collection_scope&gt;PKU;CSCD&lt;/_collection_scope&gt;&lt;_created&gt;64924688&lt;/_created&gt;&lt;_db_provider&gt;北京万方数据股份有限公司&lt;/_db_provider&gt;&lt;_db_updated&gt;Wanfangdata&lt;/_db_updated&gt;&lt;_doi&gt;10.3969/j.issn.1002-3674.2012.02.042&lt;/_doi&gt;&lt;_isbn&gt;1002-3674&lt;/_isbn&gt;&lt;_issue&gt;2&lt;/_issue&gt;&lt;_journal&gt;中国卫生统计&lt;/_journal&gt;&lt;_language&gt;chi&lt;/_language&gt;&lt;_modified&gt;64924712&lt;/_modified&gt;&lt;_pages&gt;270-274&lt;/_pages&gt;&lt;_tertiary_title&gt;Chinese Journal of Health Statistics&lt;/_tertiary_title&gt;&lt;_url&gt;https://d.wanfangdata.com.cn/periodical/ChlQZXJpb2RpY2FsQ0hJTmV3UzIwMjMwNDI2Eg96Z3dzdGoyMDEyMDIwNDIaCHVmZjg2eTV6&lt;/_url&gt;&lt;_volume&gt;29&lt;/_volume&gt;&lt;_translated_author&gt;CCTS工作小组;Xia, Jie lai&lt;/_translated_author&gt;&lt;/Details&gt;&lt;Extra&gt;&lt;DBUID&gt;{1F004544-7F3B-46C7-B932-C63AA7CCA45F}&lt;/DBUID&gt;&lt;/Extra&gt;&lt;/Item&gt;&lt;/References&gt;&lt;/Group&gt;&lt;/Citation&gt;_x000a_"/>
    <w:docVar w:name="NE.Ref{5AAA1BF6-9933-4FBC-8CFF-7540F4AF6CC2}" w:val=" ADDIN NE.Ref.{5AAA1BF6-9933-4FBC-8CFF-7540F4AF6CC2}&lt;Citation&gt;&lt;Group&gt;&lt;References&gt;&lt;Item&gt;&lt;ID&gt;18&lt;/ID&gt;&lt;UID&gt;{D17CF9F3-AA4E-43DC-9E09-F9FE919A4BB4}&lt;/UID&gt;&lt;Title&gt;Efficacy and safety of a novel bioabsorbable polymer-coated, everolimus-eluting  coronary stent: the EVOLVE II Randomized Trial&lt;/Title&gt;&lt;Template&gt;Journal Article&lt;/Template&gt;&lt;Star&gt;0&lt;/Star&gt;&lt;Tag&gt;0&lt;/Tag&gt;&lt;Author&gt;Kereiakes, D J; Meredith, I T; Windecker, S; Lee, Jobe R; Mehta, S R; Sarembock, I J; Feldman, R L; Stein, B; Dubois, C; Grady, T; Saito, S; Kimura, T; Christen, T; Allocco, D J; Dawkins, K D&lt;/Author&gt;&lt;Year&gt;2015&lt;/Year&gt;&lt;Details&gt;&lt;_accessed&gt;64881282&lt;/_accessed&gt;&lt;_accession_num&gt;25855680&lt;/_accession_num&gt;&lt;_author_adr&gt;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lindner@thechristhospital.com.;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 From the Heart and Vascular Center/The Lindner Research Center, Christ Hospital,  Cincinnati, OH (D.J.K., I.J.S.); Department of Medicine, MonashHEART, Southern  Health, Monash Medical Centre, Clayton, Victoria, Australia (I.T.M.); Department  of Cardiology, Bern University Hospital, Bern, Switzerland (S.W.); Department of  Invasive Cardiology, Wake Medical Center, Raleigh, NC (R.L.J.); Department of  Medicine, Hamilton Health Sciences, McMaster University, Hamilton, Ontario,  Canada (S.R.M.); Invasive/Interventional Cardiology, Mediquest Research at Munroe  Regional Medical Center, Ocala, FL (R.L.F.); Interventional Cardiology, Morton  Plant Mease Healthcare System, Clearwater, FL (B.S.); Department of Cardiology,  University Hospital Leuven, Leuven, Belgium (C.D.); Research and Education,  Aspirus Heart and Vascular Institute-Research and Education, Wausau, WI (T.G.);  Division of Cardiology and Catherization Laboratories Heart Center, Shonan  Kamakura General Hospital, Kanagawa, Japan (S.S.); Department of Cardiovascular  Medicine, Kyoto University Hospital, Kyoto, Japan (T.K.); and Clinical Sciences,  Boston Scientific Corporation, Marlborough, MA (T.C., D.J.A., K.D.D.).&lt;/_author_adr&gt;&lt;_collection_scope&gt;SCIE&lt;/_collection_scope&gt;&lt;_created&gt;64881226&lt;/_created&gt;&lt;_date&gt;2015-04-01&lt;/_date&gt;&lt;_date_display&gt;2015 Apr&lt;/_date_display&gt;&lt;_db_updated&gt;PubMed&lt;/_db_updated&gt;&lt;_doi&gt;10.1161/CIRCINTERVENTIONS.114.002372&lt;/_doi&gt;&lt;_impact_factor&gt;   7.514&lt;/_impact_factor&gt;&lt;_isbn&gt;1941-7632 (Electronic); 1941-7640 (Linking)&lt;/_isbn&gt;&lt;_issue&gt;4&lt;/_issue&gt;&lt;_journal&gt;Circ Cardiovasc Interv&lt;/_journal&gt;&lt;_keywords&gt;drug-eluting stent; percutaneous coronary intervention&lt;/_keywords&gt;&lt;_language&gt;eng&lt;/_language&gt;&lt;_modified&gt;64881282&lt;/_modified&gt;&lt;_ori_publication&gt;(c) 2015 American Heart Association, Inc.&lt;/_ori_publication&gt;&lt;_social_category&gt;心脏和心血管系统(2)&lt;/_social_category&gt;&lt;_subject_headings&gt;Absorbable Implants/adverse effects/*statistics &amp;amp; numerical data; Acute Coronary Syndrome/*surgery; Aged; Biocompatible Materials/*administration &amp;amp; dosage/adverse effects/chemistry; *Blood Vessel Prosthesis Implantation; Coronary Artery Disease/*surgery; Dioxanes; Drug-Eluting Stents/statistics &amp;amp; numerical data; Everolimus/*administration &amp;amp; dosage/adverse effects; Female; Follow-Up Studies; Humans; Male; Middle Aged; *Percutaneous Coronary Intervention; Platinum Compounds; Polymers/administration &amp;amp; dosage/adverse effects; Treatment Outcome&lt;/_subject_headings&gt;&lt;_tertiary_title&gt;Circulation. Cardiovascular interventions&lt;/_tertiary_title&gt;&lt;_type_work&gt;Journal Article; Multicenter Study; Randomized Controlled Trial; Research Support, Non-U.S. Gov&amp;apos;t&lt;/_type_work&gt;&lt;_url&gt;http://www.ncbi.nlm.nih.gov/entrez/query.fcgi?cmd=Retrieve&amp;amp;db=pubmed&amp;amp;dopt=Abstract&amp;amp;list_uids=25855680&amp;amp;query_hl=1&lt;/_url&gt;&lt;_volume&gt;8&lt;/_volume&gt;&lt;/Details&gt;&lt;Extra&gt;&lt;DBUID&gt;{1F004544-7F3B-46C7-B932-C63AA7CCA45F}&lt;/DBUID&gt;&lt;/Extra&gt;&lt;/Item&gt;&lt;/References&gt;&lt;/Group&gt;&lt;/Citation&gt;_x000a_"/>
    <w:docVar w:name="NE.Ref{70705241-6397-45AC-A036-D08BE9F18583}" w:val=" ADDIN NE.Ref.{70705241-6397-45AC-A036-D08BE9F18583}&lt;Citation&gt;&lt;Group&gt;&lt;References&gt;&lt;Item&gt;&lt;ID&gt;80&lt;/ID&gt;&lt;UID&gt;{6098FF72-304D-40F1-8D22-58D80BEDE741}&lt;/UID&gt;&lt;Title&gt;临床试验统计学&lt;/Title&gt;&lt;Template&gt;Book&lt;/Template&gt;&lt;Star&gt;0&lt;/Star&gt;&lt;Tag&gt;0&lt;/Tag&gt;&lt;Author&gt;陈峰; 夏结来&lt;/Author&gt;&lt;Year&gt;2018&lt;/Year&gt;&lt;Details&gt;&lt;_accessed&gt;65755851&lt;/_accessed&gt;&lt;_created&gt;64966808&lt;/_created&gt;&lt;_modified&gt;64979359&lt;/_modified&gt;&lt;_place_published&gt;北京&lt;/_place_published&gt;&lt;_publisher&gt;人民卫生出版社&lt;/_publisher&gt;&lt;_translated_author&gt;Chen, Feng;Xia, Jie lai&lt;/_translated_author&gt;&lt;/Details&gt;&lt;Extra&gt;&lt;DBUID&gt;{1F004544-7F3B-46C7-B932-C63AA7CCA45F}&lt;/DBUID&gt;&lt;/Extra&gt;&lt;/Item&gt;&lt;/References&gt;&lt;/Group&gt;&lt;/Citation&gt;_x000a_"/>
    <w:docVar w:name="NE.Ref{91053768-758A-46FC-B52F-D3407A10D1F6}" w:val=" ADDIN NE.Ref.{91053768-758A-46FC-B52F-D3407A10D1F6}&lt;Citation&gt;&lt;Group&gt;&lt;References&gt;&lt;Item&gt;&lt;ID&gt;1&lt;/ID&gt;&lt;UID&gt;{94EAD4CF-286B-4735-960B-B31EDA814B21}&lt;/UID&gt;&lt;Title&gt;A controlled trial of renal denervation for resistant hypertension&lt;/Title&gt;&lt;Template&gt;Journal Article&lt;/Template&gt;&lt;Star&gt;0&lt;/Star&gt;&lt;Tag&gt;0&lt;/Tag&gt;&lt;Author&gt;Bhatt, D L; Kandzari, D E; O&amp;apos;Neill, W W; D&amp;apos;Agostino, R; Flack, J M; Katzen, B T; Leon, M B; Liu, M; Mauri, L; Negoita, M; Cohen, S A; Oparil, S; Rocha-Singh, K; Townsend, R R; Bakris, G L&lt;/Author&gt;&lt;Year&gt;2014&lt;/Year&gt;&lt;Details&gt;&lt;_accessed&gt;64904734&lt;/_accessed&gt;&lt;_accession_num&gt;24678939&lt;/_accession_num&gt;&lt;_author_adr&gt;From Brigham and Women&amp;apos;s Hospital Heart and Vascular Center and Harvard Medical  School (D.L.B., L.M.), Boston University School of Public Health (R.D.), and  Harvard Clinical Research Institute (R.D., L.M.) - all in Boston; Piedmont Heart  Institute, Atlanta (D.E.K.); the Division of Cardiology, Henry Ford Hospital  (W.W.O.), and Wayne State University and the Detroit Medical Center (J.M.F.) -  all in Detroit; Baptist Cardiac and Vascular Institute, Miami (B.T.K.); New York  Presbyterian Hospital, Columbia University Medical Center, and Cardiovascular  Research Foundation, New York (M.B.L.); Medtronic CardioVascular, Santa Rosa, CA  (M.L., M.N., S.A.C.); University of Alabama at Birmingham, Birmingham (S.O.);  Prairie Heart Institute, Springfield, IL (K.R.-S.); Perelman School of Medicine,  University of Pennsylvania, Philadelphia (S.A.C., R.R.T.); and University of  Chicago Medicine, Chicago (G.L.B.).&lt;/_author_adr&gt;&lt;_collection_scope&gt;SCIE&lt;/_collection_scope&gt;&lt;_created&gt;64818195&lt;/_created&gt;&lt;_date&gt;2014-04-10&lt;/_date&gt;&lt;_date_display&gt;2014 Apr 10&lt;/_date_display&gt;&lt;_db_updated&gt;PubMed&lt;/_db_updated&gt;&lt;_doi&gt;10.1056/NEJMoa1402670&lt;/_doi&gt;&lt;_impact_factor&gt; 176.079&lt;/_impact_factor&gt;&lt;_isbn&gt;1533-4406 (Electronic); 0028-4793 (Linking)&lt;/_isbn&gt;&lt;_issue&gt;15&lt;/_issue&gt;&lt;_journal&gt;N Engl J Med&lt;/_journal&gt;&lt;_label&gt;PG&lt;/_label&gt;&lt;_language&gt;eng&lt;/_language&gt;&lt;_modified&gt;64873217&lt;/_modified&gt;&lt;_pages&gt;1393-401&lt;/_pages&gt;&lt;_social_category&gt;医学：内科(1)&lt;/_social_category&gt;&lt;_subject_headings&gt;Aged; Blood Pressure; *Denervation; Female; Humans; Hypertension/*surgery; Intention to Treat Analysis; Male; Middle Aged; Placebos; Radiography; Renal Artery/diagnostic imaging/innervation/*surgery; Single-Blind Method; Treatment Failure&lt;/_subject_headings&gt;&lt;_tertiary_title&gt;The New England journal of medicine&lt;/_tertiary_title&gt;&lt;_type_work&gt;Comparative Study; Journal Article; Multicenter Study; Randomized Controlled Trial; Research Support, Non-U.S. Gov&amp;apos;t&lt;/_type_work&gt;&lt;_url&gt;http://www.ncbi.nlm.nih.gov/entrez/query.fcgi?cmd=Retrieve&amp;amp;db=pubmed&amp;amp;dopt=Abstract&amp;amp;list_uids=24678939&amp;amp;query_hl=1&lt;/_url&gt;&lt;_volume&gt;370&lt;/_volume&gt;&lt;/Details&gt;&lt;Extra&gt;&lt;DBUID&gt;{1F004544-7F3B-46C7-B932-C63AA7CCA45F}&lt;/DBUID&gt;&lt;/Extra&gt;&lt;/Item&gt;&lt;/References&gt;&lt;/Group&gt;&lt;/Citation&gt;_x000a_"/>
    <w:docVar w:name="NE.Ref{A3201F88-7BFC-44E2-BB8F-65FE772DE736}" w:val=" ADDIN NE.Ref.{A3201F88-7BFC-44E2-BB8F-65FE772DE736}&lt;Citation&gt;&lt;Group&gt;&lt;References&gt;&lt;Item&gt;&lt;ID&gt;34&lt;/ID&gt;&lt;UID&gt;{9A86B02B-1BA2-4C59-8CBA-AB3ADA9E8493}&lt;/UID&gt;&lt;Title&gt;Sample Size Calculations in Clinical Research&lt;/Title&gt;&lt;Template&gt;Book&lt;/Template&gt;&lt;Star&gt;0&lt;/Star&gt;&lt;Tag&gt;0&lt;/Tag&gt;&lt;Author&gt;Chow, Shein-Chung; Shao, Jun; Wang, Hansheng; Lokhnygina, Yuliya&lt;/Author&gt;&lt;Year&gt;2018&lt;/Year&gt;&lt;Details&gt;&lt;_accessed&gt;64969351&lt;/_accessed&gt;&lt;_created&gt;64898564&lt;/_created&gt;&lt;_edition&gt;Third Edition&lt;/_edition&gt;&lt;_modified&gt;64969051&lt;/_modified&gt;&lt;_publisher&gt;CRC Press&lt;/_publisher&gt;&lt;/Details&gt;&lt;Extra&gt;&lt;DBUID&gt;{1F004544-7F3B-46C7-B932-C63AA7CCA45F}&lt;/DBUID&gt;&lt;/Extra&gt;&lt;/Item&gt;&lt;/References&gt;&lt;/Group&gt;&lt;/Citation&gt;_x000a_"/>
    <w:docVar w:name="NE.Ref{A3A169B3-37DD-44DC-8EF3-541325FBCBCD}" w:val="NE.Data.1{A3A169B3-37DD-44DC-8EF3-541325FBCBCD}=NE.Data.2{A3A169B3-37DD-44DC-8EF3-541325FBCBCD}"/>
    <w:docVar w:name="NE.Ref{A8E21808-AB38-4E98-9F46-4DAB9820A7FA}" w:val=" ADDIN NE.Ref.{A8E21808-AB38-4E98-9F46-4DAB9820A7FA}&lt;Citation&gt;&lt;Group&gt;&lt;References&gt;&lt;Item&gt;&lt;ID&gt;96&lt;/ID&gt;&lt;UID&gt;{EEA30ABB-08C8-4463-A281-D00F7644497D}&lt;/UID&gt;&lt;Title&gt;医疗器械非劣效设计临床试验界值设定的现状与分析&lt;/Title&gt;&lt;Template&gt;Journal Article&lt;/Template&gt;&lt;Star&gt;0&lt;/Star&gt;&lt;Tag&gt;0&lt;/Tag&gt;&lt;Author&gt;曾治宇; 李青; 张晓星; 彭琳; 曾理; 张豫伟; 韩磊&lt;/Author&gt;&lt;Year&gt;2024&lt;/Year&gt;&lt;Details&gt;&lt;_accessed&gt;65742366&lt;/_accessed&gt;&lt;_author_aff&gt;波科国际医疗贸易(上海)有限公司;&lt;/_author_aff&gt;&lt;_created&gt;65358171&lt;/_created&gt;&lt;_date&gt;2024-01-15&lt;/_date&gt;&lt;_db_updated&gt;CNKI - Reference&lt;/_db_updated&gt;&lt;_issue&gt;01&lt;/_issue&gt;&lt;_journal&gt;中国食品药品监管&lt;/_journal&gt;&lt;_keywords&gt;临床试验;非劣效研究;界值;预期值;医疗器械&lt;/_keywords&gt;&lt;_modified&gt;65741562&lt;/_modified&gt;&lt;_pages&gt;30-38&lt;/_pages&gt;&lt;_url&gt;https://kns.cnki.net/kcms2/article/abstract?v=YoFA4grnCX4uXjIHmCxLFhhpAz0T8ScHo9dOyjuOfNv2ksVVh6F4_y9r7OGfjh0Fo6SnzikDA4kdecpVmvLAFv0GMCMrxhUNVN_fxsFVoQZAOBAgzA0kl8e6MekPHIvBbe2c3MAn-2Q=&amp;amp;uniplatform=NZKPT&amp;amp;language=CHS&lt;/_url&gt;&lt;_translated_author&gt;Ceng, Zhi yu;Li, Qing;Zhang, Xiao xing;Peng, Lin;Ceng, Li;Zhang, Yu wei;Han, Lei&lt;/_translated_author&gt;&lt;/Details&gt;&lt;Extra&gt;&lt;DBUID&gt;{1F004544-7F3B-46C7-B932-C63AA7CCA45F}&lt;/DBUID&gt;&lt;/Extra&gt;&lt;/Item&gt;&lt;/References&gt;&lt;/Group&gt;&lt;/Citation&gt;_x000a_"/>
    <w:docVar w:name="NE.Ref{B13BA52D-7034-4C8C-B27D-A15D60B95281}" w:val="NE.Data.1{B13BA52D-7034-4C8C-B27D-A15D60B95281}=NE.Data.2{B13BA52D-7034-4C8C-B27D-A15D60B95281}"/>
    <w:docVar w:name="NE.Ref{C02EC79A-7F59-4CA8-8F70-01E39AB78A02}" w:val=" ADDIN NE.Ref.{C02EC79A-7F59-4CA8-8F70-01E39AB78A02}&lt;Citation&gt;&lt;Group&gt;&lt;References&gt;&lt;Item&gt;&lt;ID&gt;105&lt;/ID&gt;&lt;UID&gt;{E5902C24-CC14-4C9F-995C-6EC5C77709C1}&lt;/UID&gt;&lt;Title&gt;医学统计学&lt;/Title&gt;&lt;Template&gt;Book&lt;/Template&gt;&lt;Star&gt;0&lt;/Star&gt;&lt;Tag&gt;0&lt;/Tag&gt;&lt;Author&gt;陈峰&lt;/Author&gt;&lt;Year&gt;2024&lt;/Year&gt;&lt;Details&gt;&lt;_accessed&gt;65755847&lt;/_accessed&gt;&lt;_created&gt;65751136&lt;/_created&gt;&lt;_edition&gt;4版&lt;/_edition&gt;&lt;_modified&gt;65754095&lt;/_modified&gt;&lt;_place_published&gt;北京&lt;/_place_published&gt;&lt;_publisher&gt;人民卫生出版社&lt;/_publisher&gt;&lt;_translated_author&gt;Chen, Feng&lt;/_translated_author&gt;&lt;/Details&gt;&lt;Extra&gt;&lt;DBUID&gt;{1F004544-7F3B-46C7-B932-C63AA7CCA45F}&lt;/DBUID&gt;&lt;/Extra&gt;&lt;/Item&gt;&lt;/References&gt;&lt;/Group&gt;&lt;/Citation&gt;_x000a_"/>
    <w:docVar w:name="NE.Ref{C3DBDF93-3826-4E47-B6D0-A1FD879D02D8}" w:val=" ADDIN NE.Ref.{C3DBDF93-3826-4E47-B6D0-A1FD879D02D8}&lt;Citation&gt;&lt;Group&gt;&lt;References&gt;&lt;Item&gt;&lt;ID&gt;105&lt;/ID&gt;&lt;UID&gt;{E5902C24-CC14-4C9F-995C-6EC5C77709C1}&lt;/UID&gt;&lt;Title&gt;医学统计学&lt;/Title&gt;&lt;Template&gt;Book&lt;/Template&gt;&lt;Star&gt;0&lt;/Star&gt;&lt;Tag&gt;0&lt;/Tag&gt;&lt;Author&gt;陈峰&lt;/Author&gt;&lt;Year&gt;2024&lt;/Year&gt;&lt;Details&gt;&lt;_publisher&gt;人民卫生出版社&lt;/_publisher&gt;&lt;_place_published&gt;北京&lt;/_place_published&gt;&lt;_edition&gt;4版&lt;/_edition&gt;&lt;_accessed&gt;65751293&lt;/_accessed&gt;&lt;_created&gt;65751136&lt;/_created&gt;&lt;_modified&gt;65751136&lt;/_modified&gt;&lt;_translated_author&gt;Chen, Feng&lt;/_translated_author&gt;&lt;/Details&gt;&lt;Extra&gt;&lt;DBUID&gt;{1F004544-7F3B-46C7-B932-C63AA7CCA45F}&lt;/DBUID&gt;&lt;/Extra&gt;&lt;/Item&gt;&lt;/References&gt;&lt;/Group&gt;&lt;/Citation&gt;_x000a_"/>
    <w:docVar w:name="NE.Ref{C505752B-6123-43F2-97B8-A81CAB887059}" w:val=" ADDIN NE.Ref.{C505752B-6123-43F2-97B8-A81CAB887059}&lt;Citation&gt;&lt;Group&gt;&lt;References&gt;&lt;Item&gt;&lt;ID&gt;60&lt;/ID&gt;&lt;UID&gt;{5619144E-9331-4C0B-9008-6E9A9E2F5574}&lt;/UID&gt;&lt;Title&gt;药物临床试验非劣效设计指导原则&lt;/Title&gt;&lt;Template&gt;Report&lt;/Template&gt;&lt;Star&gt;0&lt;/Star&gt;&lt;Tag&gt;0&lt;/Tag&gt;&lt;Author&gt;国家药品监督管理局&lt;/Author&gt;&lt;Year&gt;2020&lt;/Year&gt;&lt;Details&gt;&lt;_accessed&gt;64924437&lt;/_accessed&gt;&lt;_created&gt;64924410&lt;/_created&gt;&lt;_modified&gt;64924437&lt;/_modified&gt;&lt;_translated_author&gt;Guo, Jia yao pin jian&lt;/_translated_author&gt;&lt;/Details&gt;&lt;Extra&gt;&lt;DBUID&gt;{1F004544-7F3B-46C7-B932-C63AA7CCA45F}&lt;/DBUID&gt;&lt;/Extra&gt;&lt;/Item&gt;&lt;/References&gt;&lt;/Group&gt;&lt;/Citation&gt;_x000a_"/>
    <w:docVar w:name="NE.Ref{C6052621-E8F0-4C32-819A-A16BA41F5A8F}" w:val=" ADDIN NE.Ref.{C6052621-E8F0-4C32-819A-A16BA41F5A8F}&lt;Citation&gt;&lt;Group&gt;&lt;References&gt;&lt;Item&gt;&lt;ID&gt;85&lt;/ID&gt;&lt;UID&gt;{1499732C-7CB2-47CE-9FF3-48837007048A}&lt;/UID&gt;&lt;Title&gt;Linked Color Imaging Can Improve Detection Rate of Early Gastric Cancer in a  High-Risk Population: A Multi-Center Randomized Controlled Clinical Trial&lt;/Title&gt;&lt;Template&gt;Journal Article&lt;/Template&gt;&lt;Star&gt;0&lt;/Star&gt;&lt;Tag&gt;0&lt;/Tag&gt;&lt;Author&gt;Gao, J; Zhang, X; Meng, Q; Jin, H; Zhu, Z; Wang, Z; Qian, W; Zhang, L; Liu, Y; Min, M; Chen, X; Chen, H; Han, S; Xiao, J; Wang, Y; Han, W; Lu, Y; Cai, S; Chen, W; Ji, W; Xiao, X; Zheng, Q; Zhang, B; Wu, W; Lian, G; Liu, X; Zhao, Q; Chen, M; Zhuang, K; Si, W; Shi, X; Chen, Y; Li, Z; Wang, D&lt;/Author&gt;&lt;Year&gt;2021&lt;/Year&gt;&lt;Details&gt;&lt;_accession_num&gt;32363529&lt;/_accession_num&gt;&lt;_author_adr&gt;Department of Gastroenterology, Changhai Hospital, The Second Military  University, Shanghai, China.; Department of Gastroenterology, Affiliated Hangzhou First People&amp;apos;s Hospital,  Zhejiang University School of Medicine, Hangzhou, China.; Department of Gastroenterology, Changhai Hospital, The Second Military  University, Shanghai, China.; Department of Gastroenterology, Affiliated Hangzhou First People&amp;apos;s Hospital,  Zhejiang University School of Medicine, Hangzhou, China.; The First Affiliated Hospital of Nanchang University, Nanchang, China.; Department of Gastroenterology, Changhai Hospital, The Second Military  University, Shanghai, China.; Department of Gastroenterology, Changhai Hospital, The Second Military  University, Shanghai, China.; Department of Gastroenterology, Changhai Hospital, The Second Military  University, Shanghai, China.; Department of Gastroenterology, The Fifth Medical Centre, Chinese PLA General  Hospital (Former 307th Hospital of the PLA), Beijing, China.; Department of Gastroenterology, The Fifth Medical Centre, Chinese PLA General  Hospital (Former 307th Hospital of the PLA), Beijing, China.; Endoscopy Center, Shanxi Cancer Hospital, Taiyuan, China.; Endoscopy Center, Shanxi Cancer Hospital, Taiyuan, China.; Jiangsu Province Hospital of TCM and Affiliated Hospital of Nanjing University of  TCM, Nanjing, China.; Jiangsu Province Hospital of TCM and Affiliated Hospital of Nanjing University of  TCM, Nanjing, China.; The First Affiliated Hospital of Anhui Medical University, Hefei, China.; The First Affiliated Hospital of Anhui Medical University, Hefei, China.; Department of Gastroenterology, Zhongshan Hospital Affiliated to Xiamen  University, Xiamen, China.; Department of Gastroenterology, Zhongshan Hospital Affiliated to Xiamen  University, Xiamen, China.; Chongqing Key Laboratory of Translational Research for Cancer Metastasis and  Individualized Treatment, Chongqing University Cancer Hospital and Chongqing  Cancer Institute and Chongqing Cancer Hospital, Chongqing, China.; Chongqing Key Laboratory of Translational Research for Cancer Metastasis and  Individualized Treatment, Chongqing University Cancer Hospital and Chongqing  Cancer Institute and Chongqing Cancer Hospital, Chongqing, China.; Affiliated Hospital of Guilin Medical University, Guilin, China.; Affiliated Hospital of Guilin Medical University, Guilin, China.; Guangdong Provincial TCM Hospital, Guangzhou, China.; Guangdong Provincial TCM Hospital, Guangzhou, China.; Gastroenterology Department of Xiangya Hospital, CSU, Changsha, China.; Gastroenterology Department of Xiangya Hospital, CSU, Changsha, China.; Zhongnan Hospital of Wuhan University, Wuhan, China.; Zhongnan Hospital of Wuhan University, Wuhan, China.; Xi&amp;apos;an Central Hospital, Xi&amp;apos;an, China.; Xi&amp;apos;an Central Hospital, Xi&amp;apos;an, China.; Department of Gastroenterology, Changhai Hospital, The Second Military  University, Shanghai, China.; The First Affiliated Hospital of Nanchang University, Nanchang, China.; Department of Gastroenterology, Changhai Hospital, The Second Military  University, Shanghai, China.; Department of Gastroenterology, Changhai Hospital, The Second Military  University, Shanghai, China. dongwang0901@sina.com.; Digestive Endoscopy Center, Changhai Hospital, The Second Military University,  Shanghai, China. dongwang0901@sina.com.&lt;/_author_adr&gt;&lt;_date_display&gt;2021 Apr&lt;/_date_display&gt;&lt;_date&gt;2021-04-01&lt;/_date&gt;&lt;_doi&gt;10.1007/s10620-020-06289-0&lt;/_doi&gt;&lt;_isbn&gt;1573-2568 (Electronic); 0163-2116 (Linking)&lt;/_isbn&gt;&lt;_issue&gt;4&lt;/_issue&gt;&lt;_journal&gt;Dig Dis Sci&lt;/_journal&gt;&lt;_keywords&gt;Early gastric cancer; Endoscopy; High-risk population; Linked color imaging; Screening&lt;/_keywords&gt;&lt;_language&gt;eng&lt;/_language&gt;&lt;_pages&gt;1212-1219&lt;/_pages&gt;&lt;_subject_headings&gt;China/epidemiology; Early Detection of Cancer/*methods; Female; Gastroscopy/*methods; Humans; Image Enhancement/*methods; Male; Middle Aged; Population Surveillance/*methods; Prospective Studies; Risk Factors; Stomach Neoplasms/*diagnostic imaging/*epidemiology&lt;/_subject_headings&gt;&lt;_tertiary_title&gt;Digestive diseases and sciences&lt;/_tertiary_title&gt;&lt;_type_work&gt;Journal Article; Multicenter Study; Randomized Controlled Trial&lt;/_type_work&gt;&lt;_url&gt;http://www.ncbi.nlm.nih.gov/entrez/query.fcgi?cmd=Retrieve&amp;amp;db=pubmed&amp;amp;dopt=Abstract&amp;amp;list_uids=32363529&amp;amp;query_hl=1&lt;/_url&gt;&lt;_volume&gt;66&lt;/_volume&gt;&lt;_created&gt;64981139&lt;/_created&gt;&lt;_modified&gt;64981139&lt;/_modified&gt;&lt;_db_updated&gt;PubMed&lt;/_db_updated&gt;&lt;_impact_factor&gt;   3.487&lt;/_impact_factor&gt;&lt;_social_category&gt;胃肠肝病学(4)&lt;/_social_category&gt;&lt;_collection_scope&gt;SCIE&lt;/_collection_scope&gt;&lt;_accessed&gt;64981139&lt;/_accessed&gt;&lt;/Details&gt;&lt;Extra&gt;&lt;DBUID&gt;{1F004544-7F3B-46C7-B932-C63AA7CCA45F}&lt;/DBUID&gt;&lt;/Extra&gt;&lt;/Item&gt;&lt;/References&gt;&lt;/Group&gt;&lt;/Citation&gt;_x000a_"/>
    <w:docVar w:name="NE.Ref{CE1ED6BA-0766-4038-999B-FA94A39E13F7}" w:val=" ADDIN NE.Ref.{CE1ED6BA-0766-4038-999B-FA94A39E13F7}&lt;Citation&gt;&lt;Group&gt;&lt;References&gt;&lt;Item&gt;&lt;ID&gt;86&lt;/ID&gt;&lt;UID&gt;{CE83C429-FBC1-4728-92A1-25ABDD00014B}&lt;/UID&gt;&lt;Title&gt;临床试验设计的统计方法&lt;/Title&gt;&lt;Template&gt;Book&lt;/Template&gt;&lt;Star&gt;0&lt;/Star&gt;&lt;Tag&gt;0&lt;/Tag&gt;&lt;Author&gt;尹国圣; 石昊伦&lt;/Author&gt;&lt;Year&gt;2018&lt;/Year&gt;&lt;Details&gt;&lt;_publisher&gt;高等教育出版社&lt;/_publisher&gt;&lt;_place_published&gt;北京&lt;/_place_published&gt;&lt;_accessed&gt;64981280&lt;/_accessed&gt;&lt;_created&gt;64981280&lt;/_created&gt;&lt;_modified&gt;64981280&lt;/_modified&gt;&lt;_translated_author&gt;Yin, Guo sheng;Shi, Hao lun&lt;/_translated_author&gt;&lt;/Details&gt;&lt;Extra&gt;&lt;DBUID&gt;{1F004544-7F3B-46C7-B932-C63AA7CCA45F}&lt;/DBUID&gt;&lt;/Extra&gt;&lt;/Item&gt;&lt;/References&gt;&lt;/Group&gt;&lt;/Citation&gt;_x000a_"/>
    <w:docVar w:name="NE.Ref{DB383D26-8F37-45BA-87CE-1A224C67C267}" w:val="NE.Data.1{DB383D26-8F37-45BA-87CE-1A224C67C267}=NE.Data.2{DB383D26-8F37-45BA-87CE-1A224C67C267}"/>
    <w:docVar w:name="NE.Ref{DE2B28C9-1A6C-4A5F-B62F-EA65D4B0E2F6}" w:val="NE.Data.1{DE2B28C9-1A6C-4A5F-B62F-EA65D4B0E2F6}=NE.Data.2{DE2B28C9-1A6C-4A5F-B62F-EA65D4B0E2F6}"/>
    <w:docVar w:name="NE.Ref{E9E0A554-57F3-4F4C-B206-D14CE60A48AC}" w:val=" ADDIN NE.Ref.{E9E0A554-57F3-4F4C-B206-D14CE60A48AC}&lt;Citation&gt;&lt;Group&gt;&lt;References&gt;&lt;Item&gt;&lt;ID&gt;63&lt;/ID&gt;&lt;UID&gt;{C74F416E-B7B1-4509-B178-B4E94C5F8269}&lt;/UID&gt;&lt;Title&gt;Challenges in the Design and Interpretation of Noninferiority Trials: Insights From Recent Stent Trials&lt;/Title&gt;&lt;Template&gt;Journal Article&lt;/Template&gt;&lt;Star&gt;0&lt;/Star&gt;&lt;Tag&gt;0&lt;/Tag&gt;&lt;Author&gt;Macaya, F; Ryan, N; Salinas, P; Pocock, S J&lt;/Author&gt;&lt;Year&gt;2017&lt;/Year&gt;&lt;Details&gt;&lt;_accessed&gt;64924875&lt;/_accessed&gt;&lt;_accession_num&gt;28797360&lt;/_accession_num&gt;&lt;_author_adr&gt;Department of Interventional Cardiology, Hospital Clinico San Carlos-Universidad  Complutense Madrid, Madrid, Spain.; Department of Interventional Cardiology, Hospital Clinico San Carlos-Universidad  Complutense Madrid, Madrid, Spain.; Department of Interventional Cardiology, Hospital Clinico San Carlos-Universidad  Complutense Madrid, Madrid, Spain. Electronic address: salinas.pablo@gmail.com.; Department of Medical Statistics, London School of Hygiene and Tropical Medicine, London, United Kingdom; Centro Nacional de Investigaciones Cardiovasculares Carlos III, Madrid, Spain.&lt;/_author_adr&gt;&lt;_collection_scope&gt;SCI;SCIE&lt;/_collection_scope&gt;&lt;_created&gt;64504241&lt;/_created&gt;&lt;_date&gt;2017-08-15&lt;/_date&gt;&lt;_date_display&gt;2017 Aug 15&lt;/_date_display&gt;&lt;_db_updated&gt;PubMed&lt;/_db_updated&gt;&lt;_doi&gt;10.1016/j.jacc.2017.06.039&lt;/_doi&gt;&lt;_impact_factor&gt;  27.203&lt;/_impact_factor&gt;&lt;_isbn&gt;1558-3597 (Electronic); 0735-1097 (Linking)&lt;/_isbn&gt;&lt;_issue&gt;7&lt;/_issue&gt;&lt;_journal&gt;J Am Coll Cardiol&lt;/_journal&gt;&lt;_keywords&gt;clinical trial; clinical trial design; coronary stent; noninferiority margin; sample size&lt;/_keywords&gt;&lt;_language&gt;eng&lt;/_language&gt;&lt;_modified&gt;64924875&lt;/_modified&gt;&lt;_ori_publication&gt;Copyright (c) 2017 American College of Cardiology Foundation. Published by_x000d__x000a_      Elsevier Inc. All rights reserved.&lt;/_ori_publication&gt;&lt;_pages&gt;894-903&lt;/_pages&gt;&lt;_social_category&gt;心脏和心血管系统(1)&lt;/_social_category&gt;&lt;_subject_headings&gt;*Cardiology; Clinical Trials as Topic/*organization &amp;amp; administration; Coronary Artery Disease/*surgery; Humans; Myocardial Revascularization/*methods; Prosthesis Design; *Stents&lt;/_subject_headings&gt;&lt;_tertiary_title&gt;Journal of the American College of Cardiology&lt;/_tertiary_title&gt;&lt;_type_work&gt;Journal Article; Review&lt;/_type_work&gt;&lt;_url&gt;http://www.ncbi.nlm.nih.gov/entrez/query.fcgi?cmd=Retrieve&amp;amp;db=pubmed&amp;amp;dopt=Abstract&amp;amp;list_uids=28797360&amp;amp;query_hl=1&lt;/_url&gt;&lt;_volume&gt;70&lt;/_volume&gt;&lt;/Details&gt;&lt;Extra&gt;&lt;DBUID&gt;{1F004544-7F3B-46C7-B932-C63AA7CCA45F}&lt;/DBUID&gt;&lt;/Extra&gt;&lt;/Item&gt;&lt;/References&gt;&lt;/Group&gt;&lt;/Citation&gt;_x000a_"/>
    <w:docVar w:name="NE.Ref{F1752267-CB5A-40E4-A524-79FED6B7940E}" w:val=" ADDIN NE.Ref.{F1752267-CB5A-40E4-A524-79FED6B7940E}&lt;Citation&gt;&lt;Group&gt;&lt;References&gt;&lt;Item&gt;&lt;ID&gt;62&lt;/ID&gt;&lt;UID&gt;{2D36967A-C8C1-4959-A993-DD184119003D}&lt;/UID&gt;&lt;Title&gt;Non-Inferiority Clinical Trials to Establish Effectiveness Guidance for Industry&lt;/Title&gt;&lt;Template&gt;Report&lt;/Template&gt;&lt;Star&gt;0&lt;/Star&gt;&lt;Tag&gt;0&lt;/Tag&gt;&lt;Author&gt;FDA&lt;/Author&gt;&lt;Year&gt;2016&lt;/Year&gt;&lt;Details&gt;&lt;_accessed&gt;64924723&lt;/_accessed&gt;&lt;_created&gt;64924712&lt;/_created&gt;&lt;_modified&gt;64924723&lt;/_modified&gt;&lt;/Details&gt;&lt;Extra&gt;&lt;DBUID&gt;{1F004544-7F3B-46C7-B932-C63AA7CCA45F}&lt;/DBUID&gt;&lt;/Extra&gt;&lt;/Item&gt;&lt;/References&gt;&lt;/Group&gt;&lt;/Citation&gt;_x000a_"/>
    <w:docVar w:name="NE.Ref{F6764AFC-0E9D-4E54-8C36-1D841B8AFCE7}" w:val=" ADDIN NE.Ref.{F6764AFC-0E9D-4E54-8C36-1D841B8AFCE7}&lt;Citation&gt;&lt;Group&gt;&lt;References&gt;&lt;Item&gt;&lt;ID&gt;47&lt;/ID&gt;&lt;UID&gt;{C58CDAEA-FDB7-4D65-9CA5-D14F94923FC2}&lt;/UID&gt;&lt;Title&gt;Fractional Flow Reserve or Intravascular Ultrasonography to Guide PCI&lt;/Title&gt;&lt;Template&gt;Journal Article&lt;/Template&gt;&lt;Star&gt;0&lt;/Star&gt;&lt;Tag&gt;0&lt;/Tag&gt;&lt;Author&gt;Koo, B K; Hu, X; Kang, J; Zhang, J; Jiang, J; Hahn, J Y; Nam, C W; Doh, J H; Lee, B K; Kim, W; Huang, J; Jiang, F; Zhou, H; Chen, P; Tang, L; Jiang, W; Chen, X; He, W; Ahn, S G; Yoon, M H; Kim, U; Lee, J M; Hwang, D; Ki, Y J; Shin, E S; Kim, H S; Tahk, S J; Wang, J&lt;/Author&gt;&lt;Year&gt;2022&lt;/Year&gt;&lt;Details&gt;&lt;_accessed&gt;64923070&lt;/_accessed&gt;&lt;_accession_num&gt;36053504&lt;/_accession_num&gt;&lt;_author_adr&gt;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 From Seoul National University Hospital (B.-K.K., J.K., D.H., H.-S.K.), Samsung  Medical Center (J.-Y.H., J.-M.L.), and Kyung Hee University Hospital (W.K.),  Seoul, Keimyung University Dongsan Medical Center (C.-W.N.) and Yeungnam  University Medical Center (U.K.), Daegu, Inje University Ilsan Paik Hospital,  Goyang (J.-H.D.), Kangwon National University Hospital, Chuncheon (B.-K.L.),  Wonju Severance Christian Hospital, Wonju (S.-G.A.), Ajou University Hospital,  Suwon (M.-H.Y., S.-J.T.), Uijeongbu Eulji Medical Center, Uijeongbu (Y-.J.K.),  and Ulsan University Hospital, University of Ulsan College of Medicine, Ulsan  (E.-S.S.) - all in South Korea; the Second Affiliated Hospital, Zhejiang  University School of Medicine (X.H., J.Z., J.J., J.W.), Affiliated Hangzhou First  People&amp;apos;s Hospital, Zhejiang University School of Medicine (J.H.), Hangzhou Normal  University Affiliated Hospital (F.J.), and Zhejiang Hospital (L.T.), Hangzhou,  the First Affiliated Hospital of Wenzhou Medical University (H.Z.), the Second  Affiliated Hospital of Wenzhou Medical University (P.C.), and the Third Clinical  Institute Affiliated to Wenzhou Medical University (W.J.), Wenzhou, and Ningbo  First Hospital (X.C.) and the Affiliated Hospital of the Medical School of Ningbo  University (W.H.), Ningbo - all in China.&lt;/_author_adr&gt;&lt;_collection_scope&gt;SCIE&lt;/_collection_scope&gt;&lt;_created&gt;64904924&lt;/_created&gt;&lt;_date&gt;2022-09-01&lt;/_date&gt;&lt;_date_display&gt;2022 Sep 1&lt;/_date_display&gt;&lt;_db_updated&gt;PubMed&lt;/_db_updated&gt;&lt;_doi&gt;10.1056/NEJMoa2201546&lt;/_doi&gt;&lt;_impact_factor&gt; 176.079&lt;/_impact_factor&gt;&lt;_isbn&gt;1533-4406 (Electronic); 0028-4793 (Linking)&lt;/_isbn&gt;&lt;_issue&gt;9&lt;/_issue&gt;&lt;_journal&gt;N Engl J Med&lt;/_journal&gt;&lt;_language&gt;eng&lt;/_language&gt;&lt;_modified&gt;64923070&lt;/_modified&gt;&lt;_ori_publication&gt;Copyright (c) 2022 Massachusetts Medical Society.&lt;/_ori_publication&gt;&lt;_pages&gt;779-789&lt;/_pages&gt;&lt;_social_category&gt;医学：内科(1)&lt;/_social_category&gt;&lt;_subject_headings&gt;Constriction, Pathologic; Coronary Angiography; *Coronary Artery Disease/diagnostic imaging/physiopathology/therapy; *Fractional Flow Reserve, Myocardial; Humans; *Myocardial Infarction/diagnostic imaging/physiopathology/therapy; *Percutaneous Coronary Intervention/methods; Treatment Outcome; *Ultrasonography, Interventional/methods&lt;/_subject_headings&gt;&lt;_tertiary_title&gt;The New England journal of medicine&lt;/_tertiary_title&gt;&lt;_type_work&gt;Journal Article; Randomized Controlled Trial&lt;/_type_work&gt;&lt;_url&gt;http://www.ncbi.nlm.nih.gov/entrez/query.fcgi?cmd=Retrieve&amp;amp;db=pubmed&amp;amp;dopt=Abstract&amp;amp;list_uids=36053504&amp;amp;query_hl=1&lt;/_url&gt;&lt;_volume&gt;387&lt;/_volume&gt;&lt;/Details&gt;&lt;Extra&gt;&lt;DBUID&gt;{1F004544-7F3B-46C7-B932-C63AA7CCA45F}&lt;/DBUID&gt;&lt;/Extra&gt;&lt;/Item&gt;&lt;/References&gt;&lt;/Group&gt;&lt;/Citation&gt;_x000a_"/>
    <w:docVar w:name="NE.Ref{FB8FDAB2-1AE3-4E56-B032-421779C599CD}" w:val=" ADDIN NE.Ref.{FB8FDAB2-1AE3-4E56-B032-421779C599CD}&lt;Citation&gt;&lt;Group&gt;&lt;References&gt;&lt;Item&gt;&lt;ID&gt;96&lt;/ID&gt;&lt;UID&gt;{EEA30ABB-08C8-4463-A281-D00F7644497D}&lt;/UID&gt;&lt;Title&gt;医疗器械非劣效设计临床试验界值设定的现状与分析&lt;/Title&gt;&lt;Template&gt;Journal Article&lt;/Template&gt;&lt;Star&gt;0&lt;/Star&gt;&lt;Tag&gt;0&lt;/Tag&gt;&lt;Author&gt;曾治宇; 李青; 张晓星; 彭琳; 曾理; 张豫伟; 韩磊&lt;/Author&gt;&lt;Year&gt;2024&lt;/Year&gt;&lt;Details&gt;&lt;_accessed&gt;65742366&lt;/_accessed&gt;&lt;_author_aff&gt;波科国际医疗贸易(上海)有限公司;&lt;/_author_aff&gt;&lt;_created&gt;65358171&lt;/_created&gt;&lt;_date&gt;2024-01-15&lt;/_date&gt;&lt;_db_updated&gt;CNKI - Reference&lt;/_db_updated&gt;&lt;_issue&gt;01&lt;/_issue&gt;&lt;_journal&gt;中国食品药品监管&lt;/_journal&gt;&lt;_keywords&gt;临床试验;非劣效研究;界值;预期值;医疗器械&lt;/_keywords&gt;&lt;_modified&gt;65741562&lt;/_modified&gt;&lt;_pages&gt;30-38&lt;/_pages&gt;&lt;_url&gt;https://kns.cnki.net/kcms2/article/abstract?v=YoFA4grnCX4uXjIHmCxLFhhpAz0T8ScHo9dOyjuOfNv2ksVVh6F4_y9r7OGfjh0Fo6SnzikDA4kdecpVmvLAFv0GMCMrxhUNVN_fxsFVoQZAOBAgzA0kl8e6MekPHIvBbe2c3MAn-2Q=&amp;amp;uniplatform=NZKPT&amp;amp;language=CHS&lt;/_url&gt;&lt;_translated_author&gt;Ceng, Zhi yu;Li, Qing;Zhang, Xiao xing;Peng, Lin;Ceng, Li;Zhang, Yu wei;Han, Lei&lt;/_translated_author&gt;&lt;/Details&gt;&lt;Extra&gt;&lt;DBUID&gt;{1F004544-7F3B-46C7-B932-C63AA7CCA45F}&lt;/DBUID&gt;&lt;/Extra&gt;&lt;/Item&gt;&lt;/References&gt;&lt;/Group&gt;&lt;/Citation&gt;_x000a_"/>
    <w:docVar w:name="ne_docsoft" w:val="MSWord"/>
    <w:docVar w:name="ne_docversion" w:val="NoteExpress 2.0"/>
    <w:docVar w:name="ne_stylename" w:val="New England J Medicine"/>
  </w:docVars>
  <w:rsids>
    <w:rsidRoot w:val="00701982"/>
    <w:rsid w:val="00013423"/>
    <w:rsid w:val="00015595"/>
    <w:rsid w:val="00021932"/>
    <w:rsid w:val="00041673"/>
    <w:rsid w:val="000726AD"/>
    <w:rsid w:val="000728ED"/>
    <w:rsid w:val="00093951"/>
    <w:rsid w:val="00093AA8"/>
    <w:rsid w:val="000D4CC6"/>
    <w:rsid w:val="0010329F"/>
    <w:rsid w:val="0011021A"/>
    <w:rsid w:val="00112F21"/>
    <w:rsid w:val="00124616"/>
    <w:rsid w:val="00126B44"/>
    <w:rsid w:val="00130240"/>
    <w:rsid w:val="00157870"/>
    <w:rsid w:val="00173F6B"/>
    <w:rsid w:val="00191053"/>
    <w:rsid w:val="001A1CF7"/>
    <w:rsid w:val="001A2594"/>
    <w:rsid w:val="001B6B62"/>
    <w:rsid w:val="001F312B"/>
    <w:rsid w:val="0023566F"/>
    <w:rsid w:val="00246885"/>
    <w:rsid w:val="002522EF"/>
    <w:rsid w:val="002726A0"/>
    <w:rsid w:val="0027694B"/>
    <w:rsid w:val="002919F5"/>
    <w:rsid w:val="002E6133"/>
    <w:rsid w:val="002F2AF2"/>
    <w:rsid w:val="00336E26"/>
    <w:rsid w:val="003922B2"/>
    <w:rsid w:val="003C7999"/>
    <w:rsid w:val="003D21EB"/>
    <w:rsid w:val="003D2C12"/>
    <w:rsid w:val="00426164"/>
    <w:rsid w:val="00433521"/>
    <w:rsid w:val="00455598"/>
    <w:rsid w:val="0046144A"/>
    <w:rsid w:val="004768DE"/>
    <w:rsid w:val="0049297F"/>
    <w:rsid w:val="004D3569"/>
    <w:rsid w:val="00507F63"/>
    <w:rsid w:val="00541D3D"/>
    <w:rsid w:val="00564290"/>
    <w:rsid w:val="005720B9"/>
    <w:rsid w:val="00595EFB"/>
    <w:rsid w:val="0059771A"/>
    <w:rsid w:val="005C0372"/>
    <w:rsid w:val="005F16FF"/>
    <w:rsid w:val="0061104A"/>
    <w:rsid w:val="00615215"/>
    <w:rsid w:val="00643B56"/>
    <w:rsid w:val="00676C58"/>
    <w:rsid w:val="00701982"/>
    <w:rsid w:val="007102B6"/>
    <w:rsid w:val="0074272B"/>
    <w:rsid w:val="00756A5C"/>
    <w:rsid w:val="00774553"/>
    <w:rsid w:val="00782AAE"/>
    <w:rsid w:val="00785F30"/>
    <w:rsid w:val="00790C1C"/>
    <w:rsid w:val="007A43CD"/>
    <w:rsid w:val="007B2EA9"/>
    <w:rsid w:val="007B6F8B"/>
    <w:rsid w:val="007D6ABD"/>
    <w:rsid w:val="007E1E11"/>
    <w:rsid w:val="0080109E"/>
    <w:rsid w:val="008166F4"/>
    <w:rsid w:val="00820A47"/>
    <w:rsid w:val="00835AF8"/>
    <w:rsid w:val="00840686"/>
    <w:rsid w:val="00895360"/>
    <w:rsid w:val="008A4DCF"/>
    <w:rsid w:val="008C2441"/>
    <w:rsid w:val="008C6A36"/>
    <w:rsid w:val="008E5A18"/>
    <w:rsid w:val="008E5FF1"/>
    <w:rsid w:val="00905F0A"/>
    <w:rsid w:val="009074AD"/>
    <w:rsid w:val="00935A3F"/>
    <w:rsid w:val="00994366"/>
    <w:rsid w:val="009A5C91"/>
    <w:rsid w:val="009C7D8E"/>
    <w:rsid w:val="009F0010"/>
    <w:rsid w:val="009F7125"/>
    <w:rsid w:val="00A34E9F"/>
    <w:rsid w:val="00A44E98"/>
    <w:rsid w:val="00A63577"/>
    <w:rsid w:val="00A65003"/>
    <w:rsid w:val="00A737EC"/>
    <w:rsid w:val="00A75B1F"/>
    <w:rsid w:val="00A904F3"/>
    <w:rsid w:val="00AC540D"/>
    <w:rsid w:val="00AC6E96"/>
    <w:rsid w:val="00AD0AF5"/>
    <w:rsid w:val="00AF02E1"/>
    <w:rsid w:val="00B0590E"/>
    <w:rsid w:val="00B11E9E"/>
    <w:rsid w:val="00B2041E"/>
    <w:rsid w:val="00B30259"/>
    <w:rsid w:val="00B37BD4"/>
    <w:rsid w:val="00B40493"/>
    <w:rsid w:val="00BB415A"/>
    <w:rsid w:val="00BD0064"/>
    <w:rsid w:val="00C40A92"/>
    <w:rsid w:val="00C460BF"/>
    <w:rsid w:val="00C62B0B"/>
    <w:rsid w:val="00C70F8E"/>
    <w:rsid w:val="00C938E8"/>
    <w:rsid w:val="00CA3863"/>
    <w:rsid w:val="00CA6F99"/>
    <w:rsid w:val="00CC0877"/>
    <w:rsid w:val="00CC78F5"/>
    <w:rsid w:val="00D238D7"/>
    <w:rsid w:val="00D460BA"/>
    <w:rsid w:val="00D63B93"/>
    <w:rsid w:val="00D6631C"/>
    <w:rsid w:val="00D70EFF"/>
    <w:rsid w:val="00DA7838"/>
    <w:rsid w:val="00E05723"/>
    <w:rsid w:val="00E05EE2"/>
    <w:rsid w:val="00E143DD"/>
    <w:rsid w:val="00E15B24"/>
    <w:rsid w:val="00E162CD"/>
    <w:rsid w:val="00E1794F"/>
    <w:rsid w:val="00E605A8"/>
    <w:rsid w:val="00E96F72"/>
    <w:rsid w:val="00EA2060"/>
    <w:rsid w:val="00EA3913"/>
    <w:rsid w:val="00ED165E"/>
    <w:rsid w:val="00ED23CE"/>
    <w:rsid w:val="00ED5B0B"/>
    <w:rsid w:val="00F11275"/>
    <w:rsid w:val="00F46441"/>
    <w:rsid w:val="00F61152"/>
    <w:rsid w:val="00F64F44"/>
    <w:rsid w:val="00F67527"/>
    <w:rsid w:val="00FC32E5"/>
    <w:rsid w:val="00FE2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2294C"/>
  <w15:chartTrackingRefBased/>
  <w15:docId w15:val="{7671B3F6-8E6D-4035-9356-72661EAA3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ListParagraph"/>
    <w:next w:val="Normal"/>
    <w:link w:val="Heading1Char"/>
    <w:uiPriority w:val="9"/>
    <w:qFormat/>
    <w:rsid w:val="00F67527"/>
    <w:pPr>
      <w:numPr>
        <w:numId w:val="4"/>
      </w:numPr>
      <w:spacing w:before="240" w:after="240"/>
      <w:ind w:firstLineChars="0" w:firstLine="0"/>
      <w:outlineLvl w:val="0"/>
    </w:pPr>
    <w:rPr>
      <w:b/>
      <w:bCs/>
      <w:sz w:val="32"/>
      <w:szCs w:val="36"/>
    </w:rPr>
  </w:style>
  <w:style w:type="paragraph" w:styleId="Heading2">
    <w:name w:val="heading 2"/>
    <w:basedOn w:val="ListParagraph"/>
    <w:next w:val="Normal"/>
    <w:link w:val="Heading2Char"/>
    <w:uiPriority w:val="9"/>
    <w:unhideWhenUsed/>
    <w:qFormat/>
    <w:rsid w:val="00A44E98"/>
    <w:pPr>
      <w:numPr>
        <w:ilvl w:val="1"/>
        <w:numId w:val="4"/>
      </w:numPr>
      <w:spacing w:before="240" w:after="240"/>
      <w:ind w:left="0" w:firstLineChars="0" w:firstLine="0"/>
      <w:outlineLvl w:val="1"/>
    </w:pPr>
    <w:rPr>
      <w:b/>
      <w:bCs/>
      <w:sz w:val="28"/>
      <w:szCs w:val="32"/>
    </w:rPr>
  </w:style>
  <w:style w:type="paragraph" w:styleId="Heading3">
    <w:name w:val="heading 3"/>
    <w:basedOn w:val="Heading1"/>
    <w:next w:val="Normal"/>
    <w:link w:val="Heading3Char"/>
    <w:uiPriority w:val="9"/>
    <w:unhideWhenUsed/>
    <w:qFormat/>
    <w:rsid w:val="00AC540D"/>
    <w:pPr>
      <w:numPr>
        <w:ilvl w:val="2"/>
        <w:numId w:val="5"/>
      </w:numPr>
      <w:spacing w:after="0"/>
      <w:outlineLvl w:val="2"/>
    </w:pPr>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0728ED"/>
    <w:rPr>
      <w:rFonts w:asciiTheme="majorHAnsi" w:eastAsia="黑体" w:hAnsiTheme="majorHAnsi" w:cs="Times New Roman"/>
      <w:sz w:val="20"/>
      <w:szCs w:val="20"/>
    </w:rPr>
  </w:style>
  <w:style w:type="paragraph" w:styleId="ListParagraph">
    <w:name w:val="List Paragraph"/>
    <w:basedOn w:val="Normal"/>
    <w:uiPriority w:val="34"/>
    <w:qFormat/>
    <w:rsid w:val="00F67527"/>
    <w:pPr>
      <w:ind w:firstLineChars="200" w:firstLine="420"/>
    </w:pPr>
  </w:style>
  <w:style w:type="character" w:customStyle="1" w:styleId="Heading1Char">
    <w:name w:val="Heading 1 Char"/>
    <w:basedOn w:val="DefaultParagraphFont"/>
    <w:link w:val="Heading1"/>
    <w:uiPriority w:val="9"/>
    <w:rsid w:val="00F67527"/>
    <w:rPr>
      <w:b/>
      <w:bCs/>
      <w:sz w:val="32"/>
      <w:szCs w:val="36"/>
    </w:rPr>
  </w:style>
  <w:style w:type="character" w:customStyle="1" w:styleId="Heading2Char">
    <w:name w:val="Heading 2 Char"/>
    <w:basedOn w:val="DefaultParagraphFont"/>
    <w:link w:val="Heading2"/>
    <w:uiPriority w:val="9"/>
    <w:rsid w:val="00A44E98"/>
    <w:rPr>
      <w:b/>
      <w:bCs/>
      <w:sz w:val="28"/>
      <w:szCs w:val="32"/>
    </w:rPr>
  </w:style>
  <w:style w:type="character" w:customStyle="1" w:styleId="Heading3Char">
    <w:name w:val="Heading 3 Char"/>
    <w:basedOn w:val="DefaultParagraphFont"/>
    <w:link w:val="Heading3"/>
    <w:uiPriority w:val="9"/>
    <w:rsid w:val="00AC54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118047">
      <w:bodyDiv w:val="1"/>
      <w:marLeft w:val="0"/>
      <w:marRight w:val="0"/>
      <w:marTop w:val="0"/>
      <w:marBottom w:val="0"/>
      <w:divBdr>
        <w:top w:val="none" w:sz="0" w:space="0" w:color="auto"/>
        <w:left w:val="none" w:sz="0" w:space="0" w:color="auto"/>
        <w:bottom w:val="none" w:sz="0" w:space="0" w:color="auto"/>
        <w:right w:val="none" w:sz="0" w:space="0" w:color="auto"/>
      </w:divBdr>
    </w:div>
    <w:div w:id="1016426281">
      <w:bodyDiv w:val="1"/>
      <w:marLeft w:val="0"/>
      <w:marRight w:val="0"/>
      <w:marTop w:val="0"/>
      <w:marBottom w:val="0"/>
      <w:divBdr>
        <w:top w:val="none" w:sz="0" w:space="0" w:color="auto"/>
        <w:left w:val="none" w:sz="0" w:space="0" w:color="auto"/>
        <w:bottom w:val="none" w:sz="0" w:space="0" w:color="auto"/>
        <w:right w:val="none" w:sz="0" w:space="0" w:color="auto"/>
      </w:divBdr>
    </w:div>
    <w:div w:id="1363551017">
      <w:bodyDiv w:val="1"/>
      <w:marLeft w:val="0"/>
      <w:marRight w:val="0"/>
      <w:marTop w:val="0"/>
      <w:marBottom w:val="0"/>
      <w:divBdr>
        <w:top w:val="none" w:sz="0" w:space="0" w:color="auto"/>
        <w:left w:val="none" w:sz="0" w:space="0" w:color="auto"/>
        <w:bottom w:val="none" w:sz="0" w:space="0" w:color="auto"/>
        <w:right w:val="none" w:sz="0" w:space="0" w:color="auto"/>
      </w:divBdr>
    </w:div>
    <w:div w:id="1838878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emf"/><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6399E-0D53-44F4-90AA-7914F2829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2216</TotalTime>
  <Pages>12</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Zeng, Zhiyu</dc:creator>
  <cp:keywords/>
  <dc:description>NE.Ref</dc:description>
  <cp:lastModifiedBy>Zeng, ZY Zhiyu</cp:lastModifiedBy>
  <cp:revision>48</cp:revision>
  <dcterms:created xsi:type="dcterms:W3CDTF">2023-05-12T00:48:00Z</dcterms:created>
  <dcterms:modified xsi:type="dcterms:W3CDTF">2025-01-08T14:54:00Z</dcterms:modified>
</cp:coreProperties>
</file>