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E2D64" w14:textId="55DEDBAA" w:rsidR="001A1CF7" w:rsidRPr="00BA47E4" w:rsidRDefault="00B12315" w:rsidP="00BA47E4">
      <w:pPr>
        <w:pStyle w:val="Heading1"/>
      </w:pPr>
      <w:r w:rsidRPr="00BA47E4">
        <w:rPr>
          <w:rFonts w:hint="eastAsia"/>
        </w:rPr>
        <w:t>交叉设计</w:t>
      </w:r>
    </w:p>
    <w:p w14:paraId="536F750A" w14:textId="52B48D60" w:rsidR="003A3C48" w:rsidRDefault="003A3C48" w:rsidP="007002F4">
      <w:pPr>
        <w:ind w:firstLineChars="200" w:firstLine="420"/>
      </w:pPr>
      <w:r>
        <w:rPr>
          <w:rFonts w:hint="eastAsia"/>
        </w:rPr>
        <w:t>以计量资料2</w:t>
      </w:r>
      <w:r>
        <w:t>x2</w:t>
      </w:r>
      <w:r>
        <w:rPr>
          <w:rFonts w:hint="eastAsia"/>
        </w:rPr>
        <w:t>交叉设计为例，</w:t>
      </w:r>
      <w:r w:rsidR="00FD4D0E">
        <w:rPr>
          <w:rFonts w:hint="eastAsia"/>
        </w:rPr>
        <w:t>有统计学教材认为2x</w:t>
      </w:r>
      <w:r w:rsidR="00FD4D0E">
        <w:t>2</w:t>
      </w:r>
      <w:r w:rsidR="00FD4D0E">
        <w:rPr>
          <w:rFonts w:hint="eastAsia"/>
        </w:rPr>
        <w:t>交叉设计，每个对象接受了两种处理，故样本量可以简单地取平行设计的样本量的一半</w:t>
      </w:r>
      <w:r w:rsidR="00FD4D0E">
        <w:t xml:space="preserve"> </w:t>
      </w:r>
      <w:r w:rsidR="008C509A">
        <w:fldChar w:fldCharType="begin"/>
      </w:r>
      <w:r w:rsidR="00FD4D0E">
        <w:instrText xml:space="preserve"> ADDIN NE.Ref.{3FFE2BF7-62A0-4C50-A362-DDB84609F227}</w:instrText>
      </w:r>
      <w:r w:rsidR="008C509A">
        <w:fldChar w:fldCharType="separate"/>
      </w:r>
      <w:r w:rsidR="009A46F5">
        <w:rPr>
          <w:rFonts w:ascii="等线" w:eastAsia="等线" w:cs="等线"/>
          <w:color w:val="000000"/>
          <w:kern w:val="0"/>
          <w:szCs w:val="21"/>
          <w:vertAlign w:val="superscript"/>
        </w:rPr>
        <w:t>1</w:t>
      </w:r>
      <w:r w:rsidR="008C509A">
        <w:fldChar w:fldCharType="end"/>
      </w:r>
      <w:r w:rsidR="003E0D6F">
        <w:rPr>
          <w:rFonts w:hint="eastAsia"/>
        </w:rPr>
        <w:t>：</w:t>
      </w:r>
    </w:p>
    <w:p w14:paraId="4623AF64" w14:textId="681F0DEA" w:rsidR="003E0D6F" w:rsidRDefault="00BA47E4" w:rsidP="00BA47E4">
      <w:pPr>
        <w:pStyle w:val="Caption"/>
      </w:pPr>
      <w:bookmarkStart w:id="0" w:name="_Ref186473083"/>
      <w:r>
        <w:t>公式</w:t>
      </w:r>
      <w:r>
        <w:t xml:space="preserve"> </w:t>
      </w:r>
      <w:r w:rsidR="001C279E">
        <w:fldChar w:fldCharType="begin"/>
      </w:r>
      <w:r w:rsidR="001C279E">
        <w:instrText xml:space="preserve"> STYLEREF 1 \s </w:instrText>
      </w:r>
      <w:r w:rsidR="001C279E">
        <w:fldChar w:fldCharType="separate"/>
      </w:r>
      <w:r w:rsidR="001C279E">
        <w:rPr>
          <w:noProof/>
        </w:rPr>
        <w:t>8</w:t>
      </w:r>
      <w:r w:rsidR="001C279E">
        <w:fldChar w:fldCharType="end"/>
      </w:r>
      <w:r w:rsidR="001C279E">
        <w:noBreakHyphen/>
      </w:r>
      <w:r w:rsidR="001C279E">
        <w:fldChar w:fldCharType="begin"/>
      </w:r>
      <w:r w:rsidR="001C279E">
        <w:instrText xml:space="preserve"> SEQ </w:instrText>
      </w:r>
      <w:r w:rsidR="001C279E">
        <w:instrText>公式</w:instrText>
      </w:r>
      <w:r w:rsidR="001C279E">
        <w:instrText xml:space="preserve"> \* ARABIC \s 1 </w:instrText>
      </w:r>
      <w:r w:rsidR="001C279E">
        <w:fldChar w:fldCharType="separate"/>
      </w:r>
      <w:r w:rsidR="001C279E">
        <w:rPr>
          <w:noProof/>
        </w:rPr>
        <w:t>1</w:t>
      </w:r>
      <w:r w:rsidR="001C279E">
        <w:fldChar w:fldCharType="end"/>
      </w:r>
      <w:bookmarkEnd w:id="0"/>
      <w:r>
        <w:tab/>
      </w:r>
      <w:r>
        <w:tab/>
      </w:r>
      <m:oMath>
        <m:r>
          <w:rPr>
            <w:rFonts w:ascii="Cambria Math" w:hAnsi="Cambria Math"/>
          </w:rPr>
          <m:t>n=</m:t>
        </m:r>
        <m:f>
          <m:fPr>
            <m:ctrlPr>
              <w:rPr>
                <w:rFonts w:ascii="Cambria Math" w:hAnsi="Cambria Math"/>
              </w:rPr>
            </m:ctrlPr>
          </m:fPr>
          <m:num>
            <m:r>
              <w:rPr>
                <w:rFonts w:ascii="Cambria Math" w:hAnsi="Cambria Math"/>
              </w:rPr>
              <m:t>2</m:t>
            </m:r>
            <m:sSup>
              <m:sSupPr>
                <m:ctrlPr>
                  <w:rPr>
                    <w:rFonts w:ascii="Cambria Math" w:hAnsi="Cambria Math"/>
                    <w:i/>
                  </w:rPr>
                </m:ctrlPr>
              </m:sSupPr>
              <m:e>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hint="eastAsia"/>
                          </w:rPr>
                          <m:t>Z</m:t>
                        </m:r>
                      </m:e>
                      <m:sub>
                        <m:r>
                          <w:rPr>
                            <w:rFonts w:ascii="Cambria Math" w:hAnsi="Cambria Math"/>
                          </w:rPr>
                          <m:t>1-β</m:t>
                        </m:r>
                      </m:sub>
                    </m:sSub>
                  </m:e>
                </m:d>
              </m:e>
              <m:sup>
                <m:r>
                  <w:rPr>
                    <w:rFonts w:ascii="Cambria Math" w:hAnsi="Cambria Math"/>
                  </w:rPr>
                  <m:t>2</m:t>
                </m:r>
              </m:sup>
            </m:sSup>
          </m:num>
          <m:den>
            <m:sSup>
              <m:sSupPr>
                <m:ctrlPr>
                  <w:rPr>
                    <w:rFonts w:ascii="Cambria Math" w:hAnsi="Cambria Math"/>
                    <w:i/>
                  </w:rPr>
                </m:ctrlPr>
              </m:sSupPr>
              <m:e>
                <m:r>
                  <w:rPr>
                    <w:rFonts w:ascii="Cambria Math" w:hAnsi="Cambria Math"/>
                  </w:rPr>
                  <m:t>(</m:t>
                </m:r>
                <m:f>
                  <m:fPr>
                    <m:type m:val="lin"/>
                    <m:ctrlPr>
                      <w:rPr>
                        <w:rFonts w:ascii="Cambria Math" w:hAnsi="Cambria Math"/>
                        <w:i/>
                      </w:rPr>
                    </m:ctrlPr>
                  </m:fPr>
                  <m:num>
                    <m:r>
                      <w:rPr>
                        <w:rFonts w:ascii="Cambria Math" w:hAnsi="Cambria Math"/>
                      </w:rPr>
                      <m:t>δ</m:t>
                    </m:r>
                  </m:num>
                  <m:den>
                    <m:r>
                      <w:rPr>
                        <w:rFonts w:ascii="Cambria Math" w:hAnsi="Cambria Math"/>
                      </w:rPr>
                      <m:t>σ</m:t>
                    </m:r>
                  </m:den>
                </m:f>
                <m:r>
                  <w:rPr>
                    <w:rFonts w:ascii="Cambria Math" w:hAnsi="Cambria Math"/>
                  </w:rPr>
                  <m:t>)</m:t>
                </m:r>
              </m:e>
              <m:sup>
                <m:r>
                  <w:rPr>
                    <w:rFonts w:ascii="Cambria Math" w:hAnsi="Cambria Math"/>
                  </w:rPr>
                  <m:t>2</m:t>
                </m:r>
              </m:sup>
            </m:sSup>
          </m:den>
        </m:f>
      </m:oMath>
    </w:p>
    <w:p w14:paraId="48C24F41" w14:textId="77777777" w:rsidR="003E0D6F" w:rsidRDefault="003E0D6F" w:rsidP="003E0D6F">
      <w:pPr>
        <w:jc w:val="center"/>
      </w:pPr>
    </w:p>
    <w:p w14:paraId="7AFF42D6" w14:textId="44821678" w:rsidR="003E0D6F" w:rsidRDefault="00FD4D0E" w:rsidP="004567E1">
      <w:pPr>
        <w:ind w:firstLine="420"/>
      </w:pPr>
      <w:r>
        <w:rPr>
          <w:rFonts w:hint="eastAsia"/>
        </w:rPr>
        <w:t>有些更是简单地采用了配对设计的样本量计算公式，样本量再减一半</w:t>
      </w:r>
      <w:r>
        <w:fldChar w:fldCharType="begin"/>
      </w:r>
      <w:r>
        <w:instrText xml:space="preserve"> ADDIN NE.Ref.{EB53B2C2-32CA-4E32-8313-C5253D04A0CA}</w:instrText>
      </w:r>
      <w:r>
        <w:fldChar w:fldCharType="separate"/>
      </w:r>
      <w:r w:rsidR="009A46F5">
        <w:rPr>
          <w:rFonts w:ascii="等线" w:eastAsia="等线" w:cs="等线"/>
          <w:color w:val="000000"/>
          <w:kern w:val="0"/>
          <w:szCs w:val="21"/>
          <w:vertAlign w:val="superscript"/>
        </w:rPr>
        <w:t>2</w:t>
      </w:r>
      <w:r>
        <w:fldChar w:fldCharType="end"/>
      </w:r>
      <w:r>
        <w:rPr>
          <w:rFonts w:hint="eastAsia"/>
        </w:rPr>
        <w:t>。</w:t>
      </w:r>
      <w:r w:rsidR="00C957CF">
        <w:rPr>
          <w:rFonts w:hint="eastAsia"/>
        </w:rPr>
        <w:t>但要注意，</w:t>
      </w:r>
      <w:r w:rsidR="00BA47E4">
        <w:fldChar w:fldCharType="begin"/>
      </w:r>
      <w:r w:rsidR="00BA47E4">
        <w:instrText xml:space="preserve"> </w:instrText>
      </w:r>
      <w:r w:rsidR="00BA47E4">
        <w:rPr>
          <w:rFonts w:hint="eastAsia"/>
        </w:rPr>
        <w:instrText>REF _Ref186473083 \h</w:instrText>
      </w:r>
      <w:r w:rsidR="00BA47E4">
        <w:instrText xml:space="preserve"> </w:instrText>
      </w:r>
      <w:r w:rsidR="00BA47E4">
        <w:fldChar w:fldCharType="separate"/>
      </w:r>
      <w:r w:rsidR="00BA47E4">
        <w:t xml:space="preserve">公式 </w:t>
      </w:r>
      <w:r w:rsidR="00BA47E4">
        <w:rPr>
          <w:noProof/>
        </w:rPr>
        <w:t>8</w:t>
      </w:r>
      <w:r w:rsidR="00BA47E4">
        <w:noBreakHyphen/>
      </w:r>
      <w:r w:rsidR="00BA47E4">
        <w:rPr>
          <w:noProof/>
        </w:rPr>
        <w:t>1</w:t>
      </w:r>
      <w:r w:rsidR="00BA47E4">
        <w:fldChar w:fldCharType="end"/>
      </w:r>
      <w:r>
        <w:rPr>
          <w:rFonts w:hint="eastAsia"/>
        </w:rPr>
        <w:t>虽然形式上与</w:t>
      </w:r>
      <w:r w:rsidR="00D466B1">
        <w:rPr>
          <w:rFonts w:hint="eastAsia"/>
        </w:rPr>
        <w:t>之前介绍的</w:t>
      </w:r>
      <w:r>
        <w:rPr>
          <w:rFonts w:hint="eastAsia"/>
        </w:rPr>
        <w:t>平行设计相似，其</w:t>
      </w:r>
      <w:r>
        <w:rPr>
          <w:rFonts w:asciiTheme="minorEastAsia" w:hAnsiTheme="minorEastAsia" w:hint="eastAsia"/>
        </w:rPr>
        <w:t>σ</w:t>
      </w:r>
      <w:r>
        <w:rPr>
          <w:rFonts w:hint="eastAsia"/>
        </w:rPr>
        <w:t>可能是不一样的</w:t>
      </w:r>
      <w:r w:rsidR="00005400">
        <w:rPr>
          <w:rFonts w:hint="eastAsia"/>
        </w:rPr>
        <w:t>。</w:t>
      </w:r>
      <w:r>
        <w:rPr>
          <w:rFonts w:hint="eastAsia"/>
        </w:rPr>
        <w:t>一般来说，交叉设计中，影响终点的因素主要有处理和时期（次序），以及个体间及个体内的变异。</w:t>
      </w:r>
      <w:r w:rsidR="00AA4329">
        <w:rPr>
          <w:rFonts w:hint="eastAsia"/>
        </w:rPr>
        <w:t>通常个体内的</w:t>
      </w:r>
      <w:r>
        <w:rPr>
          <w:rFonts w:hint="eastAsia"/>
        </w:rPr>
        <w:t>变</w:t>
      </w:r>
      <w:r w:rsidR="00AA4329">
        <w:rPr>
          <w:rFonts w:hint="eastAsia"/>
        </w:rPr>
        <w:t>异小于个体间的</w:t>
      </w:r>
      <w:r>
        <w:rPr>
          <w:rFonts w:hint="eastAsia"/>
        </w:rPr>
        <w:t>变</w:t>
      </w:r>
      <w:r w:rsidR="00AA4329">
        <w:rPr>
          <w:rFonts w:hint="eastAsia"/>
        </w:rPr>
        <w:t>异，样</w:t>
      </w:r>
      <w:r w:rsidR="003E0D6F">
        <w:rPr>
          <w:rFonts w:hint="eastAsia"/>
        </w:rPr>
        <w:t>本量计算公式</w:t>
      </w:r>
      <w:r>
        <w:rPr>
          <w:rFonts w:hint="eastAsia"/>
        </w:rPr>
        <w:t>宜表达</w:t>
      </w:r>
      <w:r w:rsidR="003E0D6F">
        <w:rPr>
          <w:rFonts w:hint="eastAsia"/>
        </w:rPr>
        <w:t>为</w:t>
      </w:r>
      <w:r w:rsidR="00DE6DF5">
        <w:fldChar w:fldCharType="begin"/>
      </w:r>
      <w:r>
        <w:instrText xml:space="preserve"> ADDIN NE.Ref.{84AB9F79-C355-494E-A92F-4C106B8E4D22}</w:instrText>
      </w:r>
      <w:r w:rsidR="00DE6DF5">
        <w:fldChar w:fldCharType="separate"/>
      </w:r>
      <w:r w:rsidR="009A46F5">
        <w:rPr>
          <w:rFonts w:ascii="等线" w:eastAsia="等线" w:cs="等线"/>
          <w:color w:val="000000"/>
          <w:kern w:val="0"/>
          <w:szCs w:val="21"/>
          <w:vertAlign w:val="superscript"/>
        </w:rPr>
        <w:t>3</w:t>
      </w:r>
      <w:r w:rsidR="00DE6DF5">
        <w:fldChar w:fldCharType="end"/>
      </w:r>
      <w:r w:rsidR="003E0D6F">
        <w:rPr>
          <w:rFonts w:hint="eastAsia"/>
        </w:rPr>
        <w:t>：</w:t>
      </w:r>
    </w:p>
    <w:p w14:paraId="0A2909AB" w14:textId="1A564272" w:rsidR="003A3C48" w:rsidRDefault="00BA47E4" w:rsidP="00BA47E4">
      <w:pPr>
        <w:pStyle w:val="Caption"/>
      </w:pPr>
      <w:r>
        <w:t>公式</w:t>
      </w:r>
      <w:r>
        <w:t xml:space="preserve"> </w:t>
      </w:r>
      <w:r w:rsidR="001C279E">
        <w:fldChar w:fldCharType="begin"/>
      </w:r>
      <w:r w:rsidR="001C279E">
        <w:instrText xml:space="preserve"> STYLEREF 1 \s </w:instrText>
      </w:r>
      <w:r w:rsidR="001C279E">
        <w:fldChar w:fldCharType="separate"/>
      </w:r>
      <w:r w:rsidR="001C279E">
        <w:rPr>
          <w:noProof/>
        </w:rPr>
        <w:t>8</w:t>
      </w:r>
      <w:r w:rsidR="001C279E">
        <w:fldChar w:fldCharType="end"/>
      </w:r>
      <w:r w:rsidR="001C279E">
        <w:noBreakHyphen/>
      </w:r>
      <w:r w:rsidR="001C279E">
        <w:fldChar w:fldCharType="begin"/>
      </w:r>
      <w:r w:rsidR="001C279E">
        <w:instrText xml:space="preserve"> SEQ </w:instrText>
      </w:r>
      <w:r w:rsidR="001C279E">
        <w:instrText>公式</w:instrText>
      </w:r>
      <w:r w:rsidR="001C279E">
        <w:instrText xml:space="preserve"> \* ARABIC \s 1 </w:instrText>
      </w:r>
      <w:r w:rsidR="001C279E">
        <w:fldChar w:fldCharType="separate"/>
      </w:r>
      <w:r w:rsidR="001C279E">
        <w:rPr>
          <w:noProof/>
        </w:rPr>
        <w:t>2</w:t>
      </w:r>
      <w:r w:rsidR="001C279E">
        <w:fldChar w:fldCharType="end"/>
      </w:r>
      <w:bookmarkStart w:id="1" w:name="_Hlk137932002"/>
      <w:r>
        <w:tab/>
      </w:r>
      <w:r>
        <w:tab/>
      </w:r>
      <m:oMath>
        <m:r>
          <w:rPr>
            <w:rFonts w:ascii="Cambria Math" w:hAnsi="Cambria Math"/>
          </w:rPr>
          <m:t>n=</m:t>
        </m:r>
        <m:f>
          <m:fPr>
            <m:ctrlPr>
              <w:rPr>
                <w:rFonts w:ascii="Cambria Math" w:hAnsi="Cambria Math"/>
              </w:rPr>
            </m:ctrlPr>
          </m:fPr>
          <m:num>
            <m:r>
              <w:rPr>
                <w:rFonts w:ascii="Cambria Math" w:hAnsi="Cambria Math"/>
              </w:rPr>
              <m:t>2</m:t>
            </m:r>
            <m:sSup>
              <m:sSupPr>
                <m:ctrlPr>
                  <w:rPr>
                    <w:rFonts w:ascii="Cambria Math" w:hAnsi="Cambria Math"/>
                    <w:i/>
                  </w:rPr>
                </m:ctrlPr>
              </m:sSupPr>
              <m:e>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hint="eastAsia"/>
                          </w:rPr>
                          <m:t>Z</m:t>
                        </m:r>
                      </m:e>
                      <m:sub>
                        <m:r>
                          <w:rPr>
                            <w:rFonts w:ascii="Cambria Math" w:hAnsi="Cambria Math"/>
                          </w:rPr>
                          <m:t>1-β</m:t>
                        </m:r>
                      </m:sub>
                    </m:sSub>
                  </m:e>
                </m:d>
              </m:e>
              <m:sup>
                <m:r>
                  <w:rPr>
                    <w:rFonts w:ascii="Cambria Math" w:hAnsi="Cambria Math"/>
                  </w:rPr>
                  <m:t>2</m:t>
                </m:r>
              </m:sup>
            </m:sSup>
          </m:num>
          <m:den>
            <m:sSup>
              <m:sSupPr>
                <m:ctrlPr>
                  <w:rPr>
                    <w:rFonts w:ascii="Cambria Math" w:hAnsi="Cambria Math"/>
                    <w:i/>
                  </w:rPr>
                </m:ctrlPr>
              </m:sSupPr>
              <m:e>
                <m:r>
                  <w:rPr>
                    <w:rFonts w:ascii="Cambria Math" w:hAnsi="Cambria Math"/>
                  </w:rPr>
                  <m:t>(</m:t>
                </m:r>
                <m:f>
                  <m:fPr>
                    <m:type m:val="lin"/>
                    <m:ctrlPr>
                      <w:rPr>
                        <w:rFonts w:ascii="Cambria Math" w:hAnsi="Cambria Math"/>
                        <w:i/>
                      </w:rPr>
                    </m:ctrlPr>
                  </m:fPr>
                  <m:num>
                    <m:r>
                      <w:rPr>
                        <w:rFonts w:ascii="Cambria Math" w:hAnsi="Cambria Math"/>
                      </w:rPr>
                      <m:t>δ</m:t>
                    </m:r>
                  </m:num>
                  <m:den>
                    <m:sSub>
                      <m:sSubPr>
                        <m:ctrlPr>
                          <w:rPr>
                            <w:rFonts w:ascii="Cambria Math" w:hAnsi="Cambria Math"/>
                            <w:i/>
                          </w:rPr>
                        </m:ctrlPr>
                      </m:sSubPr>
                      <m:e>
                        <m:r>
                          <w:rPr>
                            <w:rFonts w:ascii="Cambria Math" w:hAnsi="Cambria Math"/>
                          </w:rPr>
                          <m:t>σ</m:t>
                        </m:r>
                      </m:e>
                      <m:sub>
                        <m:r>
                          <w:rPr>
                            <w:rFonts w:ascii="Cambria Math" w:hAnsi="Cambria Math" w:hint="eastAsia"/>
                          </w:rPr>
                          <m:t>w</m:t>
                        </m:r>
                      </m:sub>
                    </m:sSub>
                  </m:den>
                </m:f>
                <m:r>
                  <w:rPr>
                    <w:rFonts w:ascii="Cambria Math" w:hAnsi="Cambria Math"/>
                  </w:rPr>
                  <m:t>)</m:t>
                </m:r>
              </m:e>
              <m:sup>
                <m:r>
                  <w:rPr>
                    <w:rFonts w:ascii="Cambria Math" w:hAnsi="Cambria Math"/>
                  </w:rPr>
                  <m:t>2</m:t>
                </m:r>
              </m:sup>
            </m:sSup>
          </m:den>
        </m:f>
      </m:oMath>
      <w:bookmarkEnd w:id="1"/>
    </w:p>
    <w:p w14:paraId="739D292F" w14:textId="77777777" w:rsidR="001C279E" w:rsidRPr="001C279E" w:rsidRDefault="001C279E" w:rsidP="001C279E">
      <w:pPr>
        <w:rPr>
          <w:rFonts w:hint="eastAsia"/>
        </w:rPr>
      </w:pPr>
    </w:p>
    <w:p w14:paraId="79E1BED3" w14:textId="20FB8332" w:rsidR="001C279E" w:rsidRDefault="001C279E" w:rsidP="001C279E">
      <w:pPr>
        <w:ind w:firstLine="420"/>
      </w:pPr>
      <w:r>
        <w:rPr>
          <w:rFonts w:hint="eastAsia"/>
        </w:rPr>
        <w:t>其中：</w:t>
      </w:r>
    </w:p>
    <w:p w14:paraId="2627CCC8" w14:textId="68FD8E2E" w:rsidR="003A3C48" w:rsidRDefault="001C279E" w:rsidP="001C279E">
      <w:pPr>
        <w:pStyle w:val="Caption"/>
      </w:pPr>
      <w:r>
        <w:t>公式</w:t>
      </w:r>
      <w:r>
        <w:t xml:space="preserve"> </w:t>
      </w:r>
      <w:r>
        <w:fldChar w:fldCharType="begin"/>
      </w:r>
      <w:r>
        <w:instrText xml:space="preserve"> STYLEREF 1 \s </w:instrText>
      </w:r>
      <w:r>
        <w:fldChar w:fldCharType="separate"/>
      </w:r>
      <w:r>
        <w:rPr>
          <w:noProof/>
        </w:rPr>
        <w:t>8</w:t>
      </w:r>
      <w:r>
        <w:fldChar w:fldCharType="end"/>
      </w:r>
      <w:r>
        <w:noBreakHyphen/>
      </w:r>
      <w:r>
        <w:fldChar w:fldCharType="begin"/>
      </w:r>
      <w:r>
        <w:instrText xml:space="preserve"> SEQ </w:instrText>
      </w:r>
      <w:r>
        <w:instrText>公式</w:instrText>
      </w:r>
      <w:r>
        <w:instrText xml:space="preserve"> \* ARABIC \s 1 </w:instrText>
      </w:r>
      <w:r>
        <w:fldChar w:fldCharType="separate"/>
      </w:r>
      <w:r>
        <w:rPr>
          <w:noProof/>
        </w:rPr>
        <w:t>3</w:t>
      </w:r>
      <w:r>
        <w:fldChar w:fldCharType="end"/>
      </w:r>
      <w:bookmarkStart w:id="2" w:name="_Hlk137932338"/>
      <w:r>
        <w:tab/>
      </w:r>
      <w:r>
        <w:tab/>
      </w:r>
      <m:oMath>
        <m:sSubSup>
          <m:sSubSupPr>
            <m:ctrlPr>
              <w:rPr>
                <w:rFonts w:ascii="Cambria Math" w:hAnsi="Cambria Math"/>
                <w:i/>
              </w:rPr>
            </m:ctrlPr>
          </m:sSubSupPr>
          <m:e>
            <m:r>
              <w:rPr>
                <w:rFonts w:ascii="Cambria Math" w:hAnsi="Cambria Math"/>
              </w:rPr>
              <m:t>σ</m:t>
            </m:r>
          </m:e>
          <m:sub>
            <m:r>
              <w:rPr>
                <w:rFonts w:ascii="Cambria Math" w:hAnsi="Cambria Math" w:hint="eastAsia"/>
              </w:rPr>
              <m:t>w</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(1-ρ)</m:t>
        </m:r>
      </m:oMath>
      <w:bookmarkEnd w:id="2"/>
      <w:r w:rsidR="003E0D6F">
        <w:rPr>
          <w:rFonts w:hint="eastAsia"/>
        </w:rPr>
        <w:t>（</w:t>
      </w:r>
      <w:r w:rsidR="003E0D6F">
        <w:rPr>
          <w:rFonts w:hint="eastAsia"/>
        </w:rPr>
        <w:t>1</w:t>
      </w:r>
      <w:r w:rsidR="003E0D6F">
        <w:t>0-3</w:t>
      </w:r>
      <w:r w:rsidR="003E0D6F">
        <w:rPr>
          <w:rFonts w:hint="eastAsia"/>
        </w:rPr>
        <w:t>）</w:t>
      </w:r>
    </w:p>
    <w:p w14:paraId="08DA66D5" w14:textId="77777777" w:rsidR="00B905A2" w:rsidRDefault="00B905A2" w:rsidP="003E0D6F">
      <w:pPr>
        <w:jc w:val="center"/>
      </w:pPr>
    </w:p>
    <w:p w14:paraId="12C31D94" w14:textId="1F33B313" w:rsidR="003E0D6F" w:rsidRDefault="001C279E" w:rsidP="00B905A2">
      <w:pPr>
        <w:ind w:firstLineChars="200" w:firstLine="420"/>
      </w:pPr>
      <w:r>
        <w:rPr>
          <w:rFonts w:asciiTheme="minorEastAsia" w:hAnsiTheme="minorEastAsia" w:hint="eastAsia"/>
        </w:rPr>
        <w:t>这里</w:t>
      </w:r>
      <m:oMath>
        <m:sSub>
          <m:sSubPr>
            <m:ctrlPr>
              <w:rPr>
                <w:rFonts w:ascii="Cambria Math" w:hAnsi="Cambria Math"/>
                <w:i/>
              </w:rPr>
            </m:ctrlPr>
          </m:sSubPr>
          <m:e>
            <m:r>
              <w:rPr>
                <w:rFonts w:ascii="Cambria Math" w:hAnsi="Cambria Math"/>
              </w:rPr>
              <m:t>σ</m:t>
            </m:r>
          </m:e>
          <m:sub>
            <m:r>
              <w:rPr>
                <w:rFonts w:ascii="Cambria Math" w:hAnsi="Cambria Math" w:hint="eastAsia"/>
              </w:rPr>
              <m:t>w</m:t>
            </m:r>
          </m:sub>
        </m:sSub>
      </m:oMath>
      <w:r w:rsidR="00E2284F">
        <w:rPr>
          <w:rFonts w:asciiTheme="minorEastAsia" w:hAnsiTheme="minorEastAsia" w:hint="eastAsia"/>
        </w:rPr>
        <w:t>为个体内标准差，</w:t>
      </w:r>
      <w:r w:rsidR="00B905A2">
        <w:rPr>
          <w:rFonts w:asciiTheme="minorEastAsia" w:hAnsiTheme="minorEastAsia" w:hint="eastAsia"/>
        </w:rPr>
        <w:t>ρ为</w:t>
      </w:r>
      <w:r w:rsidR="00AA4329">
        <w:rPr>
          <w:rFonts w:hint="eastAsia"/>
        </w:rPr>
        <w:t>同一个体</w:t>
      </w:r>
      <w:r>
        <w:rPr>
          <w:rFonts w:hint="eastAsia"/>
        </w:rPr>
        <w:t>的</w:t>
      </w:r>
      <w:r>
        <w:rPr>
          <w:rFonts w:hint="eastAsia"/>
        </w:rPr>
        <w:t>研究终点</w:t>
      </w:r>
      <w:r w:rsidR="00AA4329">
        <w:rPr>
          <w:rFonts w:hint="eastAsia"/>
        </w:rPr>
        <w:t>在</w:t>
      </w:r>
      <w:r w:rsidR="00B905A2">
        <w:rPr>
          <w:rFonts w:hint="eastAsia"/>
        </w:rPr>
        <w:t>两个时期</w:t>
      </w:r>
      <w:r w:rsidR="00AA4329">
        <w:rPr>
          <w:rFonts w:hint="eastAsia"/>
        </w:rPr>
        <w:t>间</w:t>
      </w:r>
      <w:r w:rsidR="00B905A2">
        <w:rPr>
          <w:rFonts w:hint="eastAsia"/>
        </w:rPr>
        <w:t>的相关系数。</w:t>
      </w:r>
      <w:r w:rsidR="00D466B1">
        <w:rPr>
          <w:rFonts w:hint="eastAsia"/>
        </w:rPr>
        <w:t>可以看出，</w:t>
      </w:r>
      <w:r>
        <w:rPr>
          <w:rFonts w:hint="eastAsia"/>
        </w:rPr>
        <w:t>即使同一个体的研究终点在两个时期间</w:t>
      </w:r>
      <w:r>
        <w:rPr>
          <w:rFonts w:hint="eastAsia"/>
        </w:rPr>
        <w:t>的结果不相关，即</w:t>
      </w:r>
      <w:r>
        <w:rPr>
          <w:rFonts w:asciiTheme="minorEastAsia" w:hAnsiTheme="minorEastAsia" w:hint="eastAsia"/>
        </w:rPr>
        <w:t>ρ=</w:t>
      </w:r>
      <w:r>
        <w:rPr>
          <w:rFonts w:asciiTheme="minorEastAsia" w:hAnsiTheme="minorEastAsia"/>
        </w:rPr>
        <w:t>0</w:t>
      </w:r>
      <w:r>
        <w:rPr>
          <w:rFonts w:asciiTheme="minorEastAsia" w:hAnsiTheme="minorEastAsia" w:hint="eastAsia"/>
        </w:rPr>
        <w:t>，</w:t>
      </w:r>
      <w:r w:rsidR="00D466B1">
        <w:rPr>
          <w:rFonts w:hint="eastAsia"/>
        </w:rPr>
        <w:t>交叉设计</w:t>
      </w:r>
      <w:r>
        <w:rPr>
          <w:rFonts w:hint="eastAsia"/>
        </w:rPr>
        <w:t>也</w:t>
      </w:r>
      <w:r w:rsidR="00D466B1">
        <w:rPr>
          <w:rFonts w:hint="eastAsia"/>
        </w:rPr>
        <w:t>可以节约一半的样本量</w:t>
      </w:r>
      <w:r>
        <w:rPr>
          <w:rFonts w:hint="eastAsia"/>
        </w:rPr>
        <w:t>；而</w:t>
      </w:r>
      <w:r w:rsidR="00C0607D">
        <w:rPr>
          <w:rFonts w:asciiTheme="minorEastAsia" w:hAnsiTheme="minorEastAsia" w:hint="eastAsia"/>
        </w:rPr>
        <w:t>ρ=</w:t>
      </w:r>
      <w:r w:rsidR="00C0607D">
        <w:rPr>
          <w:rFonts w:asciiTheme="minorEastAsia" w:hAnsiTheme="minorEastAsia"/>
        </w:rPr>
        <w:t>0.5</w:t>
      </w:r>
      <w:r w:rsidR="00C0607D">
        <w:rPr>
          <w:rFonts w:asciiTheme="minorEastAsia" w:hAnsiTheme="minorEastAsia" w:hint="eastAsia"/>
        </w:rPr>
        <w:t>时，样本量为平行设计的1/</w:t>
      </w:r>
      <w:r w:rsidR="00C0607D">
        <w:rPr>
          <w:rFonts w:asciiTheme="minorEastAsia" w:hAnsiTheme="minorEastAsia"/>
        </w:rPr>
        <w:t>4</w:t>
      </w:r>
      <w:r w:rsidR="00754C19">
        <w:rPr>
          <w:rFonts w:asciiTheme="minorEastAsia" w:hAnsiTheme="minorEastAsia" w:hint="eastAsia"/>
        </w:rPr>
        <w:t>，这与配对设计的结果一致</w:t>
      </w:r>
      <w:r w:rsidR="00C0607D">
        <w:rPr>
          <w:rFonts w:asciiTheme="minorEastAsia" w:hAnsiTheme="minorEastAsia" w:hint="eastAsia"/>
        </w:rPr>
        <w:t>。</w:t>
      </w:r>
    </w:p>
    <w:p w14:paraId="74BC02C4" w14:textId="13EE32F8" w:rsidR="007002F4" w:rsidRDefault="00B905A2" w:rsidP="00B12315">
      <w:r>
        <w:rPr>
          <w:rFonts w:hint="eastAsia"/>
        </w:rPr>
        <w:t xml:space="preserve"> </w:t>
      </w:r>
      <w:r>
        <w:t xml:space="preserve">   </w:t>
      </w:r>
      <w:r>
        <w:rPr>
          <w:rFonts w:hint="eastAsia"/>
        </w:rPr>
        <w:t>在生物等效性研究中常用的为2x</w:t>
      </w:r>
      <w:r>
        <w:t>2</w:t>
      </w:r>
      <w:r>
        <w:rPr>
          <w:rFonts w:hint="eastAsia"/>
        </w:rPr>
        <w:t>m设计，可以参考Chow等</w:t>
      </w:r>
      <w:r w:rsidR="00D466B1">
        <w:rPr>
          <w:rFonts w:hint="eastAsia"/>
        </w:rPr>
        <w:t>专著</w:t>
      </w:r>
      <w:r w:rsidR="00D466B1">
        <w:fldChar w:fldCharType="begin"/>
      </w:r>
      <w:r w:rsidR="00D466B1">
        <w:instrText xml:space="preserve"> ADDIN NE.Ref.{D9CC96AD-41BC-40DD-BA48-EF425B70974C}</w:instrText>
      </w:r>
      <w:r w:rsidR="00D466B1">
        <w:fldChar w:fldCharType="separate"/>
      </w:r>
      <w:r w:rsidR="009A46F5">
        <w:rPr>
          <w:rFonts w:ascii="等线" w:eastAsia="等线" w:cs="等线"/>
          <w:color w:val="000000"/>
          <w:kern w:val="0"/>
          <w:szCs w:val="21"/>
          <w:vertAlign w:val="superscript"/>
        </w:rPr>
        <w:t>4</w:t>
      </w:r>
      <w:r w:rsidR="00D466B1">
        <w:fldChar w:fldCharType="end"/>
      </w:r>
      <w:r>
        <w:rPr>
          <w:rFonts w:hint="eastAsia"/>
        </w:rPr>
        <w:t>，本书不作讨论。</w:t>
      </w:r>
    </w:p>
    <w:p w14:paraId="4AEF9AB8" w14:textId="78690A89" w:rsidR="00B12315" w:rsidRPr="001C279E" w:rsidRDefault="001C279E" w:rsidP="001C279E">
      <w:pPr>
        <w:pStyle w:val="Heading2"/>
      </w:pPr>
      <w:r w:rsidRPr="001C279E">
        <w:t>交叉设计样本量计算实例</w:t>
      </w:r>
    </w:p>
    <w:p w14:paraId="6D6B5F5C" w14:textId="45F75CEB" w:rsidR="009A46F5" w:rsidRDefault="001C279E" w:rsidP="005A1343">
      <w:pPr>
        <w:ind w:firstLineChars="200" w:firstLine="420"/>
      </w:pPr>
      <w:r>
        <w:t xml:space="preserve">例 </w:t>
      </w:r>
      <w:r w:rsidR="00F76309">
        <w:fldChar w:fldCharType="begin"/>
      </w:r>
      <w:r w:rsidR="00F76309">
        <w:instrText xml:space="preserve"> STYLEREF 1 \s </w:instrText>
      </w:r>
      <w:r w:rsidR="00F76309">
        <w:fldChar w:fldCharType="separate"/>
      </w:r>
      <w:r w:rsidR="00F76309">
        <w:rPr>
          <w:noProof/>
        </w:rPr>
        <w:t>8</w:t>
      </w:r>
      <w:r w:rsidR="00F76309">
        <w:fldChar w:fldCharType="end"/>
      </w:r>
      <w:r w:rsidR="00F76309">
        <w:noBreakHyphen/>
      </w:r>
      <w:r w:rsidR="00F76309">
        <w:fldChar w:fldCharType="begin"/>
      </w:r>
      <w:r w:rsidR="00F76309">
        <w:instrText xml:space="preserve"> SEQ 例 \* ARABIC \s 1 </w:instrText>
      </w:r>
      <w:r w:rsidR="00F76309">
        <w:fldChar w:fldCharType="separate"/>
      </w:r>
      <w:r w:rsidR="00F76309">
        <w:rPr>
          <w:noProof/>
        </w:rPr>
        <w:t>1</w:t>
      </w:r>
      <w:r w:rsidR="00F76309">
        <w:fldChar w:fldCharType="end"/>
      </w:r>
      <w:r w:rsidR="00B12315">
        <w:t xml:space="preserve"> </w:t>
      </w:r>
      <w:r w:rsidR="00EA7333">
        <w:rPr>
          <w:rFonts w:hint="eastAsia"/>
        </w:rPr>
        <w:t>QUADUAL</w:t>
      </w:r>
      <w:r w:rsidR="00CD2883">
        <w:rPr>
          <w:rFonts w:hint="eastAsia"/>
        </w:rPr>
        <w:t>研究</w:t>
      </w:r>
      <w:r w:rsidR="00EA7333">
        <w:fldChar w:fldCharType="begin"/>
      </w:r>
      <w:r w:rsidR="00FD4D0E">
        <w:instrText xml:space="preserve"> ADDIN NE.Ref.{AC1C9DF5-EE41-446A-A355-3286E6BDC3F3}</w:instrText>
      </w:r>
      <w:r w:rsidR="00EA7333">
        <w:fldChar w:fldCharType="separate"/>
      </w:r>
      <w:r w:rsidR="009A46F5">
        <w:rPr>
          <w:rFonts w:ascii="等线" w:eastAsia="等线" w:cs="等线"/>
          <w:color w:val="000000"/>
          <w:kern w:val="0"/>
          <w:szCs w:val="21"/>
          <w:vertAlign w:val="superscript"/>
        </w:rPr>
        <w:t>5</w:t>
      </w:r>
      <w:r w:rsidR="00EA7333">
        <w:fldChar w:fldCharType="end"/>
      </w:r>
      <w:r w:rsidR="00CD2883">
        <w:rPr>
          <w:rFonts w:hint="eastAsia"/>
        </w:rPr>
        <w:t>拟评价四联半量降压方案是否优于标准两联的方案，主要终点为2</w:t>
      </w:r>
      <w:r w:rsidR="00CD2883">
        <w:t>4</w:t>
      </w:r>
      <w:r w:rsidR="00CD2883">
        <w:rPr>
          <w:rFonts w:hint="eastAsia"/>
        </w:rPr>
        <w:t>h平均收缩压降幅，</w:t>
      </w:r>
      <w:r w:rsidR="00D466B1">
        <w:rPr>
          <w:rFonts w:hint="eastAsia"/>
        </w:rPr>
        <w:t>2X</w:t>
      </w:r>
      <w:r w:rsidR="00D466B1">
        <w:t>2</w:t>
      </w:r>
      <w:r w:rsidR="00D466B1">
        <w:rPr>
          <w:rFonts w:hint="eastAsia"/>
        </w:rPr>
        <w:t>交叉设计，</w:t>
      </w:r>
      <w:r w:rsidR="00CD2883">
        <w:rPr>
          <w:rFonts w:hint="eastAsia"/>
        </w:rPr>
        <w:t>预期两组差异为</w:t>
      </w:r>
      <w:r w:rsidR="00CD2883" w:rsidRPr="00CD2883">
        <w:t>6 ± 15 mmHg</w:t>
      </w:r>
      <w:r w:rsidR="00CD2883">
        <w:rPr>
          <w:rFonts w:hint="eastAsia"/>
        </w:rPr>
        <w:t>，考虑2</w:t>
      </w:r>
      <w:r w:rsidR="00CD2883">
        <w:t>0%</w:t>
      </w:r>
      <w:r w:rsidR="00CD2883">
        <w:rPr>
          <w:rFonts w:hint="eastAsia"/>
        </w:rPr>
        <w:t>的脱落率</w:t>
      </w:r>
      <w:r w:rsidR="008C358D">
        <w:rPr>
          <w:rFonts w:hint="eastAsia"/>
        </w:rPr>
        <w:t>及区组随机因素</w:t>
      </w:r>
      <w:r w:rsidR="00CD2883">
        <w:rPr>
          <w:rFonts w:hint="eastAsia"/>
        </w:rPr>
        <w:t>，</w:t>
      </w:r>
      <w:r w:rsidR="00D466B1">
        <w:rPr>
          <w:rFonts w:hint="eastAsia"/>
        </w:rPr>
        <w:t>则</w:t>
      </w:r>
      <w:r w:rsidR="00CD2883">
        <w:rPr>
          <w:rFonts w:hint="eastAsia"/>
        </w:rPr>
        <w:t>9</w:t>
      </w:r>
      <w:r w:rsidR="00CD2883">
        <w:t>0</w:t>
      </w:r>
      <w:r w:rsidR="00CD2883">
        <w:rPr>
          <w:rFonts w:hint="eastAsia"/>
        </w:rPr>
        <w:t>例患者可提供9</w:t>
      </w:r>
      <w:r w:rsidR="00CD2883">
        <w:t>0%</w:t>
      </w:r>
      <w:r w:rsidR="00CD2883">
        <w:rPr>
          <w:rFonts w:hint="eastAsia"/>
        </w:rPr>
        <w:t>的检验效能（双侧</w:t>
      </w:r>
      <w:r w:rsidR="00CD2883">
        <w:rPr>
          <w:rFonts w:asciiTheme="minorEastAsia" w:hAnsiTheme="minorEastAsia" w:hint="eastAsia"/>
        </w:rPr>
        <w:t>α</w:t>
      </w:r>
      <w:r w:rsidR="00CD2883">
        <w:rPr>
          <w:rFonts w:hint="eastAsia"/>
        </w:rPr>
        <w:t>=</w:t>
      </w:r>
      <w:r w:rsidR="00CD2883">
        <w:t>0.05</w:t>
      </w:r>
      <w:r w:rsidR="00CD2883">
        <w:rPr>
          <w:rFonts w:hint="eastAsia"/>
        </w:rPr>
        <w:t>）。</w:t>
      </w:r>
      <w:r w:rsidR="00276ED0">
        <w:rPr>
          <w:rFonts w:hint="eastAsia"/>
        </w:rPr>
        <w:t>该研究的统计分析计划论文</w:t>
      </w:r>
      <w:r w:rsidR="009A46F5">
        <w:fldChar w:fldCharType="begin"/>
      </w:r>
      <w:r w:rsidR="009A46F5">
        <w:instrText xml:space="preserve"> ADDIN NE.Ref.{A326E0FA-2D60-4A7E-991F-133CF35D2B18}</w:instrText>
      </w:r>
      <w:r w:rsidR="009A46F5">
        <w:fldChar w:fldCharType="separate"/>
      </w:r>
      <w:r w:rsidR="009A46F5">
        <w:rPr>
          <w:rFonts w:ascii="等线" w:eastAsia="等线" w:cs="等线"/>
          <w:color w:val="000000"/>
          <w:kern w:val="0"/>
          <w:szCs w:val="21"/>
          <w:vertAlign w:val="superscript"/>
        </w:rPr>
        <w:t>1</w:t>
      </w:r>
      <w:r w:rsidR="009A46F5">
        <w:fldChar w:fldCharType="end"/>
      </w:r>
      <w:r w:rsidR="00276ED0">
        <w:rPr>
          <w:rFonts w:hint="eastAsia"/>
        </w:rPr>
        <w:t>提供了进一步的信息，样本量计算公式为：</w:t>
      </w:r>
    </w:p>
    <w:p w14:paraId="5F383445" w14:textId="3A80773E" w:rsidR="00B12315" w:rsidRDefault="009A46F5" w:rsidP="005A1343">
      <w:pPr>
        <w:ind w:firstLineChars="200" w:firstLine="420"/>
      </w:pPr>
      <w:r w:rsidRPr="009A46F5">
        <w:drawing>
          <wp:inline distT="0" distB="0" distL="0" distR="0" wp14:anchorId="7CAA87A7" wp14:editId="4E7145E4">
            <wp:extent cx="1236784" cy="440769"/>
            <wp:effectExtent l="0" t="0" r="1905" b="0"/>
            <wp:docPr id="1188943441" name="Picture 1" descr="A math equation with a plus and t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43441" name="Picture 1" descr="A math equation with a plus and tz&#10;&#10;Description automatically generated"/>
                    <pic:cNvPicPr/>
                  </pic:nvPicPr>
                  <pic:blipFill>
                    <a:blip r:embed="rId6"/>
                    <a:stretch>
                      <a:fillRect/>
                    </a:stretch>
                  </pic:blipFill>
                  <pic:spPr>
                    <a:xfrm>
                      <a:off x="0" y="0"/>
                      <a:ext cx="1243554" cy="443182"/>
                    </a:xfrm>
                    <a:prstGeom prst="rect">
                      <a:avLst/>
                    </a:prstGeom>
                  </pic:spPr>
                </pic:pic>
              </a:graphicData>
            </a:graphic>
          </wp:inline>
        </w:drawing>
      </w:r>
    </w:p>
    <w:p w14:paraId="28B2E749" w14:textId="373AD8B7" w:rsidR="009A46F5" w:rsidRPr="009A46F5" w:rsidRDefault="009A46F5" w:rsidP="005A1343">
      <w:pPr>
        <w:ind w:firstLineChars="200" w:firstLine="420"/>
        <w:rPr>
          <w:rFonts w:hint="eastAsia"/>
        </w:rPr>
      </w:pPr>
      <w:r>
        <w:rPr>
          <w:rFonts w:hint="eastAsia"/>
        </w:rPr>
        <w:t>计算结果为66。同时使用PASS软件计算的结果为68，取较大值68，考虑脱落后为85，再考虑区组随机因素，最终样本量定为90，每组45。</w:t>
      </w:r>
    </w:p>
    <w:p w14:paraId="56A58972" w14:textId="43BD3D5D" w:rsidR="00CD2883" w:rsidRDefault="00754C19" w:rsidP="00CD2883">
      <w:pPr>
        <w:ind w:firstLineChars="200" w:firstLine="420"/>
      </w:pPr>
      <w:r>
        <w:rPr>
          <w:rFonts w:hint="eastAsia"/>
        </w:rPr>
        <w:t>Excel表平行设计两组均数比较的</w:t>
      </w:r>
      <w:r w:rsidR="00CD2883">
        <w:rPr>
          <w:rFonts w:hint="eastAsia"/>
        </w:rPr>
        <w:t>样本量为2</w:t>
      </w:r>
      <w:r w:rsidR="00CD2883">
        <w:t>66</w:t>
      </w:r>
      <w:r w:rsidR="00B256D3">
        <w:rPr>
          <w:rFonts w:hint="eastAsia"/>
        </w:rPr>
        <w:t>（减半为1</w:t>
      </w:r>
      <w:r w:rsidR="00B256D3">
        <w:t>33</w:t>
      </w:r>
      <w:r w:rsidR="00B256D3">
        <w:rPr>
          <w:rFonts w:hint="eastAsia"/>
        </w:rPr>
        <w:t>）</w:t>
      </w:r>
      <w:r w:rsidR="00197307">
        <w:rPr>
          <w:rFonts w:hint="eastAsia"/>
        </w:rPr>
        <w:t>，</w:t>
      </w:r>
      <w:r>
        <w:rPr>
          <w:rFonts w:hint="eastAsia"/>
        </w:rPr>
        <w:t>而配对设计样本量为6</w:t>
      </w:r>
      <w:r>
        <w:t>8</w:t>
      </w:r>
      <w:r w:rsidR="00B256D3">
        <w:rPr>
          <w:rFonts w:hint="eastAsia"/>
        </w:rPr>
        <w:t>（实质为再减半）</w:t>
      </w:r>
      <w:r w:rsidR="009A46F5">
        <w:rPr>
          <w:rFonts w:hint="eastAsia"/>
        </w:rPr>
        <w:t>，与原文PASS软件计算结果一致</w:t>
      </w:r>
      <w:r>
        <w:rPr>
          <w:rFonts w:hint="eastAsia"/>
        </w:rPr>
        <w:t>。R语言结果与Excel表相同。</w:t>
      </w:r>
    </w:p>
    <w:p w14:paraId="232AF03E" w14:textId="6C33E7B6" w:rsidR="00276ED0" w:rsidRDefault="00276ED0" w:rsidP="00CD2883">
      <w:pPr>
        <w:ind w:firstLineChars="200" w:firstLine="420"/>
        <w:rPr>
          <w:rFonts w:hint="eastAsia"/>
        </w:rPr>
      </w:pPr>
      <w:r w:rsidRPr="00276ED0">
        <w:rPr>
          <w:rFonts w:hint="eastAsia"/>
        </w:rPr>
        <w:drawing>
          <wp:inline distT="0" distB="0" distL="0" distR="0" wp14:anchorId="11FFC338" wp14:editId="5520F3C0">
            <wp:extent cx="2122170" cy="1031875"/>
            <wp:effectExtent l="0" t="0" r="0" b="0"/>
            <wp:docPr id="1163926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2170" cy="1031875"/>
                    </a:xfrm>
                    <a:prstGeom prst="rect">
                      <a:avLst/>
                    </a:prstGeom>
                    <a:noFill/>
                    <a:ln>
                      <a:noFill/>
                    </a:ln>
                  </pic:spPr>
                </pic:pic>
              </a:graphicData>
            </a:graphic>
          </wp:inline>
        </w:drawing>
      </w:r>
    </w:p>
    <w:p w14:paraId="38622721" w14:textId="4DB3581C" w:rsidR="001C279E" w:rsidRDefault="001C279E" w:rsidP="00CD2883">
      <w:pPr>
        <w:ind w:firstLineChars="200" w:firstLine="420"/>
      </w:pPr>
      <w:r w:rsidRPr="001C279E">
        <w:lastRenderedPageBreak/>
        <w:drawing>
          <wp:inline distT="0" distB="0" distL="0" distR="0" wp14:anchorId="2F519068" wp14:editId="191B7710">
            <wp:extent cx="2022475" cy="773430"/>
            <wp:effectExtent l="0" t="0" r="0" b="7620"/>
            <wp:docPr id="195373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2475" cy="773430"/>
                    </a:xfrm>
                    <a:prstGeom prst="rect">
                      <a:avLst/>
                    </a:prstGeom>
                    <a:noFill/>
                    <a:ln>
                      <a:noFill/>
                    </a:ln>
                  </pic:spPr>
                </pic:pic>
              </a:graphicData>
            </a:graphic>
          </wp:inline>
        </w:drawing>
      </w:r>
    </w:p>
    <w:p w14:paraId="0A197567" w14:textId="77777777" w:rsidR="001C279E" w:rsidRDefault="001C279E" w:rsidP="00CD2883">
      <w:pPr>
        <w:ind w:firstLineChars="200" w:firstLine="420"/>
        <w:rPr>
          <w:rFonts w:hint="eastAsia"/>
        </w:rPr>
      </w:pPr>
    </w:p>
    <w:p w14:paraId="42FF6571" w14:textId="1F812481" w:rsidR="00CD2883" w:rsidRDefault="00CD2883" w:rsidP="00CD2883">
      <w:pPr>
        <w:ind w:firstLineChars="200" w:firstLine="420"/>
      </w:pPr>
      <w:r>
        <w:t>library(</w:t>
      </w:r>
      <w:proofErr w:type="spellStart"/>
      <w:r>
        <w:t>pwrss</w:t>
      </w:r>
      <w:proofErr w:type="spellEnd"/>
      <w:r>
        <w:t>)</w:t>
      </w:r>
    </w:p>
    <w:p w14:paraId="5AE38654" w14:textId="77777777" w:rsidR="00CD2883" w:rsidRDefault="00CD2883" w:rsidP="00CD2883">
      <w:pPr>
        <w:ind w:firstLineChars="200" w:firstLine="420"/>
      </w:pPr>
      <w:r>
        <w:t>pwrss.t.2</w:t>
      </w:r>
      <w:proofErr w:type="gramStart"/>
      <w:r>
        <w:t>means(</w:t>
      </w:r>
      <w:proofErr w:type="gramEnd"/>
      <w:r>
        <w:t>mu1 = 0, mu2 = 6, sd1 = 15,</w:t>
      </w:r>
    </w:p>
    <w:p w14:paraId="673F884F" w14:textId="0EB9ADA4" w:rsidR="00CD2883" w:rsidRDefault="00CD2883" w:rsidP="00CD2883">
      <w:pPr>
        <w:ind w:firstLineChars="200" w:firstLine="420"/>
      </w:pPr>
      <w:r>
        <w:t xml:space="preserve">               alpha = 0.05, power = 0.9)</w:t>
      </w:r>
    </w:p>
    <w:p w14:paraId="0C72B17B" w14:textId="77777777" w:rsidR="007A7D0E" w:rsidRDefault="007A7D0E" w:rsidP="00CD2883">
      <w:pPr>
        <w:ind w:firstLineChars="200" w:firstLine="420"/>
      </w:pPr>
      <w:proofErr w:type="spellStart"/>
      <w:r w:rsidRPr="007A7D0E">
        <w:t>pwrss.</w:t>
      </w:r>
      <w:proofErr w:type="gramStart"/>
      <w:r w:rsidRPr="007A7D0E">
        <w:t>t.mean</w:t>
      </w:r>
      <w:proofErr w:type="spellEnd"/>
      <w:proofErr w:type="gramEnd"/>
      <w:r w:rsidRPr="007A7D0E">
        <w:t xml:space="preserve">(mu = 6, </w:t>
      </w:r>
      <w:proofErr w:type="spellStart"/>
      <w:r w:rsidRPr="007A7D0E">
        <w:t>sd</w:t>
      </w:r>
      <w:proofErr w:type="spellEnd"/>
      <w:r w:rsidRPr="007A7D0E">
        <w:t xml:space="preserve"> = 15, alpha = 0.05, power = 0.9)</w:t>
      </w:r>
    </w:p>
    <w:p w14:paraId="0F9B48DF" w14:textId="77777777" w:rsidR="00276ED0" w:rsidRDefault="00276ED0" w:rsidP="00CD2883">
      <w:pPr>
        <w:ind w:firstLineChars="200" w:firstLine="420"/>
      </w:pPr>
    </w:p>
    <w:p w14:paraId="2CC21A21" w14:textId="77777777" w:rsidR="007133D2" w:rsidRDefault="007133D2" w:rsidP="007133D2">
      <w:pPr>
        <w:ind w:firstLineChars="200" w:firstLine="420"/>
      </w:pPr>
      <w:r>
        <w:rPr>
          <w:rFonts w:hint="eastAsia"/>
        </w:rPr>
        <w:t>PASS软件操作时依次点击</w:t>
      </w:r>
      <w:r>
        <w:t>Means, Cross-Over(2X2) Design, Test (Inequality), Tests for the Difference Between Two Means in a 2X2 Cross-Over Design</w:t>
      </w:r>
      <w:r>
        <w:rPr>
          <w:rFonts w:hint="eastAsia"/>
        </w:rPr>
        <w:t>。</w:t>
      </w:r>
    </w:p>
    <w:p w14:paraId="42654041" w14:textId="431F44A4" w:rsidR="00FB2360" w:rsidRDefault="007133D2" w:rsidP="00FB2360">
      <w:pPr>
        <w:ind w:firstLineChars="200" w:firstLine="420"/>
      </w:pPr>
      <w:r w:rsidRPr="007133D2">
        <w:rPr>
          <w:noProof/>
        </w:rPr>
        <w:drawing>
          <wp:inline distT="0" distB="0" distL="0" distR="0" wp14:anchorId="598C4465" wp14:editId="7528C3B6">
            <wp:extent cx="1928027" cy="6477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28027" cy="647756"/>
                    </a:xfrm>
                    <a:prstGeom prst="rect">
                      <a:avLst/>
                    </a:prstGeom>
                  </pic:spPr>
                </pic:pic>
              </a:graphicData>
            </a:graphic>
          </wp:inline>
        </w:drawing>
      </w:r>
    </w:p>
    <w:p w14:paraId="219916A1" w14:textId="6940C9C9" w:rsidR="00465911" w:rsidRPr="007133D2" w:rsidRDefault="00465911" w:rsidP="00FB2360">
      <w:pPr>
        <w:ind w:firstLineChars="200" w:firstLine="420"/>
      </w:pPr>
      <w:r>
        <w:rPr>
          <w:rFonts w:hint="eastAsia"/>
        </w:rPr>
        <w:t>上面</w:t>
      </w:r>
      <w:r>
        <w:t>4</w:t>
      </w:r>
      <w:r>
        <w:rPr>
          <w:rFonts w:hint="eastAsia"/>
        </w:rPr>
        <w:t>个选项，样本量分别为1</w:t>
      </w:r>
      <w:r>
        <w:t>34</w:t>
      </w:r>
      <w:r>
        <w:rPr>
          <w:rFonts w:hint="eastAsia"/>
        </w:rPr>
        <w:t>，2</w:t>
      </w:r>
      <w:r>
        <w:t>66</w:t>
      </w:r>
      <w:r>
        <w:rPr>
          <w:rFonts w:hint="eastAsia"/>
        </w:rPr>
        <w:t>，6</w:t>
      </w:r>
      <w:r>
        <w:t>8</w:t>
      </w:r>
      <w:r>
        <w:rPr>
          <w:rFonts w:hint="eastAsia"/>
        </w:rPr>
        <w:t>，6</w:t>
      </w:r>
      <w:r>
        <w:t>8</w:t>
      </w:r>
      <w:r>
        <w:rPr>
          <w:rFonts w:hint="eastAsia"/>
        </w:rPr>
        <w:t>（</w:t>
      </w:r>
      <w:r>
        <w:rPr>
          <w:rFonts w:asciiTheme="minorEastAsia" w:hAnsiTheme="minorEastAsia" w:hint="eastAsia"/>
        </w:rPr>
        <w:t>ρ</w:t>
      </w:r>
      <w:r>
        <w:rPr>
          <w:rFonts w:hint="eastAsia"/>
        </w:rPr>
        <w:t>=</w:t>
      </w:r>
      <w:r>
        <w:t>0.5</w:t>
      </w:r>
      <w:r>
        <w:rPr>
          <w:rFonts w:hint="eastAsia"/>
        </w:rPr>
        <w:t>）</w:t>
      </w:r>
      <w:r w:rsidR="007A7D0E">
        <w:rPr>
          <w:rFonts w:hint="eastAsia"/>
        </w:rPr>
        <w:t>，再次验证</w:t>
      </w:r>
      <w:r w:rsidR="007A7D0E">
        <w:rPr>
          <w:rFonts w:asciiTheme="minorEastAsia" w:hAnsiTheme="minorEastAsia" w:hint="eastAsia"/>
        </w:rPr>
        <w:t>ρ</w:t>
      </w:r>
      <w:r w:rsidR="007A7D0E">
        <w:rPr>
          <w:rFonts w:hint="eastAsia"/>
        </w:rPr>
        <w:t>=</w:t>
      </w:r>
      <w:r w:rsidR="007A7D0E">
        <w:t>0.5</w:t>
      </w:r>
      <w:r w:rsidR="007A7D0E">
        <w:rPr>
          <w:rFonts w:hint="eastAsia"/>
        </w:rPr>
        <w:t>时的结果与配对设计是一致的。</w:t>
      </w:r>
    </w:p>
    <w:p w14:paraId="273D4EE2" w14:textId="07B5EF73" w:rsidR="007133D2" w:rsidRDefault="007133D2" w:rsidP="00FB2360">
      <w:pPr>
        <w:ind w:firstLineChars="200" w:firstLine="420"/>
      </w:pPr>
      <w:r w:rsidRPr="007133D2">
        <w:rPr>
          <w:noProof/>
        </w:rPr>
        <w:drawing>
          <wp:inline distT="0" distB="0" distL="0" distR="0" wp14:anchorId="69AFCDA4" wp14:editId="1870F5A1">
            <wp:extent cx="3909399" cy="29339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9399" cy="2933954"/>
                    </a:xfrm>
                    <a:prstGeom prst="rect">
                      <a:avLst/>
                    </a:prstGeom>
                  </pic:spPr>
                </pic:pic>
              </a:graphicData>
            </a:graphic>
          </wp:inline>
        </w:drawing>
      </w:r>
    </w:p>
    <w:p w14:paraId="4B9B93BA" w14:textId="77777777" w:rsidR="007133D2" w:rsidRDefault="007133D2" w:rsidP="00FB2360">
      <w:pPr>
        <w:ind w:firstLineChars="200" w:firstLine="420"/>
      </w:pPr>
    </w:p>
    <w:p w14:paraId="4180FAC9" w14:textId="400E8D90" w:rsidR="007133D2" w:rsidRDefault="007133D2" w:rsidP="00FB2360">
      <w:pPr>
        <w:ind w:firstLineChars="200" w:firstLine="420"/>
      </w:pPr>
      <w:r w:rsidRPr="007133D2">
        <w:rPr>
          <w:noProof/>
        </w:rPr>
        <w:drawing>
          <wp:inline distT="0" distB="0" distL="0" distR="0" wp14:anchorId="0959AFD9" wp14:editId="50BBC5D6">
            <wp:extent cx="5227773" cy="1691787"/>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7773" cy="1691787"/>
                    </a:xfrm>
                    <a:prstGeom prst="rect">
                      <a:avLst/>
                    </a:prstGeom>
                  </pic:spPr>
                </pic:pic>
              </a:graphicData>
            </a:graphic>
          </wp:inline>
        </w:drawing>
      </w:r>
    </w:p>
    <w:p w14:paraId="7FDCB548" w14:textId="13EF5DF4" w:rsidR="00485E74" w:rsidRDefault="00485E74" w:rsidP="00F76309">
      <w:pPr>
        <w:pStyle w:val="Caption"/>
        <w:rPr>
          <w:rFonts w:hint="eastAsia"/>
        </w:rPr>
      </w:pPr>
    </w:p>
    <w:p w14:paraId="73D7E6DC" w14:textId="3685AFE8" w:rsidR="00CB4F3E" w:rsidRDefault="00F76309" w:rsidP="005A1343">
      <w:pPr>
        <w:ind w:firstLineChars="200" w:firstLine="420"/>
      </w:pPr>
      <w:r>
        <w:lastRenderedPageBreak/>
        <w:t xml:space="preserve">例 </w:t>
      </w:r>
      <w:r>
        <w:fldChar w:fldCharType="begin"/>
      </w:r>
      <w:r>
        <w:instrText xml:space="preserve"> STYLEREF 1 \s </w:instrText>
      </w:r>
      <w:r>
        <w:fldChar w:fldCharType="separate"/>
      </w:r>
      <w:r>
        <w:rPr>
          <w:noProof/>
        </w:rPr>
        <w:t>8</w:t>
      </w:r>
      <w:r>
        <w:fldChar w:fldCharType="end"/>
      </w:r>
      <w:r>
        <w:noBreakHyphen/>
      </w:r>
      <w:r>
        <w:fldChar w:fldCharType="begin"/>
      </w:r>
      <w:r>
        <w:instrText xml:space="preserve"> SEQ 例 \* ARABIC \s 1 </w:instrText>
      </w:r>
      <w:r>
        <w:fldChar w:fldCharType="separate"/>
      </w:r>
      <w:r>
        <w:rPr>
          <w:noProof/>
        </w:rPr>
        <w:t>2</w:t>
      </w:r>
      <w:r>
        <w:fldChar w:fldCharType="end"/>
      </w:r>
      <w:r w:rsidR="00CB4F3E">
        <w:rPr>
          <w:rFonts w:hint="eastAsia"/>
        </w:rPr>
        <w:t xml:space="preserve"> </w:t>
      </w:r>
      <w:proofErr w:type="spellStart"/>
      <w:r w:rsidR="00CB4F3E">
        <w:rPr>
          <w:rFonts w:hint="eastAsia"/>
        </w:rPr>
        <w:t>KidsAP</w:t>
      </w:r>
      <w:proofErr w:type="spellEnd"/>
      <w:r w:rsidR="00CB4F3E">
        <w:rPr>
          <w:rFonts w:hint="eastAsia"/>
        </w:rPr>
        <w:t>研究</w:t>
      </w:r>
      <w:r w:rsidR="005A1343">
        <w:fldChar w:fldCharType="begin"/>
      </w:r>
      <w:r w:rsidR="005A1343">
        <w:instrText xml:space="preserve"> ADDIN NE.Ref.{4C3F1C84-B37F-472E-A3A4-5C9CB57AE730}</w:instrText>
      </w:r>
      <w:r w:rsidR="005A1343">
        <w:fldChar w:fldCharType="separate"/>
      </w:r>
      <w:r w:rsidR="009A46F5">
        <w:rPr>
          <w:rFonts w:ascii="等线" w:eastAsia="等线" w:cs="等线"/>
          <w:color w:val="000000"/>
          <w:kern w:val="0"/>
          <w:szCs w:val="21"/>
          <w:vertAlign w:val="superscript"/>
        </w:rPr>
        <w:t>8</w:t>
      </w:r>
      <w:r w:rsidR="005A1343">
        <w:fldChar w:fldCharType="end"/>
      </w:r>
      <w:r w:rsidR="005E5487">
        <w:rPr>
          <w:rFonts w:hint="eastAsia"/>
        </w:rPr>
        <w:t>在</w:t>
      </w:r>
      <w:r w:rsidR="00CB4F3E">
        <w:rPr>
          <w:rFonts w:hint="eastAsia"/>
        </w:rPr>
        <w:t>1</w:t>
      </w:r>
      <w:r w:rsidR="00CB4F3E">
        <w:t>~7</w:t>
      </w:r>
      <w:r w:rsidR="00CB4F3E">
        <w:rPr>
          <w:rFonts w:hint="eastAsia"/>
        </w:rPr>
        <w:t>岁I型糖尿病</w:t>
      </w:r>
      <w:r w:rsidR="005E5487">
        <w:rPr>
          <w:rFonts w:hint="eastAsia"/>
        </w:rPr>
        <w:t>儿童患者</w:t>
      </w:r>
      <w:r w:rsidR="00CB4F3E">
        <w:rPr>
          <w:rFonts w:hint="eastAsia"/>
        </w:rPr>
        <w:t>中比较了闭环胰岛素泵和常规胰岛素泵</w:t>
      </w:r>
      <w:r w:rsidR="005E5487">
        <w:rPr>
          <w:rFonts w:hint="eastAsia"/>
        </w:rPr>
        <w:t>的疗效</w:t>
      </w:r>
      <w:r w:rsidR="00CB4F3E">
        <w:rPr>
          <w:rFonts w:hint="eastAsia"/>
        </w:rPr>
        <w:t>。患者先接受一种治疗1</w:t>
      </w:r>
      <w:r w:rsidR="00CB4F3E">
        <w:t>6</w:t>
      </w:r>
      <w:r w:rsidR="00CB4F3E">
        <w:rPr>
          <w:rFonts w:hint="eastAsia"/>
        </w:rPr>
        <w:t>周，再换另一种治疗1</w:t>
      </w:r>
      <w:r w:rsidR="00CB4F3E">
        <w:t>6</w:t>
      </w:r>
      <w:r w:rsidR="00CB4F3E">
        <w:rPr>
          <w:rFonts w:hint="eastAsia"/>
        </w:rPr>
        <w:t>周</w:t>
      </w:r>
      <w:r w:rsidR="005E5487">
        <w:rPr>
          <w:rFonts w:hint="eastAsia"/>
        </w:rPr>
        <w:t>，治疗顺序是随机的</w:t>
      </w:r>
      <w:r w:rsidR="00CB4F3E">
        <w:rPr>
          <w:rFonts w:hint="eastAsia"/>
        </w:rPr>
        <w:t>。主要终点为血糖处于目标范围（7</w:t>
      </w:r>
      <w:r w:rsidR="00CB4F3E">
        <w:t>0~180</w:t>
      </w:r>
      <w:r w:rsidR="00CB4F3E">
        <w:rPr>
          <w:rFonts w:hint="eastAsia"/>
        </w:rPr>
        <w:t>mg/dl）的时间百分比。</w:t>
      </w:r>
      <w:r w:rsidR="005E31B9">
        <w:rPr>
          <w:rFonts w:hint="eastAsia"/>
        </w:rPr>
        <w:t>假设试验组比对照组</w:t>
      </w:r>
      <w:r w:rsidR="004B7129">
        <w:rPr>
          <w:rFonts w:hint="eastAsia"/>
        </w:rPr>
        <w:t>的终点指标</w:t>
      </w:r>
      <w:r w:rsidR="005E31B9">
        <w:rPr>
          <w:rFonts w:hint="eastAsia"/>
        </w:rPr>
        <w:t>高5个百分点，标准差为1</w:t>
      </w:r>
      <w:r w:rsidR="005E31B9">
        <w:t>0.3</w:t>
      </w:r>
      <w:r w:rsidR="005E31B9">
        <w:rPr>
          <w:rFonts w:hint="eastAsia"/>
        </w:rPr>
        <w:t>，两个</w:t>
      </w:r>
      <w:r w:rsidR="004B7129">
        <w:rPr>
          <w:rFonts w:hint="eastAsia"/>
        </w:rPr>
        <w:t>治疗</w:t>
      </w:r>
      <w:r w:rsidR="005E31B9">
        <w:rPr>
          <w:rFonts w:hint="eastAsia"/>
        </w:rPr>
        <w:t>时期之间的相关系数为0</w:t>
      </w:r>
      <w:r w:rsidR="005E31B9">
        <w:t>.3</w:t>
      </w:r>
      <w:r w:rsidR="005E31B9">
        <w:rPr>
          <w:rFonts w:hint="eastAsia"/>
        </w:rPr>
        <w:t>，则6</w:t>
      </w:r>
      <w:r w:rsidR="005E31B9">
        <w:t>5</w:t>
      </w:r>
      <w:r w:rsidR="005E31B9">
        <w:rPr>
          <w:rFonts w:hint="eastAsia"/>
        </w:rPr>
        <w:t>例患者可提供9</w:t>
      </w:r>
      <w:r w:rsidR="005E31B9">
        <w:t>0%</w:t>
      </w:r>
      <w:r w:rsidR="005E31B9">
        <w:rPr>
          <w:rFonts w:hint="eastAsia"/>
        </w:rPr>
        <w:t>的检验效能。</w:t>
      </w:r>
      <w:r w:rsidR="005E5487">
        <w:rPr>
          <w:rFonts w:hint="eastAsia"/>
        </w:rPr>
        <w:t>预计</w:t>
      </w:r>
      <w:r w:rsidR="005E31B9">
        <w:rPr>
          <w:rFonts w:hint="eastAsia"/>
        </w:rPr>
        <w:t>1</w:t>
      </w:r>
      <w:r w:rsidR="005E31B9">
        <w:t>0%</w:t>
      </w:r>
      <w:r w:rsidR="005E5487">
        <w:rPr>
          <w:rFonts w:hint="eastAsia"/>
        </w:rPr>
        <w:t>的</w:t>
      </w:r>
      <w:r w:rsidR="005E31B9">
        <w:rPr>
          <w:rFonts w:hint="eastAsia"/>
        </w:rPr>
        <w:t>脱落率，样本量增加至7</w:t>
      </w:r>
      <w:r w:rsidR="005E31B9">
        <w:t>2</w:t>
      </w:r>
      <w:r w:rsidR="005E31B9">
        <w:rPr>
          <w:rFonts w:hint="eastAsia"/>
        </w:rPr>
        <w:t>。</w:t>
      </w:r>
      <w:r w:rsidR="004B7129">
        <w:rPr>
          <w:rFonts w:hint="eastAsia"/>
        </w:rPr>
        <w:t>原文未提供</w:t>
      </w:r>
      <w:r w:rsidR="004B7129">
        <w:rPr>
          <w:rFonts w:asciiTheme="minorEastAsia" w:hAnsiTheme="minorEastAsia" w:hint="eastAsia"/>
        </w:rPr>
        <w:t>α</w:t>
      </w:r>
      <w:r w:rsidR="004B7129">
        <w:rPr>
          <w:rFonts w:hint="eastAsia"/>
        </w:rPr>
        <w:t>水平，此处以双侧0</w:t>
      </w:r>
      <w:r w:rsidR="004B7129">
        <w:t>.05</w:t>
      </w:r>
      <w:r w:rsidR="004B7129">
        <w:rPr>
          <w:rFonts w:hint="eastAsia"/>
        </w:rPr>
        <w:t>计算。</w:t>
      </w:r>
    </w:p>
    <w:p w14:paraId="04F39A06" w14:textId="713EFCE7" w:rsidR="00DE7C54" w:rsidRDefault="00DE7C54" w:rsidP="00542E7F">
      <w:pPr>
        <w:ind w:firstLineChars="200" w:firstLine="420"/>
      </w:pPr>
      <w:r>
        <w:rPr>
          <w:rFonts w:hint="eastAsia"/>
        </w:rPr>
        <w:t>此例考虑脱落的正确方式因该是6</w:t>
      </w:r>
      <w:r>
        <w:t>5</w:t>
      </w:r>
      <w:r>
        <w:rPr>
          <w:rFonts w:hint="eastAsia"/>
        </w:rPr>
        <w:t>/</w:t>
      </w:r>
      <w:r>
        <w:t>(1-10%)=72.2</w:t>
      </w:r>
      <w:r>
        <w:rPr>
          <w:rFonts w:hint="eastAsia"/>
        </w:rPr>
        <w:t>。</w:t>
      </w:r>
    </w:p>
    <w:p w14:paraId="187915BE" w14:textId="21074662" w:rsidR="001E7129" w:rsidRDefault="001E7129" w:rsidP="00542E7F">
      <w:pPr>
        <w:ind w:firstLineChars="200" w:firstLine="420"/>
      </w:pPr>
      <w:r>
        <w:rPr>
          <w:rFonts w:hint="eastAsia"/>
        </w:rPr>
        <w:t>先计算此时的</w:t>
      </w:r>
      <m:oMath>
        <m:sSub>
          <m:sSubPr>
            <m:ctrlPr>
              <w:rPr>
                <w:rFonts w:ascii="Cambria Math" w:hAnsi="Cambria Math"/>
                <w:i/>
              </w:rPr>
            </m:ctrlPr>
          </m:sSubPr>
          <m:e>
            <m:r>
              <w:rPr>
                <w:rFonts w:ascii="Cambria Math" w:hAnsi="Cambria Math"/>
              </w:rPr>
              <m:t>σ</m:t>
            </m:r>
          </m:e>
          <m:sub>
            <m:r>
              <w:rPr>
                <w:rFonts w:ascii="Cambria Math" w:hAnsi="Cambria Math"/>
              </w:rPr>
              <m:t>w</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1-ρ</m:t>
                </m:r>
              </m:e>
            </m:d>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10.3</m:t>
                </m:r>
              </m:e>
              <m:sup>
                <m:r>
                  <w:rPr>
                    <w:rFonts w:ascii="Cambria Math" w:hAnsi="Cambria Math"/>
                  </w:rPr>
                  <m:t>2</m:t>
                </m:r>
              </m:sup>
            </m:sSup>
            <m:r>
              <w:rPr>
                <w:rFonts w:ascii="Cambria Math" w:hAnsi="Cambria Math"/>
              </w:rPr>
              <m:t>(1-0.3)</m:t>
            </m:r>
          </m:e>
        </m:rad>
        <m:r>
          <w:rPr>
            <w:rFonts w:ascii="Cambria Math" w:hAnsi="Cambria Math"/>
          </w:rPr>
          <m:t>=8.618</m:t>
        </m:r>
      </m:oMath>
      <w:r>
        <w:rPr>
          <w:rFonts w:hint="eastAsia"/>
        </w:rPr>
        <w:t>，以此带入计算，Excel表</w:t>
      </w:r>
      <w:r w:rsidR="00B256D3">
        <w:rPr>
          <w:rFonts w:hint="eastAsia"/>
        </w:rPr>
        <w:t>两组均数比较t</w:t>
      </w:r>
      <w:r w:rsidR="00B256D3">
        <w:t>-</w:t>
      </w:r>
      <w:r w:rsidR="00B256D3">
        <w:rPr>
          <w:rFonts w:hint="eastAsia"/>
        </w:rPr>
        <w:t>校正法结果为6</w:t>
      </w:r>
      <w:r w:rsidR="00B256D3">
        <w:t>4</w:t>
      </w:r>
      <w:r w:rsidR="00F76309">
        <w:rPr>
          <w:rFonts w:hint="eastAsia"/>
        </w:rPr>
        <w:t>，注意需按常规两样本均数比较的结果减半</w:t>
      </w:r>
      <w:r w:rsidR="00B256D3">
        <w:rPr>
          <w:rFonts w:hint="eastAsia"/>
        </w:rPr>
        <w:t>。</w:t>
      </w:r>
    </w:p>
    <w:p w14:paraId="713F69FA" w14:textId="1B08083F" w:rsidR="00F76309" w:rsidRDefault="00F76309" w:rsidP="00542E7F">
      <w:pPr>
        <w:ind w:firstLineChars="200" w:firstLine="420"/>
        <w:rPr>
          <w:rFonts w:hint="eastAsia"/>
        </w:rPr>
      </w:pPr>
      <w:r w:rsidRPr="00F76309">
        <w:rPr>
          <w:rFonts w:hint="eastAsia"/>
        </w:rPr>
        <w:drawing>
          <wp:inline distT="0" distB="0" distL="0" distR="0" wp14:anchorId="3FFD48AB" wp14:editId="695FCB52">
            <wp:extent cx="2122170" cy="1031875"/>
            <wp:effectExtent l="0" t="0" r="0" b="0"/>
            <wp:docPr id="216030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22170" cy="1031875"/>
                    </a:xfrm>
                    <a:prstGeom prst="rect">
                      <a:avLst/>
                    </a:prstGeom>
                    <a:noFill/>
                    <a:ln>
                      <a:noFill/>
                    </a:ln>
                  </pic:spPr>
                </pic:pic>
              </a:graphicData>
            </a:graphic>
          </wp:inline>
        </w:drawing>
      </w:r>
    </w:p>
    <w:p w14:paraId="00737848" w14:textId="3D4AE28A" w:rsidR="007B0F7D" w:rsidRDefault="007133D2" w:rsidP="007B0F7D">
      <w:pPr>
        <w:ind w:firstLineChars="200" w:firstLine="420"/>
      </w:pPr>
      <w:r>
        <w:rPr>
          <w:rFonts w:hint="eastAsia"/>
        </w:rPr>
        <w:t>R语言</w:t>
      </w:r>
      <w:proofErr w:type="spellStart"/>
      <w:r w:rsidR="001E7129">
        <w:rPr>
          <w:rFonts w:hint="eastAsia"/>
        </w:rPr>
        <w:t>pwrss</w:t>
      </w:r>
      <w:proofErr w:type="spellEnd"/>
      <w:r w:rsidR="001E7129">
        <w:rPr>
          <w:rFonts w:hint="eastAsia"/>
        </w:rPr>
        <w:t>包的结果为6</w:t>
      </w:r>
      <w:r w:rsidR="001E7129">
        <w:t>6</w:t>
      </w:r>
      <w:r w:rsidR="001E7129">
        <w:rPr>
          <w:rFonts w:hint="eastAsia"/>
        </w:rPr>
        <w:t>。</w:t>
      </w:r>
    </w:p>
    <w:p w14:paraId="29B821CB" w14:textId="77777777" w:rsidR="007B0F7D" w:rsidRDefault="007B0F7D" w:rsidP="007B0F7D">
      <w:pPr>
        <w:ind w:firstLineChars="200" w:firstLine="420"/>
      </w:pPr>
      <w:r>
        <w:t>library(</w:t>
      </w:r>
      <w:proofErr w:type="spellStart"/>
      <w:r>
        <w:t>pwrss</w:t>
      </w:r>
      <w:proofErr w:type="spellEnd"/>
      <w:r>
        <w:t>)</w:t>
      </w:r>
    </w:p>
    <w:p w14:paraId="17F52A9C" w14:textId="77777777" w:rsidR="007B0F7D" w:rsidRDefault="007B0F7D" w:rsidP="007B0F7D">
      <w:pPr>
        <w:ind w:firstLineChars="200" w:firstLine="420"/>
      </w:pPr>
      <w:r>
        <w:t>pwrss.t.2</w:t>
      </w:r>
      <w:proofErr w:type="gramStart"/>
      <w:r>
        <w:t>means(</w:t>
      </w:r>
      <w:proofErr w:type="gramEnd"/>
      <w:r>
        <w:t>mu1 = 0, mu2 = 5, sd1 = 10.3*sqrt(1-0.3),</w:t>
      </w:r>
    </w:p>
    <w:p w14:paraId="0181744F" w14:textId="07C04409" w:rsidR="007B0F7D" w:rsidRDefault="007B0F7D" w:rsidP="007B0F7D">
      <w:pPr>
        <w:ind w:firstLineChars="200" w:firstLine="420"/>
      </w:pPr>
      <w:r>
        <w:t xml:space="preserve">               alpha = 0.05, power = 0.9)</w:t>
      </w:r>
    </w:p>
    <w:p w14:paraId="0F403736" w14:textId="77777777" w:rsidR="00F76309" w:rsidRDefault="00F76309" w:rsidP="007B0F7D">
      <w:pPr>
        <w:ind w:firstLineChars="200" w:firstLine="420"/>
      </w:pPr>
    </w:p>
    <w:p w14:paraId="75FEC0BE" w14:textId="6FDA4B33" w:rsidR="001E7129" w:rsidRDefault="001E7129" w:rsidP="007B0F7D">
      <w:pPr>
        <w:ind w:firstLineChars="200" w:firstLine="420"/>
      </w:pPr>
      <w:r>
        <w:rPr>
          <w:rFonts w:hint="eastAsia"/>
        </w:rPr>
        <w:t>PASS软件结果为6</w:t>
      </w:r>
      <w:r>
        <w:t>6</w:t>
      </w:r>
      <w:r>
        <w:rPr>
          <w:rFonts w:hint="eastAsia"/>
        </w:rPr>
        <w:t>。</w:t>
      </w:r>
    </w:p>
    <w:p w14:paraId="1B1AA087" w14:textId="1F0AB8B1" w:rsidR="0088625B" w:rsidRDefault="007133D2" w:rsidP="00542E7F">
      <w:pPr>
        <w:ind w:firstLineChars="200" w:firstLine="420"/>
      </w:pPr>
      <w:r w:rsidRPr="007133D2">
        <w:rPr>
          <w:noProof/>
        </w:rPr>
        <w:drawing>
          <wp:inline distT="0" distB="0" distL="0" distR="0" wp14:anchorId="795C15AB" wp14:editId="5CB84A3D">
            <wp:extent cx="3894157" cy="32768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4157" cy="3276884"/>
                    </a:xfrm>
                    <a:prstGeom prst="rect">
                      <a:avLst/>
                    </a:prstGeom>
                  </pic:spPr>
                </pic:pic>
              </a:graphicData>
            </a:graphic>
          </wp:inline>
        </w:drawing>
      </w:r>
    </w:p>
    <w:p w14:paraId="6207D676" w14:textId="77777777" w:rsidR="0088625B" w:rsidRDefault="0088625B" w:rsidP="00542E7F">
      <w:pPr>
        <w:ind w:firstLineChars="200" w:firstLine="420"/>
      </w:pPr>
    </w:p>
    <w:p w14:paraId="29927491" w14:textId="73A2B069" w:rsidR="0088625B" w:rsidRDefault="007133D2" w:rsidP="00542E7F">
      <w:pPr>
        <w:ind w:firstLineChars="200" w:firstLine="420"/>
      </w:pPr>
      <w:r w:rsidRPr="007133D2">
        <w:rPr>
          <w:noProof/>
        </w:rPr>
        <w:lastRenderedPageBreak/>
        <w:drawing>
          <wp:inline distT="0" distB="0" distL="0" distR="0" wp14:anchorId="42D2FFA1" wp14:editId="33A59DC7">
            <wp:extent cx="5204911" cy="1691787"/>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4911" cy="1691787"/>
                    </a:xfrm>
                    <a:prstGeom prst="rect">
                      <a:avLst/>
                    </a:prstGeom>
                  </pic:spPr>
                </pic:pic>
              </a:graphicData>
            </a:graphic>
          </wp:inline>
        </w:drawing>
      </w:r>
    </w:p>
    <w:p w14:paraId="4356932C" w14:textId="77777777" w:rsidR="007133D2" w:rsidRDefault="007133D2" w:rsidP="00542E7F">
      <w:pPr>
        <w:ind w:firstLineChars="200" w:firstLine="420"/>
      </w:pPr>
    </w:p>
    <w:p w14:paraId="1D739E21" w14:textId="3FCE4CD5" w:rsidR="00CB4F3E" w:rsidRDefault="00CB4F3E" w:rsidP="00542E7F">
      <w:pPr>
        <w:ind w:firstLineChars="200" w:firstLine="420"/>
      </w:pPr>
      <w:r>
        <w:rPr>
          <w:rFonts w:hint="eastAsia"/>
        </w:rPr>
        <w:t>研究实际随机了7</w:t>
      </w:r>
      <w:r>
        <w:t>4</w:t>
      </w:r>
      <w:r>
        <w:rPr>
          <w:rFonts w:hint="eastAsia"/>
        </w:rPr>
        <w:t>例患者，</w:t>
      </w:r>
      <w:r w:rsidR="005E31B9">
        <w:rPr>
          <w:rFonts w:hint="eastAsia"/>
        </w:rPr>
        <w:t>主要终点在试验组比对照组高8</w:t>
      </w:r>
      <w:r w:rsidR="005E31B9">
        <w:t>.7</w:t>
      </w:r>
      <w:r w:rsidR="005E31B9">
        <w:rPr>
          <w:rFonts w:hint="eastAsia"/>
        </w:rPr>
        <w:t>个百分点（9</w:t>
      </w:r>
      <w:r w:rsidR="005E31B9">
        <w:t>5%</w:t>
      </w:r>
      <w:r w:rsidR="005E31B9">
        <w:rPr>
          <w:rFonts w:hint="eastAsia"/>
        </w:rPr>
        <w:t>置信区间7,</w:t>
      </w:r>
      <w:r w:rsidR="005E31B9">
        <w:t>.4~9.9</w:t>
      </w:r>
      <w:r w:rsidR="005E31B9">
        <w:rPr>
          <w:rFonts w:hint="eastAsia"/>
        </w:rPr>
        <w:t>，P&lt;</w:t>
      </w:r>
      <w:r w:rsidR="005E31B9">
        <w:t>0.001</w:t>
      </w:r>
      <w:r w:rsidR="005E31B9">
        <w:rPr>
          <w:rFonts w:hint="eastAsia"/>
        </w:rPr>
        <w:t>）</w:t>
      </w:r>
      <w:r w:rsidR="00F76309">
        <w:rPr>
          <w:rFonts w:hint="eastAsia"/>
        </w:rPr>
        <w:t>，研究达成</w:t>
      </w:r>
      <w:r w:rsidR="005E31B9">
        <w:rPr>
          <w:rFonts w:hint="eastAsia"/>
        </w:rPr>
        <w:t>。</w:t>
      </w:r>
    </w:p>
    <w:p w14:paraId="3B165B83" w14:textId="3792B83B" w:rsidR="00930690" w:rsidRDefault="00D2751A" w:rsidP="00D01F1B">
      <w:pPr>
        <w:pStyle w:val="Heading2"/>
      </w:pPr>
      <w:r>
        <w:rPr>
          <w:rFonts w:hint="eastAsia"/>
        </w:rPr>
        <w:t>讨论</w:t>
      </w:r>
    </w:p>
    <w:p w14:paraId="630A597A" w14:textId="31D89066" w:rsidR="00D2751A" w:rsidRDefault="00D2751A" w:rsidP="0084778F">
      <w:pPr>
        <w:autoSpaceDE w:val="0"/>
        <w:autoSpaceDN w:val="0"/>
        <w:adjustRightInd w:val="0"/>
        <w:jc w:val="left"/>
        <w:rPr>
          <w:rFonts w:hint="eastAsia"/>
        </w:rPr>
      </w:pPr>
      <w:r>
        <w:rPr>
          <w:rFonts w:hint="eastAsia"/>
        </w:rPr>
        <w:t xml:space="preserve">    交叉设计的样本量计算在适合的领域可提高研究效率。尽管可根据相关系数</w:t>
      </w:r>
      <w:r>
        <w:rPr>
          <w:rFonts w:asciiTheme="minorEastAsia" w:hAnsiTheme="minorEastAsia" w:hint="eastAsia"/>
        </w:rPr>
        <w:t>ρ</w:t>
      </w:r>
      <w:r>
        <w:rPr>
          <w:rFonts w:hint="eastAsia"/>
        </w:rPr>
        <w:t>减少样本量，</w:t>
      </w:r>
      <w:r w:rsidR="00D01F1B">
        <w:rPr>
          <w:rFonts w:hint="eastAsia"/>
        </w:rPr>
        <w:t>遗憾的是</w:t>
      </w:r>
      <w:r>
        <w:rPr>
          <w:rFonts w:asciiTheme="minorEastAsia" w:hAnsiTheme="minorEastAsia" w:hint="eastAsia"/>
        </w:rPr>
        <w:t>ρ</w:t>
      </w:r>
      <w:r>
        <w:rPr>
          <w:rFonts w:hint="eastAsia"/>
        </w:rPr>
        <w:t>通常不易获得。交叉设计的样本量直接取平行对照样本量的一半是较为保守的策略。</w:t>
      </w:r>
    </w:p>
    <w:p w14:paraId="05ECACE8" w14:textId="77777777" w:rsidR="009A46F5" w:rsidRDefault="00CB4F3E" w:rsidP="009A46F5">
      <w:pPr>
        <w:autoSpaceDE w:val="0"/>
        <w:autoSpaceDN w:val="0"/>
        <w:adjustRightInd w:val="0"/>
        <w:jc w:val="left"/>
        <w:rPr>
          <w:rFonts w:ascii="Times New Roman" w:hAnsi="Times New Roman" w:cs="Times New Roman"/>
          <w:kern w:val="0"/>
          <w:sz w:val="24"/>
          <w:szCs w:val="24"/>
        </w:rPr>
      </w:pPr>
      <w:r>
        <w:fldChar w:fldCharType="begin"/>
      </w:r>
      <w:r>
        <w:instrText xml:space="preserve"> ADDIN NE.Bib</w:instrText>
      </w:r>
      <w:r>
        <w:fldChar w:fldCharType="separate"/>
      </w:r>
    </w:p>
    <w:p w14:paraId="63B1E7C4" w14:textId="77777777" w:rsidR="009A46F5" w:rsidRDefault="009A46F5" w:rsidP="009A46F5">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b/>
          <w:bCs/>
          <w:color w:val="000000"/>
          <w:kern w:val="0"/>
          <w:sz w:val="40"/>
          <w:szCs w:val="40"/>
        </w:rPr>
        <w:t>References:</w:t>
      </w:r>
    </w:p>
    <w:p w14:paraId="3B153FD7" w14:textId="77777777" w:rsidR="009A46F5" w:rsidRDefault="009A46F5" w:rsidP="009A46F5">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w:t>
      </w:r>
      <w:r>
        <w:rPr>
          <w:rFonts w:ascii="Times New Roman" w:hAnsi="Times New Roman" w:cs="Times New Roman"/>
          <w:color w:val="000000"/>
          <w:kern w:val="0"/>
          <w:sz w:val="20"/>
          <w:szCs w:val="20"/>
        </w:rPr>
        <w:tab/>
      </w:r>
      <w:bookmarkStart w:id="3" w:name="_nebE2CD9A18_DEF2_4B6B_A606_B94E0D54922E"/>
      <w:r>
        <w:rPr>
          <w:rFonts w:ascii="宋体" w:eastAsia="宋体" w:hAnsi="Times New Roman" w:cs="宋体" w:hint="eastAsia"/>
          <w:color w:val="000000"/>
          <w:kern w:val="0"/>
          <w:sz w:val="20"/>
          <w:szCs w:val="20"/>
        </w:rPr>
        <w:t>颜虹</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徐勇勇</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3</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2015.</w:t>
      </w:r>
      <w:bookmarkEnd w:id="3"/>
    </w:p>
    <w:p w14:paraId="393EFBB0" w14:textId="77777777" w:rsidR="009A46F5" w:rsidRDefault="009A46F5" w:rsidP="009A46F5">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2.</w:t>
      </w:r>
      <w:r>
        <w:rPr>
          <w:rFonts w:ascii="Times New Roman" w:hAnsi="Times New Roman" w:cs="Times New Roman"/>
          <w:color w:val="000000"/>
          <w:kern w:val="0"/>
          <w:sz w:val="20"/>
          <w:szCs w:val="20"/>
        </w:rPr>
        <w:tab/>
      </w:r>
      <w:bookmarkStart w:id="4" w:name="_neb35AA1771_ABD8_483E_AEDF_7F7DE3A26BFA"/>
      <w:r>
        <w:rPr>
          <w:rFonts w:ascii="宋体" w:eastAsia="宋体" w:hAnsi="Times New Roman" w:cs="宋体" w:hint="eastAsia"/>
          <w:color w:val="000000"/>
          <w:kern w:val="0"/>
          <w:sz w:val="20"/>
          <w:szCs w:val="20"/>
        </w:rPr>
        <w:t>李卫</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医疗器械临床试验统计方法</w:t>
      </w:r>
      <w:r>
        <w:rPr>
          <w:rFonts w:ascii="Times New Roman" w:hAnsi="Times New Roman" w:cs="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科学出版社</w:t>
      </w:r>
      <w:r>
        <w:rPr>
          <w:rFonts w:ascii="Times New Roman" w:hAnsi="Times New Roman" w:cs="Times New Roman"/>
          <w:color w:val="000000"/>
          <w:kern w:val="0"/>
          <w:sz w:val="20"/>
          <w:szCs w:val="20"/>
        </w:rPr>
        <w:t>; 2016.</w:t>
      </w:r>
      <w:bookmarkEnd w:id="4"/>
    </w:p>
    <w:p w14:paraId="404A6DF2" w14:textId="77777777" w:rsidR="009A46F5" w:rsidRDefault="009A46F5" w:rsidP="009A46F5">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3.</w:t>
      </w:r>
      <w:r>
        <w:rPr>
          <w:rFonts w:ascii="Times New Roman" w:hAnsi="Times New Roman" w:cs="Times New Roman"/>
          <w:color w:val="000000"/>
          <w:kern w:val="0"/>
          <w:sz w:val="20"/>
          <w:szCs w:val="20"/>
        </w:rPr>
        <w:tab/>
      </w:r>
      <w:bookmarkStart w:id="5" w:name="_neb852DA8B1_E20E_4B6E_9434_54CCF5E929DE"/>
      <w:proofErr w:type="spellStart"/>
      <w:r>
        <w:rPr>
          <w:rFonts w:ascii="Times New Roman" w:hAnsi="Times New Roman" w:cs="Times New Roman"/>
          <w:color w:val="000000"/>
          <w:kern w:val="0"/>
          <w:sz w:val="20"/>
          <w:szCs w:val="20"/>
        </w:rPr>
        <w:t>Juliouis</w:t>
      </w:r>
      <w:proofErr w:type="spellEnd"/>
      <w:r>
        <w:rPr>
          <w:rFonts w:ascii="Times New Roman" w:hAnsi="Times New Roman" w:cs="Times New Roman"/>
          <w:color w:val="000000"/>
          <w:kern w:val="0"/>
          <w:sz w:val="20"/>
          <w:szCs w:val="20"/>
        </w:rPr>
        <w:t xml:space="preserve"> SA. Sample Sizes for Clinical Trials: CRC Press; 2010.</w:t>
      </w:r>
      <w:bookmarkEnd w:id="5"/>
    </w:p>
    <w:p w14:paraId="0268C30C" w14:textId="77777777" w:rsidR="009A46F5" w:rsidRDefault="009A46F5" w:rsidP="009A46F5">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4.</w:t>
      </w:r>
      <w:r>
        <w:rPr>
          <w:rFonts w:ascii="Times New Roman" w:hAnsi="Times New Roman" w:cs="Times New Roman"/>
          <w:color w:val="000000"/>
          <w:kern w:val="0"/>
          <w:sz w:val="20"/>
          <w:szCs w:val="20"/>
        </w:rPr>
        <w:tab/>
      </w:r>
      <w:bookmarkStart w:id="6" w:name="_neb9A86B02B_1BA2_4C59_8CBA_AB3ADA9E8493"/>
      <w:r>
        <w:rPr>
          <w:rFonts w:ascii="Times New Roman" w:hAnsi="Times New Roman" w:cs="Times New Roman"/>
          <w:color w:val="000000"/>
          <w:kern w:val="0"/>
          <w:sz w:val="20"/>
          <w:szCs w:val="20"/>
        </w:rPr>
        <w:t xml:space="preserve">Chow S, Shao J, Wang H, </w:t>
      </w:r>
      <w:proofErr w:type="spellStart"/>
      <w:r>
        <w:rPr>
          <w:rFonts w:ascii="Times New Roman" w:hAnsi="Times New Roman" w:cs="Times New Roman"/>
          <w:color w:val="000000"/>
          <w:kern w:val="0"/>
          <w:sz w:val="20"/>
          <w:szCs w:val="20"/>
        </w:rPr>
        <w:t>Lokhnygina</w:t>
      </w:r>
      <w:proofErr w:type="spellEnd"/>
      <w:r>
        <w:rPr>
          <w:rFonts w:ascii="Times New Roman" w:hAnsi="Times New Roman" w:cs="Times New Roman"/>
          <w:color w:val="000000"/>
          <w:kern w:val="0"/>
          <w:sz w:val="20"/>
          <w:szCs w:val="20"/>
        </w:rPr>
        <w:t xml:space="preserve"> Y. Sample Size Calculations in Clinical Research. Third Edition ed: CRC Press; 2018.</w:t>
      </w:r>
      <w:bookmarkEnd w:id="6"/>
    </w:p>
    <w:p w14:paraId="080F4694" w14:textId="77777777" w:rsidR="009A46F5" w:rsidRDefault="009A46F5" w:rsidP="009A46F5">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5.</w:t>
      </w:r>
      <w:r>
        <w:rPr>
          <w:rFonts w:ascii="Times New Roman" w:hAnsi="Times New Roman" w:cs="Times New Roman"/>
          <w:color w:val="000000"/>
          <w:kern w:val="0"/>
          <w:sz w:val="20"/>
          <w:szCs w:val="20"/>
        </w:rPr>
        <w:tab/>
      </w:r>
      <w:bookmarkStart w:id="7" w:name="_neb56219C44_CB1D_413D_8179_58AB0794B431"/>
      <w:r>
        <w:rPr>
          <w:rFonts w:ascii="Times New Roman" w:hAnsi="Times New Roman" w:cs="Times New Roman"/>
          <w:color w:val="000000"/>
          <w:kern w:val="0"/>
          <w:sz w:val="20"/>
          <w:szCs w:val="20"/>
        </w:rPr>
        <w:t xml:space="preserve">Zhao X, Chen Y, Yang G, et al. Initial treatment with a single capsule containing half-dose quadruple </w:t>
      </w:r>
      <w:proofErr w:type="gramStart"/>
      <w:r>
        <w:rPr>
          <w:rFonts w:ascii="Times New Roman" w:hAnsi="Times New Roman" w:cs="Times New Roman"/>
          <w:color w:val="000000"/>
          <w:kern w:val="0"/>
          <w:sz w:val="20"/>
          <w:szCs w:val="20"/>
        </w:rPr>
        <w:t>therapy  versus</w:t>
      </w:r>
      <w:proofErr w:type="gramEnd"/>
      <w:r>
        <w:rPr>
          <w:rFonts w:ascii="Times New Roman" w:hAnsi="Times New Roman" w:cs="Times New Roman"/>
          <w:color w:val="000000"/>
          <w:kern w:val="0"/>
          <w:sz w:val="20"/>
          <w:szCs w:val="20"/>
        </w:rPr>
        <w:t xml:space="preserve"> standard-dose dual therapy in hypertensive patients (QUADUAL): Study  protocol for a randomized, blinded, crossover trial. AM HEART J 2023.</w:t>
      </w:r>
      <w:bookmarkEnd w:id="7"/>
    </w:p>
    <w:p w14:paraId="4D135D7B" w14:textId="77777777" w:rsidR="009A46F5" w:rsidRDefault="009A46F5" w:rsidP="009A46F5">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6.</w:t>
      </w:r>
      <w:r>
        <w:rPr>
          <w:rFonts w:ascii="Times New Roman" w:hAnsi="Times New Roman" w:cs="Times New Roman"/>
          <w:color w:val="000000"/>
          <w:kern w:val="0"/>
          <w:sz w:val="20"/>
          <w:szCs w:val="20"/>
        </w:rPr>
        <w:tab/>
      </w:r>
      <w:bookmarkStart w:id="8" w:name="_neb5159A877_03BB_4393_9268_011080B55372"/>
      <w:r>
        <w:rPr>
          <w:rFonts w:ascii="Times New Roman" w:hAnsi="Times New Roman" w:cs="Times New Roman"/>
          <w:color w:val="000000"/>
          <w:kern w:val="0"/>
          <w:sz w:val="20"/>
          <w:szCs w:val="20"/>
        </w:rPr>
        <w:t xml:space="preserve">Zhao X, Li X, Liu T, et al. Initial treatment with a single capsule containing half-dose quadruple </w:t>
      </w:r>
      <w:proofErr w:type="gramStart"/>
      <w:r>
        <w:rPr>
          <w:rFonts w:ascii="Times New Roman" w:hAnsi="Times New Roman" w:cs="Times New Roman"/>
          <w:color w:val="000000"/>
          <w:kern w:val="0"/>
          <w:sz w:val="20"/>
          <w:szCs w:val="20"/>
        </w:rPr>
        <w:t>therapy  versus</w:t>
      </w:r>
      <w:proofErr w:type="gramEnd"/>
      <w:r>
        <w:rPr>
          <w:rFonts w:ascii="Times New Roman" w:hAnsi="Times New Roman" w:cs="Times New Roman"/>
          <w:color w:val="000000"/>
          <w:kern w:val="0"/>
          <w:sz w:val="20"/>
          <w:szCs w:val="20"/>
        </w:rPr>
        <w:t xml:space="preserve"> standard-dose dual therapy in hypertensive patients (QUADUAL): statistical  analysis plan for a randomized, blinded, crossover trial. TRIALS </w:t>
      </w:r>
      <w:proofErr w:type="gramStart"/>
      <w:r>
        <w:rPr>
          <w:rFonts w:ascii="Times New Roman" w:hAnsi="Times New Roman" w:cs="Times New Roman"/>
          <w:color w:val="000000"/>
          <w:kern w:val="0"/>
          <w:sz w:val="20"/>
          <w:szCs w:val="20"/>
        </w:rPr>
        <w:t>2024;25:45</w:t>
      </w:r>
      <w:proofErr w:type="gramEnd"/>
      <w:r>
        <w:rPr>
          <w:rFonts w:ascii="Times New Roman" w:hAnsi="Times New Roman" w:cs="Times New Roman"/>
          <w:color w:val="000000"/>
          <w:kern w:val="0"/>
          <w:sz w:val="20"/>
          <w:szCs w:val="20"/>
        </w:rPr>
        <w:t>.</w:t>
      </w:r>
      <w:bookmarkEnd w:id="8"/>
    </w:p>
    <w:p w14:paraId="7AF60D9D" w14:textId="77777777" w:rsidR="009A46F5" w:rsidRDefault="009A46F5" w:rsidP="009A46F5">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7.</w:t>
      </w:r>
      <w:r>
        <w:rPr>
          <w:rFonts w:ascii="Times New Roman" w:hAnsi="Times New Roman" w:cs="Times New Roman"/>
          <w:color w:val="000000"/>
          <w:kern w:val="0"/>
          <w:sz w:val="20"/>
          <w:szCs w:val="20"/>
        </w:rPr>
        <w:tab/>
      </w:r>
      <w:bookmarkStart w:id="9" w:name="_neb84138DC8_0AE2_4296_9520_B80E28B124F5"/>
      <w:r>
        <w:rPr>
          <w:rFonts w:ascii="Times New Roman" w:hAnsi="Times New Roman" w:cs="Times New Roman"/>
          <w:color w:val="000000"/>
          <w:kern w:val="0"/>
          <w:sz w:val="20"/>
          <w:szCs w:val="20"/>
        </w:rPr>
        <w:t xml:space="preserve">Ullrich H, Olschewski M, </w:t>
      </w:r>
      <w:proofErr w:type="spellStart"/>
      <w:r>
        <w:rPr>
          <w:rFonts w:ascii="Times New Roman" w:hAnsi="Times New Roman" w:cs="Times New Roman"/>
          <w:color w:val="000000"/>
          <w:kern w:val="0"/>
          <w:sz w:val="20"/>
          <w:szCs w:val="20"/>
        </w:rPr>
        <w:t>Munzel</w:t>
      </w:r>
      <w:proofErr w:type="spellEnd"/>
      <w:r>
        <w:rPr>
          <w:rFonts w:ascii="Times New Roman" w:hAnsi="Times New Roman" w:cs="Times New Roman"/>
          <w:color w:val="000000"/>
          <w:kern w:val="0"/>
          <w:sz w:val="20"/>
          <w:szCs w:val="20"/>
        </w:rPr>
        <w:t xml:space="preserve"> T, Gori T. Randomized, crossover, controlled trial on the modulation of cardiac </w:t>
      </w:r>
      <w:proofErr w:type="gramStart"/>
      <w:r>
        <w:rPr>
          <w:rFonts w:ascii="Times New Roman" w:hAnsi="Times New Roman" w:cs="Times New Roman"/>
          <w:color w:val="000000"/>
          <w:kern w:val="0"/>
          <w:sz w:val="20"/>
          <w:szCs w:val="20"/>
        </w:rPr>
        <w:t>coronary  sinus</w:t>
      </w:r>
      <w:proofErr w:type="gramEnd"/>
      <w:r>
        <w:rPr>
          <w:rFonts w:ascii="Times New Roman" w:hAnsi="Times New Roman" w:cs="Times New Roman"/>
          <w:color w:val="000000"/>
          <w:kern w:val="0"/>
          <w:sz w:val="20"/>
          <w:szCs w:val="20"/>
        </w:rPr>
        <w:t xml:space="preserve"> hemodynamics to develop a new treatment for microvascular disease: Protocol  of the MACCUS trial. FRONT CARDIOVASC MED </w:t>
      </w:r>
      <w:proofErr w:type="gramStart"/>
      <w:r>
        <w:rPr>
          <w:rFonts w:ascii="Times New Roman" w:hAnsi="Times New Roman" w:cs="Times New Roman"/>
          <w:color w:val="000000"/>
          <w:kern w:val="0"/>
          <w:sz w:val="20"/>
          <w:szCs w:val="20"/>
        </w:rPr>
        <w:t>2023;10:1133014</w:t>
      </w:r>
      <w:proofErr w:type="gramEnd"/>
      <w:r>
        <w:rPr>
          <w:rFonts w:ascii="Times New Roman" w:hAnsi="Times New Roman" w:cs="Times New Roman"/>
          <w:color w:val="000000"/>
          <w:kern w:val="0"/>
          <w:sz w:val="20"/>
          <w:szCs w:val="20"/>
        </w:rPr>
        <w:t>.</w:t>
      </w:r>
      <w:bookmarkEnd w:id="9"/>
    </w:p>
    <w:p w14:paraId="4C753E10" w14:textId="77777777" w:rsidR="009A46F5" w:rsidRDefault="009A46F5" w:rsidP="009A46F5">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8.</w:t>
      </w:r>
      <w:r>
        <w:rPr>
          <w:rFonts w:ascii="Times New Roman" w:hAnsi="Times New Roman" w:cs="Times New Roman"/>
          <w:color w:val="000000"/>
          <w:kern w:val="0"/>
          <w:sz w:val="20"/>
          <w:szCs w:val="20"/>
        </w:rPr>
        <w:tab/>
      </w:r>
      <w:bookmarkStart w:id="10" w:name="_neb648AF0B6_470E_414B_BA4D_E56D1FB6E245"/>
      <w:r>
        <w:rPr>
          <w:rFonts w:ascii="Times New Roman" w:hAnsi="Times New Roman" w:cs="Times New Roman"/>
          <w:color w:val="000000"/>
          <w:kern w:val="0"/>
          <w:sz w:val="20"/>
          <w:szCs w:val="20"/>
        </w:rPr>
        <w:t xml:space="preserve">Ware J, Allen JM, Boughton CK, et al. Randomized Trial of Closed-Loop Control in Very Young Children with Type </w:t>
      </w:r>
      <w:proofErr w:type="gramStart"/>
      <w:r>
        <w:rPr>
          <w:rFonts w:ascii="Times New Roman" w:hAnsi="Times New Roman" w:cs="Times New Roman"/>
          <w:color w:val="000000"/>
          <w:kern w:val="0"/>
          <w:sz w:val="20"/>
          <w:szCs w:val="20"/>
        </w:rPr>
        <w:t>1  Diabetes</w:t>
      </w:r>
      <w:proofErr w:type="gramEnd"/>
      <w:r>
        <w:rPr>
          <w:rFonts w:ascii="Times New Roman" w:hAnsi="Times New Roman" w:cs="Times New Roman"/>
          <w:color w:val="000000"/>
          <w:kern w:val="0"/>
          <w:sz w:val="20"/>
          <w:szCs w:val="20"/>
        </w:rPr>
        <w:t xml:space="preserve">. NEW ENGL J MED </w:t>
      </w:r>
      <w:proofErr w:type="gramStart"/>
      <w:r>
        <w:rPr>
          <w:rFonts w:ascii="Times New Roman" w:hAnsi="Times New Roman" w:cs="Times New Roman"/>
          <w:color w:val="000000"/>
          <w:kern w:val="0"/>
          <w:sz w:val="20"/>
          <w:szCs w:val="20"/>
        </w:rPr>
        <w:t>2022;386:209</w:t>
      </w:r>
      <w:proofErr w:type="gramEnd"/>
      <w:r>
        <w:rPr>
          <w:rFonts w:ascii="Times New Roman" w:hAnsi="Times New Roman" w:cs="Times New Roman"/>
          <w:color w:val="000000"/>
          <w:kern w:val="0"/>
          <w:sz w:val="20"/>
          <w:szCs w:val="20"/>
        </w:rPr>
        <w:t>-19.</w:t>
      </w:r>
      <w:bookmarkEnd w:id="10"/>
    </w:p>
    <w:p w14:paraId="48DAD9BB" w14:textId="77777777" w:rsidR="009A46F5" w:rsidRDefault="009A46F5" w:rsidP="009A46F5">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9.</w:t>
      </w:r>
      <w:r>
        <w:rPr>
          <w:rFonts w:ascii="Times New Roman" w:hAnsi="Times New Roman" w:cs="Times New Roman"/>
          <w:color w:val="000000"/>
          <w:kern w:val="0"/>
          <w:sz w:val="20"/>
          <w:szCs w:val="20"/>
        </w:rPr>
        <w:tab/>
      </w:r>
      <w:bookmarkStart w:id="11" w:name="_neb7890B455_DE36_4B21_9169_AE521DA4866D"/>
      <w:r>
        <w:rPr>
          <w:rFonts w:ascii="Times New Roman" w:hAnsi="Times New Roman" w:cs="Times New Roman"/>
          <w:color w:val="000000"/>
          <w:kern w:val="0"/>
          <w:sz w:val="20"/>
          <w:szCs w:val="20"/>
        </w:rPr>
        <w:t xml:space="preserve">Roediger J, Dembek TA, </w:t>
      </w:r>
      <w:proofErr w:type="spellStart"/>
      <w:r>
        <w:rPr>
          <w:rFonts w:ascii="Times New Roman" w:hAnsi="Times New Roman" w:cs="Times New Roman"/>
          <w:color w:val="000000"/>
          <w:kern w:val="0"/>
          <w:sz w:val="20"/>
          <w:szCs w:val="20"/>
        </w:rPr>
        <w:t>Achtzehn</w:t>
      </w:r>
      <w:proofErr w:type="spellEnd"/>
      <w:r>
        <w:rPr>
          <w:rFonts w:ascii="Times New Roman" w:hAnsi="Times New Roman" w:cs="Times New Roman"/>
          <w:color w:val="000000"/>
          <w:kern w:val="0"/>
          <w:sz w:val="20"/>
          <w:szCs w:val="20"/>
        </w:rPr>
        <w:t xml:space="preserve"> J, et al. Automated deep brain stimulation programming based on electrode location: </w:t>
      </w:r>
      <w:proofErr w:type="gramStart"/>
      <w:r>
        <w:rPr>
          <w:rFonts w:ascii="Times New Roman" w:hAnsi="Times New Roman" w:cs="Times New Roman"/>
          <w:color w:val="000000"/>
          <w:kern w:val="0"/>
          <w:sz w:val="20"/>
          <w:szCs w:val="20"/>
        </w:rPr>
        <w:t xml:space="preserve">a  </w:t>
      </w:r>
      <w:proofErr w:type="spellStart"/>
      <w:r>
        <w:rPr>
          <w:rFonts w:ascii="Times New Roman" w:hAnsi="Times New Roman" w:cs="Times New Roman"/>
          <w:color w:val="000000"/>
          <w:kern w:val="0"/>
          <w:sz w:val="20"/>
          <w:szCs w:val="20"/>
        </w:rPr>
        <w:t>randomised</w:t>
      </w:r>
      <w:proofErr w:type="spellEnd"/>
      <w:proofErr w:type="gramEnd"/>
      <w:r>
        <w:rPr>
          <w:rFonts w:ascii="Times New Roman" w:hAnsi="Times New Roman" w:cs="Times New Roman"/>
          <w:color w:val="000000"/>
          <w:kern w:val="0"/>
          <w:sz w:val="20"/>
          <w:szCs w:val="20"/>
        </w:rPr>
        <w:t>, crossover trial using a data-driven algorithm. LANCET DIGIT HEALTH 2023;</w:t>
      </w:r>
      <w:proofErr w:type="gramStart"/>
      <w:r>
        <w:rPr>
          <w:rFonts w:ascii="Times New Roman" w:hAnsi="Times New Roman" w:cs="Times New Roman"/>
          <w:color w:val="000000"/>
          <w:kern w:val="0"/>
          <w:sz w:val="20"/>
          <w:szCs w:val="20"/>
        </w:rPr>
        <w:t>5:e</w:t>
      </w:r>
      <w:proofErr w:type="gramEnd"/>
      <w:r>
        <w:rPr>
          <w:rFonts w:ascii="Times New Roman" w:hAnsi="Times New Roman" w:cs="Times New Roman"/>
          <w:color w:val="000000"/>
          <w:kern w:val="0"/>
          <w:sz w:val="20"/>
          <w:szCs w:val="20"/>
        </w:rPr>
        <w:t>59-70.</w:t>
      </w:r>
      <w:bookmarkEnd w:id="11"/>
    </w:p>
    <w:p w14:paraId="439106B9" w14:textId="6CB54866" w:rsidR="00B64297" w:rsidRDefault="00CB4F3E">
      <w:r>
        <w:fldChar w:fldCharType="end"/>
      </w:r>
    </w:p>
    <w:sectPr w:rsidR="00B642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15DE604E"/>
    <w:lvl w:ilvl="0">
      <w:numFmt w:val="bullet"/>
      <w:lvlText w:val="*"/>
      <w:lvlJc w:val="left"/>
    </w:lvl>
  </w:abstractNum>
  <w:abstractNum w:abstractNumId="1" w15:restartNumberingAfterBreak="0">
    <w:nsid w:val="6CE00D9F"/>
    <w:multiLevelType w:val="multilevel"/>
    <w:tmpl w:val="A7E6D270"/>
    <w:lvl w:ilvl="0">
      <w:start w:val="8"/>
      <w:numFmt w:val="decimal"/>
      <w:pStyle w:val="Heading1"/>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2130125651">
    <w:abstractNumId w:val="0"/>
    <w:lvlOverride w:ilvl="0">
      <w:lvl w:ilvl="0">
        <w:numFmt w:val="bullet"/>
        <w:lvlText w:val=""/>
        <w:legacy w:legacy="1" w:legacySpace="0" w:legacyIndent="0"/>
        <w:lvlJc w:val="left"/>
        <w:rPr>
          <w:rFonts w:ascii="Symbol" w:hAnsi="Symbol" w:hint="default"/>
        </w:rPr>
      </w:lvl>
    </w:lvlOverride>
  </w:num>
  <w:num w:numId="2" w16cid:durableId="1207453556">
    <w:abstractNumId w:val="1"/>
  </w:num>
  <w:num w:numId="3" w16cid:durableId="623968385">
    <w:abstractNumId w:val="1"/>
    <w:lvlOverride w:ilvl="0">
      <w:lvl w:ilvl="0">
        <w:start w:val="8"/>
        <w:numFmt w:val="decimal"/>
        <w:pStyle w:val="Heading1"/>
        <w:lvlText w:val="%1"/>
        <w:lvlJc w:val="left"/>
        <w:pPr>
          <w:ind w:left="425" w:hanging="425"/>
        </w:pPr>
        <w:rPr>
          <w:rFonts w:hint="eastAsia"/>
        </w:rPr>
      </w:lvl>
    </w:lvlOverride>
    <w:lvlOverride w:ilvl="1">
      <w:lvl w:ilvl="1">
        <w:start w:val="1"/>
        <w:numFmt w:val="decimal"/>
        <w:pStyle w:val="Heading2"/>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3FFE2BF7-62A0-4C50-A362-DDB84609F227}" w:val=" ADDIN NE.Ref.{3FFE2BF7-62A0-4C50-A362-DDB84609F227}&lt;Citation&gt;&lt;Group&gt;&lt;References&gt;&lt;Item&gt;&lt;ID&gt;8&lt;/ID&gt;&lt;UID&gt;{E2CD9A18-DEF2-4B6B-A606-B94E0D54922E}&lt;/UID&gt;&lt;Title&gt;医学统计学&lt;/Title&gt;&lt;Template&gt;Book&lt;/Template&gt;&lt;Star&gt;0&lt;/Star&gt;&lt;Tag&gt;0&lt;/Tag&gt;&lt;Author&gt;颜虹; 徐勇勇&lt;/Author&gt;&lt;Year&gt;2015&lt;/Year&gt;&lt;Details&gt;&lt;_accessed&gt;64982018&lt;/_accessed&gt;&lt;_created&gt;63171173&lt;/_created&gt;&lt;_edition&gt;3版&lt;/_edition&gt;&lt;_modified&gt;64979736&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4C3F1C84-B37F-472E-A3A4-5C9CB57AE730}" w:val=" ADDIN NE.Ref.{4C3F1C84-B37F-472E-A3A4-5C9CB57AE730}&lt;Citation&gt;&lt;Group&gt;&lt;References&gt;&lt;Item&gt;&lt;ID&gt;23&lt;/ID&gt;&lt;UID&gt;{648AF0B6-470E-414B-BA4D-E56D1FB6E245}&lt;/UID&gt;&lt;Title&gt;Randomized Trial of Closed-Loop Control in Very Young Children with Type 1  Diabetes&lt;/Title&gt;&lt;Template&gt;Journal Article&lt;/Template&gt;&lt;Star&gt;0&lt;/Star&gt;&lt;Tag&gt;0&lt;/Tag&gt;&lt;Author&gt;Ware, J; Allen, J M; Boughton, C K; Wilinska, M E; Hartnell, S; Thankamony, A; de Beaufort, C; Schierloh, U; Frohlich-Reiterer, E; Mader, J K; Kapellen, T M; Rami-Merhar, B; Tauschmann, M; Nagl, K; Hofer, S E; Campbell, F M; Yong, J; Hood, K K; Lawton, J; Roze, S; Sibayan, J; Bocchino, L E; Kollman, C; Hovorka, R&lt;/Author&gt;&lt;Year&gt;2022&lt;/Year&gt;&lt;Details&gt;&lt;_accessed&gt;64898478&lt;/_accessed&gt;&lt;_accession_num&gt;35045227&lt;/_accession_num&gt;&lt;_author_adr&gt;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 From the Wellcome Trust-Medical Research Council (MRC) Institute of Metabolic  Science (J.W., J.M.A., C.K.B., M.E.W., R.H.) and the Department of Paediatrics  (J.W., M.E.W., A.T., R.H.), University of Cambridge, and the Wolfson Diabetes and  Endocrine Clinic, Cambridge University Hospitals NHS Foundation Trust (S.H.),  Cambridge, the Department of Paediatric Diabetes, Leeds Children&amp;apos;s Hospital,  Leeds (F.M.C., J.Y.), and Usher Institute, University of Edinburgh, Edinburgh  (J.L.) - all in the United Kingdom; Diabetes and Endocrine Care Clinique  Pediatrique, Clinique Pediatrique, Centre Hospitalier de Luxembourg, Luxembourg  (C.B., U.S.); the Department of Pediatric Endocrinology, Universitair Ziekenhuis  Brussel-Vrije Universiteit Brussel, Brussels (C.B.); the Department of Pediatric  and Adolescent Medicine (E.F.-R.), and the Division of Endocrinology and  Diabetology, Department of Internal Medicine (J.K.M.), Medical University of  Graz, Graz, the Department of Pediatrics and Adolescent Medicine, Medical  University of Vienna, Vienna (B.R.-M., M.T., K.N.), and the Department of  Pediatrics I, Medical University of Innsbruck, Innsbruck (S.E.H.) - all in  Austria; the Hospital for Children and Adolescents, University of Leipzig,  Leipzig, and the Hospital for Children and Adolescents &amp;quot;am Nicolausholz,&amp;quot; Bad  Kosen - both in Germany (T.M.K.); the Division of Pediatric Endocrinology,  Stanford University, Stanford, CA (K.K.H.); Vyoo Agency, Lyon, France (S.R.); and  the Jaeb Center for Health Research, Tampa, FL (J.S., L.E.B., C.K.).&lt;/_author_adr&gt;&lt;_collection_scope&gt;SCIE&lt;/_collection_scope&gt;&lt;_created&gt;64886233&lt;/_created&gt;&lt;_date&gt;2022-01-20&lt;/_date&gt;&lt;_date_display&gt;2022 Jan 20&lt;/_date_display&gt;&lt;_db_updated&gt;PubMed&lt;/_db_updated&gt;&lt;_doi&gt;10.1056/NEJMoa2111673&lt;/_doi&gt;&lt;_impact_factor&gt; 176.079&lt;/_impact_factor&gt;&lt;_isbn&gt;1533-4406 (Electronic); 0028-4793 (Linking)&lt;/_isbn&gt;&lt;_issue&gt;3&lt;/_issue&gt;&lt;_journal&gt;N Engl J Med&lt;/_journal&gt;&lt;_language&gt;eng&lt;/_language&gt;&lt;_modified&gt;64898478&lt;/_modified&gt;&lt;_ori_publication&gt;Copyright (c) 2022 Massachusetts Medical Society.&lt;/_ori_publication&gt;&lt;_pages&gt;209-219&lt;/_pages&gt;&lt;_social_category&gt;医学：内科(1)&lt;/_social_category&gt;&lt;_subject_headings&gt;Algorithms; Blood Glucose/analysis; Child; Child, Preschool; Cross-Over Studies; Diabetes Mellitus, Type 1/*drug therapy; Equipment Design; Female; Glycated Hemoglobin/analysis; Glycemic Control/*instrumentation/methods; Humans; Hyperglycemia/diagnosis; Hypoglycemic Agents/*administration &amp;amp; dosage; Infant; Insulin/*administration &amp;amp; dosage; *Insulin Infusion Systems; Male; *Pancreas, Artificial&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35045227&amp;amp;query_hl=1&lt;/_url&gt;&lt;_volume&gt;386&lt;/_volume&gt;&lt;/Details&gt;&lt;Extra&gt;&lt;DBUID&gt;{1F004544-7F3B-46C7-B932-C63AA7CCA45F}&lt;/DBUID&gt;&lt;/Extra&gt;&lt;/Item&gt;&lt;/References&gt;&lt;/Group&gt;&lt;/Citation&gt;_x000a_"/>
    <w:docVar w:name="NE.Ref{6DCFDB92-11A8-4D79-A06D-5A6DC7A0CAE8}" w:val=" ADDIN NE.Ref.{6DCFDB92-11A8-4D79-A06D-5A6DC7A0CAE8}&lt;Citation&gt;&lt;Group&gt;&lt;References&gt;&lt;Item&gt;&lt;ID&gt;72&lt;/ID&gt;&lt;UID&gt;{7890B455-DE36-4B21-9169-AE521DA4866D}&lt;/UID&gt;&lt;Title&gt;Automated deep brain stimulation programming based on electrode location: a  randomised, crossover trial using a data-driven algorithm&lt;/Title&gt;&lt;Template&gt;Journal Article&lt;/Template&gt;&lt;Star&gt;0&lt;/Star&gt;&lt;Tag&gt;0&lt;/Tag&gt;&lt;Author&gt;Roediger, J; Dembek, T A; Achtzehn, J; Busch, J L; Kramer, A P; Faust, K; Schneider, G H; Krause, P; Horn, A; Kuhn, A A&lt;/Author&gt;&lt;Year&gt;2023&lt;/Year&gt;&lt;Details&gt;&lt;_accessed&gt;64935264&lt;/_accessed&gt;&lt;_accession_num&gt;36528541&lt;/_accession_num&gt;&lt;_author_adr&gt;Movement Disorders and Neuromodulation Unit, Department of Neurology, Charite -  Universitatsmedizin Berlin, corporate member of Freie Universitat Berlin and  Humboldt-Universitat zu Berlin, Berlin, Germany; Einstein Center for  Neurosciences Berlin, Charite - Universitatsmedizin Berlin, corporate member of  Freie Universitat Berlin and Humboldt-Universitat zu Berlin, Berlin, Germany.; Department of Neurology, Faculty of Medicine, University of Cologne, Cologne,  Germany.; Movement Disorders and Neuromodulation Unit, Department of Neurology, Charite -  Universitatsmedizin Berlin, corporate member of Freie Universitat Berlin and  Humboldt-Universitat zu Berlin, Berlin, Germany.; Movement Disorders and Neuromodulation Unit, Department of Neurology, Charite -  Universitatsmedizin Berlin, corporate member of Freie Universitat Berlin and  Humboldt-Universitat zu Berlin, Berlin, Germany.; Movement Disorders and Neuromodulation Unit, Department of Neurology, Charite -  Universitatsmedizin Berlin, corporate member of Freie Universitat Berlin and  Humboldt-Universitat zu Berlin, Berlin, Germany.; Department of Neurosurgery, Charite - Universitatsmedizin Berlin, corporate  member of Freie Universitat Berlin and Humboldt-Universitat zu Berlin, Berlin,  Germany.; Department of Neurosurgery, Charite - Universitatsmedizin Berlin, corporate  member of Freie Universitat Berlin and Humboldt-Universitat zu Berlin, Berlin,  Germany.; Movement Disorders and Neuromodulation Unit, Department of Neurology, Charite -  Universitatsmedizin Berlin, corporate member of Freie Universitat Berlin and  Humboldt-Universitat zu Berlin, Berlin, Germany.; Movement Disorders and Neuromodulation Unit, Department of Neurology, Charite -  Universitatsmedizin Berlin, corporate member of Freie Universitat Berlin and  Humboldt-Universitat zu Berlin, Berlin, Germany; Center for Brain Circuit  Therapeutics, Department of Neurology, Brigham &amp;amp; Women&amp;apos;s Hospital, Harvard  Medical School, Boston, MA, USA; MGH Neurosurgery and Center for Neurotechnology  and Neurorecovery (CNTR) at MGH Neurology, Massachusetts General Hospital,  Harvard Medical School, Boston, MA, USA.; Movement Disorders and Neuromodulation Unit, Department of Neurology, Charite -  Universitatsmedizin Berlin, corporate member of Freie Universitat Berlin and  Humboldt-Universitat zu Berlin, Berlin, Germany; Einstein Center for  Neurosciences Berlin, Charite - Universitatsmedizin Berlin, corporate member of  Freie Universitat Berlin and Humboldt-Universitat zu Berlin, Berlin, Germany;  NeuroCure Clinical Research Centre, Charite - Universitatsmedizin Berlin,  corporate member of Freie Universitat Berlin and Humboldt-Universitat zu Berlin,  Berlin, Germany; Berlin School of Mind and Brain, Humboldt-Universitat zu Berlin,  Berlin, Germany; DZNE, German Center for Degenerative Diseases, Berlin, Germany.  Electronic address: andrea.kuehn@charite.de.&lt;/_author_adr&gt;&lt;_collection_scope&gt;SCIE;EI&lt;/_collection_scope&gt;&lt;_created&gt;64934511&lt;/_created&gt;&lt;_date&gt;2023-02-01&lt;/_date&gt;&lt;_date_display&gt;2023 Feb&lt;/_date_display&gt;&lt;_db_updated&gt;PubMed&lt;/_db_updated&gt;&lt;_doi&gt;10.1016/S2589-7500(22)00214-X&lt;/_doi&gt;&lt;_impact_factor&gt;  36.615&lt;/_impact_factor&gt;&lt;_isbn&gt;2589-7500 (Electronic); 2589-7500 (Linking)&lt;/_isbn&gt;&lt;_issue&gt;2&lt;/_issue&gt;&lt;_journal&gt;Lancet Digit Health&lt;/_journal&gt;&lt;_language&gt;eng&lt;/_language&gt;&lt;_modified&gt;64935264&lt;/_modified&gt;&lt;_ori_publication&gt;Copyright (c) 2023 The Author(s). Published by Elsevier Ltd. This is an Open Access _x000d__x000a_      article under the CC BY-NC-ND 4.0 license. Published by Elsevier Ltd.. All rights _x000d__x000a_      reserved.&lt;/_ori_publication&gt;&lt;_pages&gt;e59-e70&lt;/_pages&gt;&lt;_social_category&gt;医学：信息(1) &amp;amp; 医学：内科(1)&lt;/_social_category&gt;&lt;_subject_headings&gt;Humans; *Parkinson Disease/drug therapy; *Deep Brain Stimulation/methods; Cross-Over Studies; *Subthalamic Nucleus/physiology/surgery; Electrodes&lt;/_subject_headings&gt;&lt;_tertiary_title&gt;The Lancet. Digital health&lt;/_tertiary_title&gt;&lt;_type_work&gt;Journal Article; Randomized Controlled Trial; Research Support, N.I.H., Extramural; Research Support, Non-U.S. Gov&amp;apos;t&lt;/_type_work&gt;&lt;_url&gt;http://www.ncbi.nlm.nih.gov/entrez/query.fcgi?cmd=Retrieve&amp;amp;db=pubmed&amp;amp;dopt=Abstract&amp;amp;list_uids=36528541&amp;amp;query_hl=1&lt;/_url&gt;&lt;_volume&gt;5&lt;/_volume&gt;&lt;/Details&gt;&lt;Extra&gt;&lt;DBUID&gt;{1F004544-7F3B-46C7-B932-C63AA7CCA45F}&lt;/DBUID&gt;&lt;/Extra&gt;&lt;/Item&gt;&lt;/References&gt;&lt;/Group&gt;&lt;/Citation&gt;_x000a_"/>
    <w:docVar w:name="NE.Ref{84AB9F79-C355-494E-A92F-4C106B8E4D22}" w:val=" ADDIN NE.Ref.{84AB9F79-C355-494E-A92F-4C106B8E4D22}&lt;Citation&gt;&lt;Group&gt;&lt;References&gt;&lt;Item&gt;&lt;ID&gt;82&lt;/ID&gt;&lt;UID&gt;{852DA8B1-E20E-4B6E-9434-54CCF5E929DE}&lt;/UID&gt;&lt;Title&gt;Sample Sizes for Clinical Trials&lt;/Title&gt;&lt;Template&gt;Book&lt;/Template&gt;&lt;Star&gt;0&lt;/Star&gt;&lt;Tag&gt;0&lt;/Tag&gt;&lt;Author&gt;Juliouis, Steven A&lt;/Author&gt;&lt;Year&gt;2010&lt;/Year&gt;&lt;Details&gt;&lt;_accessed&gt;64969335&lt;/_accessed&gt;&lt;_created&gt;64969093&lt;/_created&gt;&lt;_modified&gt;64969335&lt;/_modified&gt;&lt;_publisher&gt;CRC Press&lt;/_publisher&gt;&lt;/Details&gt;&lt;Extra&gt;&lt;DBUID&gt;{1F004544-7F3B-46C7-B932-C63AA7CCA45F}&lt;/DBUID&gt;&lt;/Extra&gt;&lt;/Item&gt;&lt;/References&gt;&lt;/Group&gt;&lt;/Citation&gt;_x000a_"/>
    <w:docVar w:name="NE.Ref{A326E0FA-2D60-4A7E-991F-133CF35D2B18}" w:val=" ADDIN NE.Ref.{A326E0FA-2D60-4A7E-991F-133CF35D2B18}&lt;Citation&gt;&lt;Group&gt;&lt;References&gt;&lt;Item&gt;&lt;ID&gt;102&lt;/ID&gt;&lt;UID&gt;{5159A877-03BB-4393-9268-011080B55372}&lt;/UID&gt;&lt;Title&gt;Initial treatment with a single capsule containing half-dose quadruple therapy  versus standard-dose dual therapy in hypertensive patients (QUADUAL): statistical  analysis plan for a randomized, blinded, crossover trial&lt;/Title&gt;&lt;Template&gt;Journal Article&lt;/Template&gt;&lt;Star&gt;0&lt;/Star&gt;&lt;Tag&gt;0&lt;/Tag&gt;&lt;Author&gt;Zhao, X; Li, X; Liu, T; Yang, G; Chen, Y; Huang, M; Zhao, L; Li, X; Jiang, W&lt;/Author&gt;&lt;Year&gt;2024&lt;/Year&gt;&lt;Details&gt;&lt;_accession_num&gt;38218924&lt;/_accession_num&gt;&lt;_author_adr&gt;Department of Cardiology, The Third Xiangya Hospital of Central South University,  138 Tongzipo Road, Yuelu District, Changsha, 410013, Hunan, China.; Department of Epidemiology, XiangYa School of Public Health, Changsha, China.; Department of Cardiology, The Third Xiangya Hospital of Central South University,  138 Tongzipo Road, Yuelu District, Changsha, 410013, Hunan, China.; Center of Clinical Pharmacology, The Third Xiangya Hospital of Central South  University, 138 Tongzipo Road, Yuelu District, Changsha, 410013, Hunan, China.; Department of Clinical Pharmacology, XiangYa School of Pharmaceutical Sciences,  Changsha, China.; Department of Cardiology, The Third Xiangya Hospital of Central South University,  138 Tongzipo Road, Yuelu District, Changsha, 410013, Hunan, China.; Department of Cardiology, The Third Xiangya Hospital of Central South University,  138 Tongzipo Road, Yuelu District, Changsha, 410013, Hunan, China.; Department of Cardiology, The Third Xiangya Hospital of Central South University,  138 Tongzipo Road, Yuelu District, Changsha, 410013, Hunan, China.; Department of Cardiology, The Third Xiangya Hospital of Central South University,  138 Tongzipo Road, Yuelu District, Changsha, 410013, Hunan, China.  hnxylxg@csu.edu.cn.; Department of Cardiology, The Third Xiangya Hospital of Central South University,  138 Tongzipo Road, Yuelu District, Changsha, 410013, Hunan, China.  jiangweihongdoc@163.com.; Hypertension Research Center of Hunan Province, Changsha, Hunan, China.  jiangweihongdoc@163.com.&lt;/_author_adr&gt;&lt;_date_display&gt;2024 Jan 13&lt;/_date_display&gt;&lt;_date&gt;2024-01-13&lt;/_date&gt;&lt;_doi&gt;10.1186/s13063-023-07803-1&lt;/_doi&gt;&lt;_isbn&gt;1745-6215 (Electronic); 1745-6215 (Linking)&lt;/_isbn&gt;&lt;_issue&gt;1&lt;/_issue&gt;&lt;_journal&gt;Trials&lt;/_journal&gt;&lt;_keywords&gt;Antihypertensive; Hypertension; Low-dose combination; Randomized controlled trial; Statistical analysis plan&lt;/_keywords&gt;&lt;_language&gt;eng&lt;/_language&gt;&lt;_ori_publication&gt;(c) 2024. The Author(s).&lt;/_ori_publication&gt;&lt;_pages&gt;45&lt;/_pages&gt;&lt;_subject_headings&gt;Humans; Amlodipine/adverse effects; *Antihypertensive Agents/adverse effects; Blood Pressure; Blood Pressure Monitoring, Ambulatory; Cross-Over Studies; Double-Blind Method; Drug Combinations; *Hypertension/diagnosis/drug therapy; Irbesartan/adverse effects; Treatment Outcome&lt;/_subject_headings&gt;&lt;_tertiary_title&gt;Trials&lt;/_tertiary_title&gt;&lt;_type_work&gt;Journal Article; Randomized Controlled Trial&lt;/_type_work&gt;&lt;_url&gt;http://www.ncbi.nlm.nih.gov/entrez/query.fcgi?cmd=Retrieve&amp;amp;db=pubmed&amp;amp;dopt=Abstract&amp;amp;list_uids=38218924&amp;amp;query_hl=1&lt;/_url&gt;&lt;_volume&gt;25&lt;/_volume&gt;&lt;_created&gt;65742849&lt;/_created&gt;&lt;_modified&gt;65742849&lt;/_modified&gt;&lt;_db_updated&gt;PubMed&lt;/_db_updated&gt;&lt;_impact_factor&gt;   2.728&lt;/_impact_factor&gt;&lt;_social_category&gt;医学：研究与实验(4)&lt;/_social_category&gt;&lt;_collection_scope&gt;SCIE&lt;/_collection_scope&gt;&lt;_accessed&gt;65742849&lt;/_accessed&gt;&lt;/Details&gt;&lt;Extra&gt;&lt;DBUID&gt;{1F004544-7F3B-46C7-B932-C63AA7CCA45F}&lt;/DBUID&gt;&lt;/Extra&gt;&lt;/Item&gt;&lt;/References&gt;&lt;/Group&gt;&lt;/Citation&gt;_x000a_"/>
    <w:docVar w:name="NE.Ref{A9133880-F74B-49F7-B24C-5F1BE6B127DA}" w:val=" ADDIN NE.Ref.{A9133880-F74B-49F7-B24C-5F1BE6B127DA}&lt;Citation&gt;&lt;Group&gt;&lt;References&gt;&lt;Item&gt;&lt;ID&gt;73&lt;/ID&gt;&lt;UID&gt;{84138DC8-0AE2-4296-9520-B80E28B124F5}&lt;/UID&gt;&lt;Title&gt;Randomized, crossover, controlled trial on the modulation of cardiac coronary  sinus hemodynamics to develop a new treatment for microvascular disease: Protocol  of the MACCUS trial&lt;/Title&gt;&lt;Template&gt;Journal Article&lt;/Template&gt;&lt;Star&gt;0&lt;/Star&gt;&lt;Tag&gt;0&lt;/Tag&gt;&lt;Author&gt;Ullrich, H; Olschewski, M; Munzel, T; Gori, T&lt;/Author&gt;&lt;Year&gt;2023&lt;/Year&gt;&lt;Details&gt;&lt;_accessed&gt;64936130&lt;/_accessed&gt;&lt;_accession_num&gt;36873411&lt;/_accession_num&gt;&lt;_author_adr&gt;Department of Cardiology, Cardiology I, University Medical Center Mainz, Mainz,  Germany.; German Centre for Cardiovascular Research, Standort RheinMain, Mainz, Germany.; Department of Cardiology, Cardiology I, University Medical Center Mainz, Mainz,  Germany.; German Centre for Cardiovascular Research, Standort RheinMain, Mainz, Germany.; Department of Cardiology, Cardiology I, University Medical Center Mainz, Mainz,  Germany.; German Centre for Cardiovascular Research, Standort RheinMain, Mainz, Germany.; Department of Cardiology, Cardiology I, University Medical Center Mainz, Mainz,  Germany.; German Centre for Cardiovascular Research, Standort RheinMain, Mainz, Germany.&lt;/_author_adr&gt;&lt;_collection_scope&gt;SCIE&lt;/_collection_scope&gt;&lt;_created&gt;64935264&lt;/_created&gt;&lt;_date&gt;2023-01-20&lt;/_date&gt;&lt;_date_display&gt;2023&lt;/_date_display&gt;&lt;_db_updated&gt;PubMed&lt;/_db_updated&gt;&lt;_doi&gt;10.3389/fcvm.2023.1133014&lt;/_doi&gt;&lt;_impact_factor&gt;   5.846&lt;/_impact_factor&gt;&lt;_isbn&gt;2297-055X (Print); 2297-055X (Electronic); 2297-055X (Linking)&lt;/_isbn&gt;&lt;_journal&gt;Front Cardiovasc Med&lt;/_journal&gt;&lt;_keywords&gt;arterial microcirculation; coronary microvascular dysfunction; coronary sinus; fractional flow reserve; microvascular angina&lt;/_keywords&gt;&lt;_language&gt;eng&lt;/_language&gt;&lt;_modified&gt;64936130&lt;/_modified&gt;&lt;_ori_publication&gt;Copyright (c) 2023 Ullrich, Olschewski, Munzel and Gori.&lt;/_ori_publication&gt;&lt;_pages&gt;1133014&lt;/_pages&gt;&lt;_social_category&gt;心脏和心血管系统(3)&lt;/_social_category&gt;&lt;_tertiary_title&gt;Frontiers in cardiovascular medicine&lt;/_tertiary_title&gt;&lt;_type_work&gt;Journal Article&lt;/_type_work&gt;&lt;_url&gt;http://www.ncbi.nlm.nih.gov/entrez/query.fcgi?cmd=Retrieve&amp;amp;db=pubmed&amp;amp;dopt=Abstract&amp;amp;list_uids=36873411&amp;amp;query_hl=1&lt;/_url&gt;&lt;_volume&gt;10&lt;/_volume&gt;&lt;/Details&gt;&lt;Extra&gt;&lt;DBUID&gt;{1F004544-7F3B-46C7-B932-C63AA7CCA45F}&lt;/DBUID&gt;&lt;/Extra&gt;&lt;/Item&gt;&lt;/References&gt;&lt;/Group&gt;&lt;/Citation&gt;_x000a_"/>
    <w:docVar w:name="NE.Ref{AC1C9DF5-EE41-446A-A355-3286E6BDC3F3}" w:val=" ADDIN NE.Ref.{AC1C9DF5-EE41-446A-A355-3286E6BDC3F3}&lt;Citation&gt;&lt;Group&gt;&lt;References&gt;&lt;Item&gt;&lt;ID&gt;71&lt;/ID&gt;&lt;UID&gt;{56219C44-CB1D-413D-8179-58AB0794B431}&lt;/UID&gt;&lt;Title&gt;Initial treatment with a single capsule containing half-dose quadruple therapy  versus standard-dose dual therapy in hypertensive patients (QUADUAL): Study  protocol for a randomized, blinded, crossover trial&lt;/Title&gt;&lt;Template&gt;Journal Article&lt;/Template&gt;&lt;Star&gt;0&lt;/Star&gt;&lt;Tag&gt;0&lt;/Tag&gt;&lt;Author&gt;Zhao, X; Chen, Y; Yang, G; Li, X; Tang, X; Yang, Q; Peng, L; Li, J; Liang, Z; Li, A; Wang, W; Huang, M; Liu, T; Li, X; Jiang, W&lt;/Author&gt;&lt;Year&gt;2023&lt;/Year&gt;&lt;Details&gt;&lt;_accessed&gt;64934511&lt;/_accessed&gt;&lt;_accession_num&gt;37276913&lt;/_accession_num&gt;&lt;_author_adr&gt;Department of Cardiology, The Third Xiangya Hospital of Central South University.; Department of Cardiology, The Third Xiangya Hospital of Central South University.; Center of Clinical Pharmacology, The Third Xiangya Hospital of Central South  University; Department of Clinical Pharmacology, XiangYa School of Pharmaceutical  Sciences.; Department of Epidemiology, XiangYa School of Public Health.; Department of Cardiology, The Third Xiangya Hospital of Central South University.; Department of Cardiology, The Third Xiangya Hospital of Central South University.; Department of Cardiology, The Third Xiangya Hospital of Central South University.; Department of Cardiology, The Third Xiangya Hospital of Central South University.; Department of Cardiology, The Third Xiangya Hospital of Central South University.; Department of Cardiology, The Third Xiangya Hospital of Central South University.; Department of Cardiology, The Third Xiangya Hospital of Central South University.; Department of Cardiology, The Third Xiangya Hospital of Central South University.; Department of Cardiology, The Third Xiangya Hospital of Central South University.; Department of Cardiology, The Third Xiangya Hospital of Central South University.  Electronic address: hnxylxg@csu.edu.cn.; Department of Cardiology, The Third Xiangya Hospital of Central South University;  Hypertension Research Center of Hunan Province, Changsha, Hunan, China.  Electronic address: jiangweihongdoc@163.com.&lt;/_author_adr&gt;&lt;_collection_scope&gt;SCIE&lt;/_collection_scope&gt;&lt;_created&gt;64934485&lt;/_created&gt;&lt;_date&gt;2023-06-03&lt;/_date&gt;&lt;_date_display&gt;2023 Jun 3&lt;/_date_display&gt;&lt;_db_updated&gt;PubMed&lt;/_db_updated&gt;&lt;_doi&gt;10.1016/j.ahj.2023.05.019&lt;/_doi&gt;&lt;_impact_factor&gt;   5.099&lt;/_impact_factor&gt;&lt;_isbn&gt;1097-6744 (Electronic); 0002-8703 (Linking)&lt;/_isbn&gt;&lt;_journal&gt;Am Heart J&lt;/_journal&gt;&lt;_keywords&gt;antihypertensive; hypertension; low-dose combination; protocol; randomized controlled trial&lt;/_keywords&gt;&lt;_language&gt;eng&lt;/_language&gt;&lt;_modified&gt;64934511&lt;/_modified&gt;&lt;_ori_publication&gt;Copyright (c) 2023. Published by Elsevier Inc.&lt;/_ori_publication&gt;&lt;_social_category&gt;心脏和心血管系统(2)&lt;/_social_category&gt;&lt;_tertiary_title&gt;American heart journal&lt;/_tertiary_title&gt;&lt;_type_work&gt;Journal Article&lt;/_type_work&gt;&lt;_url&gt;http://www.ncbi.nlm.nih.gov/entrez/query.fcgi?cmd=Retrieve&amp;amp;db=pubmed&amp;amp;dopt=Abstract&amp;amp;list_uids=37276913&amp;amp;query_hl=1&lt;/_url&gt;&lt;/Details&gt;&lt;Extra&gt;&lt;DBUID&gt;{1F004544-7F3B-46C7-B932-C63AA7CCA45F}&lt;/DBUID&gt;&lt;/Extra&gt;&lt;/Item&gt;&lt;/References&gt;&lt;/Group&gt;&lt;/Citation&gt;_x000a_"/>
    <w:docVar w:name="NE.Ref{D9CC96AD-41BC-40DD-BA48-EF425B70974C}" w:val=" ADDIN NE.Ref.{D9CC96AD-41BC-40DD-BA48-EF425B70974C}&lt;Citation&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82023&lt;/_accessed&gt;&lt;_created&gt;64898564&lt;/_created&gt;&lt;_edition&gt;Third Edition&lt;/_edition&gt;&lt;_modified&gt;64980503&lt;/_modified&gt;&lt;_publisher&gt;CRC Press&lt;/_publisher&gt;&lt;/Details&gt;&lt;Extra&gt;&lt;DBUID&gt;{1F004544-7F3B-46C7-B932-C63AA7CCA45F}&lt;/DBUID&gt;&lt;/Extra&gt;&lt;/Item&gt;&lt;/References&gt;&lt;/Group&gt;&lt;/Citation&gt;_x000a_"/>
    <w:docVar w:name="NE.Ref{EB53B2C2-32CA-4E32-8313-C5253D04A0CA}" w:val=" ADDIN NE.Ref.{EB53B2C2-32CA-4E32-8313-C5253D04A0CA}&lt;Citation&gt;&lt;Group&gt;&lt;References&gt;&lt;Item&gt;&lt;ID&gt;79&lt;/ID&gt;&lt;UID&gt;{35AA1771-ABD8-483E-AEDF-7F7DE3A26BFA}&lt;/UID&gt;&lt;Title&gt;医疗器械临床试验统计方法&lt;/Title&gt;&lt;Template&gt;Book&lt;/Template&gt;&lt;Star&gt;0&lt;/Star&gt;&lt;Tag&gt;0&lt;/Tag&gt;&lt;Author&gt;李卫&lt;/Author&gt;&lt;Year&gt;2016&lt;/Year&gt;&lt;Details&gt;&lt;_accessed&gt;64982018&lt;/_accessed&gt;&lt;_created&gt;64965577&lt;/_created&gt;&lt;_edition&gt;2版&lt;/_edition&gt;&lt;_modified&gt;64982018&lt;/_modified&gt;&lt;_place_published&gt;北京&lt;/_place_published&gt;&lt;_publisher&gt;科学出版社&lt;/_publisher&gt;&lt;_translated_author&gt;Li, Wei&lt;/_translated_author&gt;&lt;/Details&gt;&lt;Extra&gt;&lt;DBUID&gt;{1F004544-7F3B-46C7-B932-C63AA7CCA45F}&lt;/DBUID&gt;&lt;/Extra&gt;&lt;/Item&gt;&lt;/References&gt;&lt;/Group&gt;&lt;/Citation&gt;_x000a_"/>
    <w:docVar w:name="NE.Ref{FDC18E20-5303-401B-82D9-856043555F90}" w:val=" ADDIN NE.Ref.{FDC18E20-5303-401B-82D9-856043555F90}&lt;Citation&gt;&lt;Group&gt;&lt;References&gt;&lt;Item&gt;&lt;ID&gt;8&lt;/ID&gt;&lt;UID&gt;{E2CD9A18-DEF2-4B6B-A606-B94E0D54922E}&lt;/UID&gt;&lt;Title&gt;医学统计学&lt;/Title&gt;&lt;Template&gt;Book&lt;/Template&gt;&lt;Star&gt;0&lt;/Star&gt;&lt;Tag&gt;0&lt;/Tag&gt;&lt;Author&gt;颜虹; 徐勇勇&lt;/Author&gt;&lt;Year&gt;2015&lt;/Year&gt;&lt;Details&gt;&lt;_accessed&gt;64963972&lt;/_accessed&gt;&lt;_created&gt;63171173&lt;/_created&gt;&lt;_edition&gt;3版&lt;/_edition&gt;&lt;_modified&gt;64963969&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_docsoft" w:val="MSWord"/>
    <w:docVar w:name="ne_docversion" w:val="NoteExpress 2.0"/>
    <w:docVar w:name="ne_stylename" w:val="New England J Medicine"/>
  </w:docVars>
  <w:rsids>
    <w:rsidRoot w:val="00BF6792"/>
    <w:rsid w:val="00005400"/>
    <w:rsid w:val="00007E92"/>
    <w:rsid w:val="0005058A"/>
    <w:rsid w:val="00197307"/>
    <w:rsid w:val="001A1CF7"/>
    <w:rsid w:val="001C279E"/>
    <w:rsid w:val="001C5FED"/>
    <w:rsid w:val="001D236B"/>
    <w:rsid w:val="001E7129"/>
    <w:rsid w:val="00276ED0"/>
    <w:rsid w:val="003A3C48"/>
    <w:rsid w:val="003E0D6F"/>
    <w:rsid w:val="004567E1"/>
    <w:rsid w:val="00465911"/>
    <w:rsid w:val="00482547"/>
    <w:rsid w:val="00485E74"/>
    <w:rsid w:val="004B7129"/>
    <w:rsid w:val="004F3716"/>
    <w:rsid w:val="00511FA6"/>
    <w:rsid w:val="00542E7F"/>
    <w:rsid w:val="00554C0A"/>
    <w:rsid w:val="005A1343"/>
    <w:rsid w:val="005E31B9"/>
    <w:rsid w:val="005E5487"/>
    <w:rsid w:val="00644636"/>
    <w:rsid w:val="006D495D"/>
    <w:rsid w:val="006D5ED6"/>
    <w:rsid w:val="007002F4"/>
    <w:rsid w:val="007133D2"/>
    <w:rsid w:val="00754C19"/>
    <w:rsid w:val="00785F30"/>
    <w:rsid w:val="007A7D0E"/>
    <w:rsid w:val="007B0F7D"/>
    <w:rsid w:val="007E1494"/>
    <w:rsid w:val="0084778F"/>
    <w:rsid w:val="0088625B"/>
    <w:rsid w:val="008C358D"/>
    <w:rsid w:val="008C509A"/>
    <w:rsid w:val="008F6A09"/>
    <w:rsid w:val="00930690"/>
    <w:rsid w:val="009A46F5"/>
    <w:rsid w:val="00A36BE9"/>
    <w:rsid w:val="00AA4329"/>
    <w:rsid w:val="00AB1A8D"/>
    <w:rsid w:val="00B12315"/>
    <w:rsid w:val="00B256D3"/>
    <w:rsid w:val="00B64297"/>
    <w:rsid w:val="00B905A2"/>
    <w:rsid w:val="00BA47E4"/>
    <w:rsid w:val="00BE4977"/>
    <w:rsid w:val="00BF6792"/>
    <w:rsid w:val="00C0607D"/>
    <w:rsid w:val="00C3095D"/>
    <w:rsid w:val="00C40A92"/>
    <w:rsid w:val="00C65D9E"/>
    <w:rsid w:val="00C957CF"/>
    <w:rsid w:val="00CB4F3E"/>
    <w:rsid w:val="00CD2883"/>
    <w:rsid w:val="00D01F1B"/>
    <w:rsid w:val="00D2751A"/>
    <w:rsid w:val="00D466B1"/>
    <w:rsid w:val="00DE6DF5"/>
    <w:rsid w:val="00DE7C54"/>
    <w:rsid w:val="00DF2A5A"/>
    <w:rsid w:val="00E2284F"/>
    <w:rsid w:val="00E96CE9"/>
    <w:rsid w:val="00EA7333"/>
    <w:rsid w:val="00F76309"/>
    <w:rsid w:val="00F924FF"/>
    <w:rsid w:val="00FB2360"/>
    <w:rsid w:val="00FD4D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D4910"/>
  <w15:chartTrackingRefBased/>
  <w15:docId w15:val="{B54301E1-CEBD-4C8C-AB1F-C5615D592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ListParagraph"/>
    <w:next w:val="Normal"/>
    <w:link w:val="Heading1Char"/>
    <w:uiPriority w:val="9"/>
    <w:qFormat/>
    <w:rsid w:val="00BA47E4"/>
    <w:pPr>
      <w:numPr>
        <w:numId w:val="2"/>
      </w:numPr>
      <w:spacing w:before="240" w:after="240"/>
      <w:ind w:firstLineChars="0"/>
      <w:outlineLvl w:val="0"/>
    </w:pPr>
    <w:rPr>
      <w:b/>
      <w:bCs/>
      <w:sz w:val="32"/>
      <w:szCs w:val="36"/>
    </w:rPr>
  </w:style>
  <w:style w:type="paragraph" w:styleId="Heading2">
    <w:name w:val="heading 2"/>
    <w:basedOn w:val="Heading1"/>
    <w:next w:val="Normal"/>
    <w:link w:val="Heading2Char"/>
    <w:uiPriority w:val="9"/>
    <w:unhideWhenUsed/>
    <w:qFormat/>
    <w:rsid w:val="001C279E"/>
    <w:pPr>
      <w:numPr>
        <w:ilvl w:val="1"/>
        <w:numId w:val="3"/>
      </w:numPr>
      <w:outlineLvl w:val="1"/>
    </w:pPr>
    <w:rPr>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A1343"/>
    <w:rPr>
      <w:rFonts w:asciiTheme="majorHAnsi" w:eastAsia="黑体" w:hAnsiTheme="majorHAnsi" w:cstheme="majorBidi"/>
      <w:sz w:val="20"/>
      <w:szCs w:val="20"/>
    </w:rPr>
  </w:style>
  <w:style w:type="paragraph" w:styleId="ListParagraph">
    <w:name w:val="List Paragraph"/>
    <w:basedOn w:val="Normal"/>
    <w:uiPriority w:val="34"/>
    <w:qFormat/>
    <w:rsid w:val="00BA47E4"/>
    <w:pPr>
      <w:ind w:firstLineChars="200" w:firstLine="420"/>
    </w:pPr>
  </w:style>
  <w:style w:type="character" w:customStyle="1" w:styleId="Heading1Char">
    <w:name w:val="Heading 1 Char"/>
    <w:basedOn w:val="DefaultParagraphFont"/>
    <w:link w:val="Heading1"/>
    <w:uiPriority w:val="9"/>
    <w:rsid w:val="00BA47E4"/>
    <w:rPr>
      <w:b/>
      <w:bCs/>
      <w:sz w:val="32"/>
      <w:szCs w:val="36"/>
    </w:rPr>
  </w:style>
  <w:style w:type="character" w:customStyle="1" w:styleId="Heading2Char">
    <w:name w:val="Heading 2 Char"/>
    <w:basedOn w:val="DefaultParagraphFont"/>
    <w:link w:val="Heading2"/>
    <w:uiPriority w:val="9"/>
    <w:rsid w:val="001C279E"/>
    <w:rPr>
      <w:b/>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075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355C3-6756-47B6-B513-E1B2AC845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4</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Zhiyu</dc:creator>
  <cp:keywords/>
  <dc:description>NE.Ref</dc:description>
  <cp:lastModifiedBy>Zeng, ZY Zhiyu</cp:lastModifiedBy>
  <cp:revision>17</cp:revision>
  <dcterms:created xsi:type="dcterms:W3CDTF">2023-06-18T14:08:00Z</dcterms:created>
  <dcterms:modified xsi:type="dcterms:W3CDTF">2024-12-30T11:12:00Z</dcterms:modified>
</cp:coreProperties>
</file>