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D5F3A1" w14:textId="12608792" w:rsidR="001A1CF7" w:rsidRPr="007B6CAB" w:rsidRDefault="001F22B6" w:rsidP="007B6CAB">
      <w:pPr>
        <w:pStyle w:val="Heading1"/>
      </w:pPr>
      <w:r w:rsidRPr="007B6CAB">
        <w:rPr>
          <w:rFonts w:hint="eastAsia"/>
        </w:rPr>
        <w:t>整群</w:t>
      </w:r>
      <w:r w:rsidR="001B7CAD" w:rsidRPr="007B6CAB">
        <w:rPr>
          <w:rFonts w:hint="eastAsia"/>
        </w:rPr>
        <w:t>随机</w:t>
      </w:r>
      <w:r w:rsidRPr="007B6CAB">
        <w:rPr>
          <w:rFonts w:hint="eastAsia"/>
        </w:rPr>
        <w:t>研究</w:t>
      </w:r>
    </w:p>
    <w:p w14:paraId="281C1CBF" w14:textId="2BBA4BB8" w:rsidR="005C1DE1" w:rsidRDefault="007B6CAB" w:rsidP="000A2F6E">
      <w:pPr>
        <w:ind w:firstLineChars="200" w:firstLine="420"/>
      </w:pPr>
      <w:r>
        <w:rPr>
          <w:rFonts w:hint="eastAsia"/>
        </w:rPr>
        <w:t>整群</w:t>
      </w:r>
      <w:r w:rsidR="0053473F">
        <w:rPr>
          <w:rFonts w:hint="eastAsia"/>
        </w:rPr>
        <w:t>随机研究常见于流行病学（现场）干预研究。</w:t>
      </w:r>
      <w:r w:rsidR="000A2F6E">
        <w:rPr>
          <w:rFonts w:hint="eastAsia"/>
        </w:rPr>
        <w:t>一些在学校、社区</w:t>
      </w:r>
      <w:r w:rsidR="003519C4">
        <w:rPr>
          <w:rFonts w:hint="eastAsia"/>
        </w:rPr>
        <w:t>、乡村</w:t>
      </w:r>
      <w:r w:rsidR="000A2F6E">
        <w:rPr>
          <w:rFonts w:hint="eastAsia"/>
        </w:rPr>
        <w:t>等地点开展的行为干预的研究，例如社区防治，如果以群（</w:t>
      </w:r>
      <w:r w:rsidR="003519C4">
        <w:rPr>
          <w:rFonts w:hint="eastAsia"/>
        </w:rPr>
        <w:t>cluster，</w:t>
      </w:r>
      <w:r w:rsidR="000A2F6E">
        <w:rPr>
          <w:rFonts w:hint="eastAsia"/>
        </w:rPr>
        <w:t>一个学校、一个小区</w:t>
      </w:r>
      <w:r w:rsidR="00FC3DA7">
        <w:rPr>
          <w:rFonts w:hint="eastAsia"/>
        </w:rPr>
        <w:t>、一个自然村</w:t>
      </w:r>
      <w:r w:rsidR="000A2F6E">
        <w:rPr>
          <w:rFonts w:hint="eastAsia"/>
        </w:rPr>
        <w:t>等）为随机单位接受一种干预，在研究执行上更</w:t>
      </w:r>
      <w:r>
        <w:rPr>
          <w:rFonts w:hint="eastAsia"/>
        </w:rPr>
        <w:t>可行</w:t>
      </w:r>
      <w:r w:rsidR="000A2F6E">
        <w:rPr>
          <w:rFonts w:hint="eastAsia"/>
        </w:rPr>
        <w:t>，也便</w:t>
      </w:r>
      <w:r>
        <w:rPr>
          <w:rFonts w:hint="eastAsia"/>
        </w:rPr>
        <w:t>于</w:t>
      </w:r>
      <w:r w:rsidR="000A2F6E">
        <w:rPr>
          <w:rFonts w:hint="eastAsia"/>
        </w:rPr>
        <w:t>设盲</w:t>
      </w:r>
      <w:r w:rsidR="008449E5">
        <w:rPr>
          <w:rFonts w:hint="eastAsia"/>
        </w:rPr>
        <w:t>，避免不同的处理方案在同一个群内的沾染</w:t>
      </w:r>
      <w:r w:rsidR="000A2F6E">
        <w:rPr>
          <w:rFonts w:hint="eastAsia"/>
        </w:rPr>
        <w:t>，因而在人群干预研究中颇受欢迎。</w:t>
      </w:r>
      <w:r w:rsidR="008449E5">
        <w:rPr>
          <w:rFonts w:hint="eastAsia"/>
        </w:rPr>
        <w:t>同一个</w:t>
      </w:r>
      <w:r w:rsidR="000A2F6E">
        <w:rPr>
          <w:rFonts w:hint="eastAsia"/>
        </w:rPr>
        <w:t>群里的个体通常更为相似，</w:t>
      </w:r>
      <w:r w:rsidR="008449E5">
        <w:rPr>
          <w:rFonts w:hint="eastAsia"/>
        </w:rPr>
        <w:t>其离散程度</w:t>
      </w:r>
      <w:r w:rsidR="003519C4">
        <w:rPr>
          <w:rFonts w:hint="eastAsia"/>
        </w:rPr>
        <w:t>可用</w:t>
      </w:r>
      <w:r w:rsidR="00F63C08">
        <w:rPr>
          <w:rFonts w:hint="eastAsia"/>
        </w:rPr>
        <w:t>群内</w:t>
      </w:r>
      <w:r w:rsidR="00AE7F49">
        <w:rPr>
          <w:rFonts w:hint="eastAsia"/>
        </w:rPr>
        <w:t>标准差</w:t>
      </w:r>
      <w:r w:rsidR="00AE7F49">
        <w:rPr>
          <w:rFonts w:asciiTheme="minorEastAsia" w:hAnsiTheme="minorEastAsia" w:hint="eastAsia"/>
        </w:rPr>
        <w:t>σ</w:t>
      </w:r>
      <w:r w:rsidR="00AE7F49">
        <w:rPr>
          <w:rFonts w:asciiTheme="minorEastAsia" w:hAnsiTheme="minorEastAsia" w:hint="eastAsia"/>
          <w:vertAlign w:val="subscript"/>
        </w:rPr>
        <w:t>w</w:t>
      </w:r>
      <w:r w:rsidR="003519C4">
        <w:rPr>
          <w:rFonts w:hint="eastAsia"/>
        </w:rPr>
        <w:t>描述；</w:t>
      </w:r>
      <w:r w:rsidR="000A2F6E">
        <w:rPr>
          <w:rFonts w:hint="eastAsia"/>
        </w:rPr>
        <w:t>而群与群之间的差异</w:t>
      </w:r>
      <w:r w:rsidR="008449E5">
        <w:rPr>
          <w:rFonts w:hint="eastAsia"/>
        </w:rPr>
        <w:t>会相对较大</w:t>
      </w:r>
      <w:r w:rsidR="000A2F6E">
        <w:rPr>
          <w:rFonts w:hint="eastAsia"/>
        </w:rPr>
        <w:t>，</w:t>
      </w:r>
      <w:r w:rsidR="003519C4">
        <w:rPr>
          <w:rFonts w:hint="eastAsia"/>
        </w:rPr>
        <w:t>可用</w:t>
      </w:r>
      <w:r w:rsidR="00F63C08">
        <w:rPr>
          <w:rFonts w:hint="eastAsia"/>
        </w:rPr>
        <w:t>群间</w:t>
      </w:r>
      <w:r w:rsidR="00AE7F49">
        <w:rPr>
          <w:rFonts w:hint="eastAsia"/>
        </w:rPr>
        <w:t>标准差</w:t>
      </w:r>
      <w:r w:rsidR="00AE7F49">
        <w:rPr>
          <w:rFonts w:asciiTheme="minorEastAsia" w:hAnsiTheme="minorEastAsia" w:hint="eastAsia"/>
        </w:rPr>
        <w:t>σ</w:t>
      </w:r>
      <w:r w:rsidR="00AE7F49">
        <w:rPr>
          <w:rFonts w:hint="eastAsia"/>
          <w:vertAlign w:val="subscript"/>
        </w:rPr>
        <w:t>b</w:t>
      </w:r>
      <w:r w:rsidR="003519C4">
        <w:rPr>
          <w:rFonts w:hint="eastAsia"/>
        </w:rPr>
        <w:t>描述</w:t>
      </w:r>
      <w:r w:rsidR="005D091A">
        <w:rPr>
          <w:rFonts w:hint="eastAsia"/>
        </w:rPr>
        <w:t>；</w:t>
      </w:r>
      <w:r w:rsidR="005C1DE1">
        <w:rPr>
          <w:rFonts w:hint="eastAsia"/>
        </w:rPr>
        <w:t>总的方差</w:t>
      </w:r>
      <w:r w:rsidR="005C1DE1">
        <w:rPr>
          <w:rFonts w:asciiTheme="minorEastAsia" w:hAnsiTheme="minorEastAsia" w:hint="eastAsia"/>
        </w:rPr>
        <w:t>σ</w:t>
      </w:r>
      <w:r w:rsidR="005C1DE1">
        <w:rPr>
          <w:rFonts w:asciiTheme="minorEastAsia" w:hAnsiTheme="minorEastAsia" w:hint="eastAsia"/>
          <w:vertAlign w:val="superscript"/>
        </w:rPr>
        <w:t>2</w:t>
      </w:r>
      <w:r w:rsidR="005C1DE1">
        <w:rPr>
          <w:rFonts w:asciiTheme="minorEastAsia" w:hAnsiTheme="minorEastAsia" w:hint="eastAsia"/>
        </w:rPr>
        <w:t>=σ</w:t>
      </w:r>
      <w:r w:rsidR="005C1DE1">
        <w:rPr>
          <w:rFonts w:asciiTheme="minorEastAsia" w:hAnsiTheme="minorEastAsia" w:hint="eastAsia"/>
          <w:vertAlign w:val="subscript"/>
        </w:rPr>
        <w:t>w</w:t>
      </w:r>
      <w:r w:rsidR="005C1DE1">
        <w:rPr>
          <w:rFonts w:asciiTheme="minorEastAsia" w:hAnsiTheme="minorEastAsia" w:hint="eastAsia"/>
          <w:vertAlign w:val="superscript"/>
        </w:rPr>
        <w:t>2</w:t>
      </w:r>
      <w:r w:rsidR="005C1DE1">
        <w:rPr>
          <w:rFonts w:asciiTheme="minorEastAsia" w:hAnsiTheme="minorEastAsia" w:hint="eastAsia"/>
        </w:rPr>
        <w:t>+σ</w:t>
      </w:r>
      <w:r w:rsidR="005C1DE1">
        <w:rPr>
          <w:rFonts w:hint="eastAsia"/>
          <w:vertAlign w:val="subscript"/>
        </w:rPr>
        <w:t>b</w:t>
      </w:r>
      <w:r w:rsidR="005C1DE1">
        <w:rPr>
          <w:rFonts w:asciiTheme="minorEastAsia" w:hAnsiTheme="minorEastAsia" w:hint="eastAsia"/>
          <w:vertAlign w:val="superscript"/>
        </w:rPr>
        <w:t>2</w:t>
      </w:r>
      <w:r w:rsidR="005D091A">
        <w:rPr>
          <w:rFonts w:asciiTheme="minorEastAsia" w:hAnsiTheme="minorEastAsia" w:hint="eastAsia"/>
        </w:rPr>
        <w:t>。整群设计时，群内的相似性降低了个体对研究的贡献，</w:t>
      </w:r>
      <w:r w:rsidR="005C1DE1">
        <w:rPr>
          <w:rFonts w:hint="eastAsia"/>
        </w:rPr>
        <w:t>因此样本量也需适当扩增</w:t>
      </w:r>
      <w:r w:rsidR="00B925D2">
        <w:rPr>
          <w:rFonts w:hint="eastAsia"/>
        </w:rPr>
        <w:t>，这个扩增的倍数即</w:t>
      </w:r>
      <w:r w:rsidR="005D091A">
        <w:rPr>
          <w:rFonts w:hint="eastAsia"/>
        </w:rPr>
        <w:t>方差膨胀因子（variance</w:t>
      </w:r>
      <w:r w:rsidR="005D091A">
        <w:t xml:space="preserve"> inflation factor, VIF</w:t>
      </w:r>
      <w:r w:rsidR="005D091A">
        <w:rPr>
          <w:rFonts w:hint="eastAsia"/>
        </w:rPr>
        <w:t>），亦称</w:t>
      </w:r>
      <w:r w:rsidR="00B925D2">
        <w:rPr>
          <w:rFonts w:hint="eastAsia"/>
        </w:rPr>
        <w:t>设计效应（d</w:t>
      </w:r>
      <w:r w:rsidR="00B925D2">
        <w:t xml:space="preserve">esign effect, </w:t>
      </w:r>
      <w:r w:rsidR="00B925D2">
        <w:rPr>
          <w:rFonts w:hint="eastAsia"/>
        </w:rPr>
        <w:t>DE</w:t>
      </w:r>
      <w:r w:rsidR="00B925D2">
        <w:t>）</w:t>
      </w:r>
      <w:r w:rsidR="005C1DE1">
        <w:rPr>
          <w:rFonts w:hint="eastAsia"/>
        </w:rPr>
        <w:t>。</w:t>
      </w:r>
    </w:p>
    <w:p w14:paraId="7178BBD6" w14:textId="1A76380A" w:rsidR="00AE7F49" w:rsidRDefault="00AE7F49" w:rsidP="000A2F6E">
      <w:pPr>
        <w:ind w:firstLineChars="200" w:firstLine="420"/>
      </w:pPr>
      <w:r>
        <w:rPr>
          <w:rFonts w:hint="eastAsia"/>
        </w:rPr>
        <w:t>群内相关系数（</w:t>
      </w:r>
      <w:r w:rsidR="00F63C08" w:rsidRPr="00F63C08">
        <w:t>intra-cluster correlation coefficient</w:t>
      </w:r>
      <w:r w:rsidR="00F63C08">
        <w:rPr>
          <w:rFonts w:hint="eastAsia"/>
        </w:rPr>
        <w:t>，</w:t>
      </w:r>
      <w:r>
        <w:rPr>
          <w:rFonts w:hint="eastAsia"/>
        </w:rPr>
        <w:t>ICC）</w:t>
      </w:r>
      <w:r w:rsidR="008449E5">
        <w:rPr>
          <w:rFonts w:hint="eastAsia"/>
        </w:rPr>
        <w:t>，</w:t>
      </w:r>
      <w:r w:rsidR="005D091A">
        <w:rPr>
          <w:rFonts w:hint="eastAsia"/>
        </w:rPr>
        <w:t>或简作</w:t>
      </w:r>
      <w:r w:rsidR="005D091A">
        <w:rPr>
          <w:rFonts w:asciiTheme="minorEastAsia" w:hAnsiTheme="minorEastAsia" w:hint="eastAsia"/>
        </w:rPr>
        <w:t>ρ</w:t>
      </w:r>
      <w:r w:rsidR="005D091A">
        <w:rPr>
          <w:rFonts w:hint="eastAsia"/>
        </w:rPr>
        <w:t>，</w:t>
      </w:r>
      <w:r w:rsidR="00B925D2">
        <w:rPr>
          <w:rFonts w:hint="eastAsia"/>
        </w:rPr>
        <w:t>可以描述群内个体的相似程度，</w:t>
      </w:r>
      <w:r>
        <w:rPr>
          <w:rFonts w:hint="eastAsia"/>
        </w:rPr>
        <w:t>计算公式为</w:t>
      </w:r>
      <w:r w:rsidR="00FC3DA7">
        <w:fldChar w:fldCharType="begin"/>
      </w:r>
      <w:r w:rsidR="00FC3DA7">
        <w:instrText xml:space="preserve"> ADDIN NE.Ref.{051E8302-5A48-4447-B3EA-D3F31726061C}</w:instrText>
      </w:r>
      <w:r w:rsidR="00FC3DA7">
        <w:fldChar w:fldCharType="separate"/>
      </w:r>
      <w:r w:rsidR="008856E6">
        <w:rPr>
          <w:rFonts w:ascii="等线" w:eastAsia="等线" w:cs="等线"/>
          <w:color w:val="000000"/>
          <w:kern w:val="0"/>
          <w:szCs w:val="21"/>
          <w:vertAlign w:val="superscript"/>
        </w:rPr>
        <w:t>1</w:t>
      </w:r>
      <w:r w:rsidR="00FC3DA7">
        <w:fldChar w:fldCharType="end"/>
      </w:r>
      <w:r>
        <w:rPr>
          <w:rFonts w:hint="eastAsia"/>
        </w:rPr>
        <w:t>：</w:t>
      </w:r>
    </w:p>
    <w:p w14:paraId="4E936E00" w14:textId="081585B6" w:rsidR="00F63C08" w:rsidRDefault="00557E00" w:rsidP="00557E00">
      <w:pPr>
        <w:pStyle w:val="Caption"/>
      </w:pPr>
      <w:r>
        <w:t>公式</w:t>
      </w:r>
      <w:r>
        <w:t xml:space="preserve"> </w:t>
      </w:r>
      <w:r>
        <w:fldChar w:fldCharType="begin"/>
      </w:r>
      <w:r>
        <w:instrText xml:space="preserve"> STYLEREF 1 \s </w:instrText>
      </w:r>
      <w:r>
        <w:fldChar w:fldCharType="separate"/>
      </w:r>
      <w:r>
        <w:rPr>
          <w:noProof/>
        </w:rPr>
        <w:t>9</w:t>
      </w:r>
      <w:r>
        <w:fldChar w:fldCharType="end"/>
      </w:r>
      <w:r>
        <w:noBreakHyphen/>
      </w:r>
      <w:r>
        <w:fldChar w:fldCharType="begin"/>
      </w:r>
      <w:r>
        <w:instrText xml:space="preserve"> SEQ </w:instrText>
      </w:r>
      <w:r>
        <w:instrText>公式</w:instrText>
      </w:r>
      <w:r>
        <w:instrText xml:space="preserve"> \* ARABIC \s 1 </w:instrText>
      </w:r>
      <w:r>
        <w:fldChar w:fldCharType="separate"/>
      </w:r>
      <w:r>
        <w:rPr>
          <w:noProof/>
        </w:rPr>
        <w:t>1</w:t>
      </w:r>
      <w:r>
        <w:fldChar w:fldCharType="end"/>
      </w:r>
      <w:r>
        <w:tab/>
      </w:r>
      <w:r>
        <w:tab/>
      </w:r>
      <m:oMath>
        <m:r>
          <w:rPr>
            <w:rFonts w:ascii="Cambria Math" w:hAnsi="Cambria Math"/>
          </w:rPr>
          <m:t>ρ=</m:t>
        </m:r>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hint="eastAsia"/>
              </w:rPr>
              <m:t>w</m:t>
            </m:r>
          </m:sub>
          <m:sup>
            <m:r>
              <w:rPr>
                <w:rFonts w:ascii="Cambria Math" w:hAnsi="Cambria Math"/>
              </w:rPr>
              <m:t>2</m:t>
            </m:r>
          </m:sup>
        </m:sSubSup>
        <m:r>
          <w:rPr>
            <w:rFonts w:ascii="Cambria Math" w:hAnsi="Cambria Math"/>
          </w:rPr>
          <m:t>)</m:t>
        </m:r>
      </m:oMath>
    </w:p>
    <w:p w14:paraId="23570EC4" w14:textId="77777777" w:rsidR="00AE7F49" w:rsidRDefault="00AE7F49" w:rsidP="000A2F6E">
      <w:pPr>
        <w:ind w:firstLineChars="200" w:firstLine="420"/>
      </w:pPr>
    </w:p>
    <w:p w14:paraId="363C4732" w14:textId="3B52B60B" w:rsidR="000A2F6E" w:rsidRDefault="005C1DE1" w:rsidP="000A2F6E">
      <w:pPr>
        <w:ind w:firstLineChars="200" w:firstLine="420"/>
      </w:pPr>
      <w:r>
        <w:rPr>
          <w:rFonts w:hint="eastAsia"/>
        </w:rPr>
        <w:t>考虑</w:t>
      </w:r>
      <w:r w:rsidR="00AE7F49">
        <w:rPr>
          <w:rFonts w:hint="eastAsia"/>
        </w:rPr>
        <w:t>一种</w:t>
      </w:r>
      <w:r w:rsidR="000A2F6E">
        <w:rPr>
          <w:rFonts w:hint="eastAsia"/>
        </w:rPr>
        <w:t>简单的情形</w:t>
      </w:r>
      <w:r w:rsidR="00AE7F49">
        <w:rPr>
          <w:rFonts w:hint="eastAsia"/>
        </w:rPr>
        <w:t>，</w:t>
      </w:r>
      <w:r w:rsidR="00B925D2">
        <w:rPr>
          <w:rFonts w:hint="eastAsia"/>
        </w:rPr>
        <w:t>有k个群，</w:t>
      </w:r>
      <w:r w:rsidR="000A2F6E">
        <w:rPr>
          <w:rFonts w:hint="eastAsia"/>
        </w:rPr>
        <w:t>每个群都有m个个体</w:t>
      </w:r>
      <w:r w:rsidR="003519C4">
        <w:rPr>
          <w:rFonts w:hint="eastAsia"/>
        </w:rPr>
        <w:t>（</w:t>
      </w:r>
      <w:r w:rsidR="00557E00">
        <w:rPr>
          <w:rFonts w:hint="eastAsia"/>
        </w:rPr>
        <w:t>每个</w:t>
      </w:r>
      <w:r w:rsidR="003519C4">
        <w:rPr>
          <w:rFonts w:hint="eastAsia"/>
        </w:rPr>
        <w:t>群的个体数不等时可取平均数</w:t>
      </w:r>
      <w:r w:rsidR="006E46EA">
        <w:rPr>
          <w:rFonts w:hint="eastAsia"/>
        </w:rPr>
        <w:t>，或有时用m</w:t>
      </w:r>
      <w:r w:rsidR="006E46EA">
        <w:rPr>
          <w:vertAlign w:val="subscript"/>
        </w:rPr>
        <w:t>max</w:t>
      </w:r>
      <w:r w:rsidR="006E46EA">
        <w:rPr>
          <w:rFonts w:hint="eastAsia"/>
        </w:rPr>
        <w:t>代替</w:t>
      </w:r>
      <w:r w:rsidR="003519C4">
        <w:rPr>
          <w:rFonts w:hint="eastAsia"/>
        </w:rPr>
        <w:t>）</w:t>
      </w:r>
      <w:r w:rsidR="000A2F6E">
        <w:rPr>
          <w:rFonts w:hint="eastAsia"/>
        </w:rPr>
        <w:t>，</w:t>
      </w:r>
      <w:r>
        <w:rPr>
          <w:rFonts w:hint="eastAsia"/>
        </w:rPr>
        <w:t>则设计效应</w:t>
      </w:r>
      <w:r w:rsidR="00B925D2">
        <w:rPr>
          <w:rFonts w:hint="eastAsia"/>
        </w:rPr>
        <w:t>DE的</w:t>
      </w:r>
      <w:r>
        <w:rPr>
          <w:rFonts w:hint="eastAsia"/>
        </w:rPr>
        <w:t>计算公式为：</w:t>
      </w:r>
    </w:p>
    <w:p w14:paraId="31802DB7" w14:textId="22BB996C" w:rsidR="00AE7F49" w:rsidRDefault="00557E00" w:rsidP="00557E00">
      <w:pPr>
        <w:pStyle w:val="Caption"/>
      </w:pPr>
      <w:r>
        <w:t>公式</w:t>
      </w:r>
      <w:r>
        <w:t xml:space="preserve"> </w:t>
      </w:r>
      <w:r>
        <w:fldChar w:fldCharType="begin"/>
      </w:r>
      <w:r>
        <w:instrText xml:space="preserve"> STYLEREF 1 \s </w:instrText>
      </w:r>
      <w:r>
        <w:fldChar w:fldCharType="separate"/>
      </w:r>
      <w:r>
        <w:rPr>
          <w:noProof/>
        </w:rPr>
        <w:t>9</w:t>
      </w:r>
      <w:r>
        <w:fldChar w:fldCharType="end"/>
      </w:r>
      <w:r>
        <w:noBreakHyphen/>
      </w:r>
      <w:r>
        <w:fldChar w:fldCharType="begin"/>
      </w:r>
      <w:r>
        <w:instrText xml:space="preserve"> SEQ </w:instrText>
      </w:r>
      <w:r>
        <w:instrText>公式</w:instrText>
      </w:r>
      <w:r>
        <w:instrText xml:space="preserve"> \* ARABIC \s 1 </w:instrText>
      </w:r>
      <w:r>
        <w:fldChar w:fldCharType="separate"/>
      </w:r>
      <w:r>
        <w:rPr>
          <w:noProof/>
        </w:rPr>
        <w:t>2</w:t>
      </w:r>
      <w:r>
        <w:fldChar w:fldCharType="end"/>
      </w:r>
      <w:r>
        <w:tab/>
      </w:r>
      <w:r>
        <w:tab/>
      </w:r>
      <m:oMath>
        <m:r>
          <w:rPr>
            <w:rFonts w:ascii="Cambria Math" w:hAnsi="Cambria Math"/>
          </w:rPr>
          <m:t>DE=1+</m:t>
        </m:r>
        <m:d>
          <m:dPr>
            <m:ctrlPr>
              <w:rPr>
                <w:rFonts w:ascii="Cambria Math" w:hAnsi="Cambria Math"/>
                <w:i/>
              </w:rPr>
            </m:ctrlPr>
          </m:dPr>
          <m:e>
            <m:r>
              <w:rPr>
                <w:rFonts w:ascii="Cambria Math" w:hAnsi="Cambria Math"/>
              </w:rPr>
              <m:t>m-1</m:t>
            </m:r>
          </m:e>
        </m:d>
        <m:r>
          <w:rPr>
            <w:rFonts w:ascii="Cambria Math" w:hAnsi="Cambria Math"/>
          </w:rPr>
          <m:t>ρ</m:t>
        </m:r>
      </m:oMath>
    </w:p>
    <w:p w14:paraId="7C70FB8D" w14:textId="77777777" w:rsidR="00B925D2" w:rsidRDefault="00B925D2" w:rsidP="005C1DE1">
      <w:pPr>
        <w:jc w:val="center"/>
      </w:pPr>
    </w:p>
    <w:p w14:paraId="058D77DF" w14:textId="2B7E4122" w:rsidR="00AE7F49" w:rsidRDefault="00B925D2" w:rsidP="000A2F6E">
      <w:pPr>
        <w:ind w:firstLineChars="200" w:firstLine="420"/>
      </w:pPr>
      <w:r>
        <w:rPr>
          <w:rFonts w:hint="eastAsia"/>
        </w:rPr>
        <w:t>整群设计的总样本量N与不考虑群</w:t>
      </w:r>
      <w:r w:rsidR="00557E00">
        <w:rPr>
          <w:rFonts w:hint="eastAsia"/>
        </w:rPr>
        <w:t>的</w:t>
      </w:r>
      <w:r w:rsidR="003519C4">
        <w:rPr>
          <w:rFonts w:hint="eastAsia"/>
        </w:rPr>
        <w:t>影响</w:t>
      </w:r>
      <w:r>
        <w:rPr>
          <w:rFonts w:hint="eastAsia"/>
        </w:rPr>
        <w:t>时的样本量n的关系为：</w:t>
      </w:r>
    </w:p>
    <w:p w14:paraId="3F21EFED" w14:textId="28B6BCEB" w:rsidR="00AE7F49" w:rsidRDefault="00557E00" w:rsidP="00557E00">
      <w:pPr>
        <w:pStyle w:val="Caption"/>
      </w:pPr>
      <w:r>
        <w:t>公式</w:t>
      </w:r>
      <w:r>
        <w:t xml:space="preserve"> </w:t>
      </w:r>
      <w:r>
        <w:fldChar w:fldCharType="begin"/>
      </w:r>
      <w:r>
        <w:instrText xml:space="preserve"> STYLEREF 1 \s </w:instrText>
      </w:r>
      <w:r>
        <w:fldChar w:fldCharType="separate"/>
      </w:r>
      <w:r>
        <w:rPr>
          <w:noProof/>
        </w:rPr>
        <w:t>9</w:t>
      </w:r>
      <w:r>
        <w:fldChar w:fldCharType="end"/>
      </w:r>
      <w:r>
        <w:noBreakHyphen/>
      </w:r>
      <w:r>
        <w:fldChar w:fldCharType="begin"/>
      </w:r>
      <w:r>
        <w:instrText xml:space="preserve"> SEQ </w:instrText>
      </w:r>
      <w:r>
        <w:instrText>公式</w:instrText>
      </w:r>
      <w:r>
        <w:instrText xml:space="preserve"> \* ARABIC \s 1 </w:instrText>
      </w:r>
      <w:r>
        <w:fldChar w:fldCharType="separate"/>
      </w:r>
      <w:r>
        <w:rPr>
          <w:noProof/>
        </w:rPr>
        <w:t>3</w:t>
      </w:r>
      <w:r>
        <w:fldChar w:fldCharType="end"/>
      </w:r>
      <w:r>
        <w:tab/>
      </w:r>
      <w:r>
        <w:tab/>
      </w:r>
      <m:oMath>
        <m:r>
          <w:rPr>
            <w:rFonts w:ascii="Cambria Math" w:hAnsi="Cambria Math" w:hint="eastAsia"/>
          </w:rPr>
          <m:t>N</m:t>
        </m:r>
        <m:r>
          <w:rPr>
            <w:rFonts w:ascii="Cambria Math" w:hAnsi="Cambria Math"/>
          </w:rPr>
          <m:t>=</m:t>
        </m:r>
        <m:r>
          <w:rPr>
            <w:rFonts w:ascii="Cambria Math" w:hAnsi="Cambria Math" w:hint="eastAsia"/>
          </w:rPr>
          <m:t>n</m:t>
        </m:r>
        <m:r>
          <w:rPr>
            <w:rFonts w:ascii="Cambria Math" w:hAnsi="Cambria Math"/>
          </w:rPr>
          <m:t>·</m:t>
        </m:r>
        <m:r>
          <w:rPr>
            <w:rFonts w:ascii="Cambria Math" w:hAnsi="Cambria Math" w:hint="eastAsia"/>
          </w:rPr>
          <m:t>DE</m:t>
        </m:r>
      </m:oMath>
    </w:p>
    <w:p w14:paraId="1EB0FE90" w14:textId="77777777" w:rsidR="00FA4F1F" w:rsidRDefault="00FA4F1F" w:rsidP="00FA4F1F"/>
    <w:p w14:paraId="5521BEFC" w14:textId="28747E4C" w:rsidR="00FA4F1F" w:rsidRDefault="00FA4F1F" w:rsidP="00FA4F1F">
      <w:pPr>
        <w:rPr>
          <w:rFonts w:hint="eastAsia"/>
        </w:rPr>
      </w:pPr>
      <w:r>
        <w:rPr>
          <w:rFonts w:hint="eastAsia"/>
        </w:rPr>
        <w:t>2018 Machin</w:t>
      </w:r>
    </w:p>
    <w:p w14:paraId="01772B51" w14:textId="28F39A1D" w:rsidR="00FA4F1F" w:rsidRPr="00FA4F1F" w:rsidRDefault="00FA4F1F" w:rsidP="00FA4F1F">
      <w:pPr>
        <w:rPr>
          <w:rFonts w:hint="eastAsia"/>
        </w:rPr>
      </w:pPr>
      <w:r w:rsidRPr="00FA4F1F">
        <w:drawing>
          <wp:inline distT="0" distB="0" distL="0" distR="0" wp14:anchorId="246C0C79" wp14:editId="3F49E7E8">
            <wp:extent cx="2345871" cy="439318"/>
            <wp:effectExtent l="0" t="0" r="0" b="0"/>
            <wp:docPr id="1034826758" name="Picture 1" descr="A math equation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26758" name="Picture 1" descr="A math equation with numbers and symbols&#10;&#10;Description automatically generated with medium confidence"/>
                    <pic:cNvPicPr/>
                  </pic:nvPicPr>
                  <pic:blipFill>
                    <a:blip r:embed="rId6"/>
                    <a:stretch>
                      <a:fillRect/>
                    </a:stretch>
                  </pic:blipFill>
                  <pic:spPr>
                    <a:xfrm>
                      <a:off x="0" y="0"/>
                      <a:ext cx="2375944" cy="444950"/>
                    </a:xfrm>
                    <a:prstGeom prst="rect">
                      <a:avLst/>
                    </a:prstGeom>
                  </pic:spPr>
                </pic:pic>
              </a:graphicData>
            </a:graphic>
          </wp:inline>
        </w:drawing>
      </w:r>
    </w:p>
    <w:p w14:paraId="5BF65337" w14:textId="2416E5BC" w:rsidR="00186E44" w:rsidRPr="008449E5" w:rsidRDefault="00186E44" w:rsidP="008449E5">
      <w:pPr>
        <w:pStyle w:val="Heading2"/>
      </w:pPr>
      <w:r w:rsidRPr="008449E5">
        <w:rPr>
          <w:rFonts w:hint="eastAsia"/>
        </w:rPr>
        <w:t>两组均数比较的整群随机设计</w:t>
      </w:r>
    </w:p>
    <w:p w14:paraId="26B8F795" w14:textId="3EC93CF7" w:rsidR="006E46EA" w:rsidRDefault="00557E00" w:rsidP="005E5008">
      <w:pPr>
        <w:ind w:firstLineChars="200" w:firstLine="420"/>
      </w:pPr>
      <w:bookmarkStart w:id="0" w:name="_Ref186481072"/>
      <w:r>
        <w:t xml:space="preserve">例 </w:t>
      </w:r>
      <w:r w:rsidR="00D13342">
        <w:fldChar w:fldCharType="begin"/>
      </w:r>
      <w:r w:rsidR="00D13342">
        <w:instrText xml:space="preserve"> STYLEREF 1 \s </w:instrText>
      </w:r>
      <w:r w:rsidR="00D13342">
        <w:fldChar w:fldCharType="separate"/>
      </w:r>
      <w:r w:rsidR="00D13342">
        <w:rPr>
          <w:noProof/>
        </w:rPr>
        <w:t>9</w:t>
      </w:r>
      <w:r w:rsidR="00D13342">
        <w:fldChar w:fldCharType="end"/>
      </w:r>
      <w:r w:rsidR="00D13342">
        <w:noBreakHyphen/>
      </w:r>
      <w:r w:rsidR="00D13342">
        <w:fldChar w:fldCharType="begin"/>
      </w:r>
      <w:r w:rsidR="00D13342">
        <w:instrText xml:space="preserve"> SEQ 例 \* ARABIC \s 1 </w:instrText>
      </w:r>
      <w:r w:rsidR="00D13342">
        <w:fldChar w:fldCharType="separate"/>
      </w:r>
      <w:r w:rsidR="00D13342">
        <w:rPr>
          <w:noProof/>
        </w:rPr>
        <w:t>1</w:t>
      </w:r>
      <w:r w:rsidR="00D13342">
        <w:fldChar w:fldCharType="end"/>
      </w:r>
      <w:bookmarkEnd w:id="0"/>
      <w:r w:rsidR="005E5008">
        <w:t xml:space="preserve"> </w:t>
      </w:r>
      <w:r w:rsidR="005E5008" w:rsidRPr="005E5008">
        <w:t>某社区干预试验</w:t>
      </w:r>
      <w:r w:rsidR="008856E6">
        <w:fldChar w:fldCharType="begin"/>
      </w:r>
      <w:r w:rsidR="008856E6">
        <w:instrText xml:space="preserve"> ADDIN NE.Ref.{DBA73C0B-2622-4B37-B435-293871D6F1AF}</w:instrText>
      </w:r>
      <w:r w:rsidR="008856E6">
        <w:fldChar w:fldCharType="separate"/>
      </w:r>
      <w:r w:rsidR="008856E6">
        <w:rPr>
          <w:rFonts w:ascii="等线" w:eastAsia="等线" w:cs="等线"/>
          <w:color w:val="000000"/>
          <w:kern w:val="0"/>
          <w:szCs w:val="21"/>
          <w:vertAlign w:val="superscript"/>
        </w:rPr>
        <w:t>1</w:t>
      </w:r>
      <w:r w:rsidR="008856E6">
        <w:fldChar w:fldCharType="end"/>
      </w:r>
      <w:r w:rsidR="005E5008">
        <w:rPr>
          <w:rFonts w:hint="eastAsia"/>
        </w:rPr>
        <w:t>考察限盐预防高血压</w:t>
      </w:r>
      <w:r w:rsidR="008449E5">
        <w:rPr>
          <w:rFonts w:hint="eastAsia"/>
        </w:rPr>
        <w:t>的效果</w:t>
      </w:r>
      <w:r w:rsidR="005E5008">
        <w:rPr>
          <w:rFonts w:hint="eastAsia"/>
        </w:rPr>
        <w:t>，主要终点为舒张压</w:t>
      </w:r>
      <w:r>
        <w:rPr>
          <w:rFonts w:hint="eastAsia"/>
        </w:rPr>
        <w:t>的</w:t>
      </w:r>
      <w:r w:rsidR="005E5008">
        <w:rPr>
          <w:rFonts w:hint="eastAsia"/>
        </w:rPr>
        <w:t>下降幅度。既往数据显示人群中舒张压的标准差为8.</w:t>
      </w:r>
      <w:r w:rsidR="005E5008">
        <w:t>886mmHg</w:t>
      </w:r>
      <w:r w:rsidR="005E5008">
        <w:rPr>
          <w:rFonts w:hint="eastAsia"/>
        </w:rPr>
        <w:t>，社区内相关系数为0</w:t>
      </w:r>
      <w:r w:rsidR="005E5008">
        <w:t>.075</w:t>
      </w:r>
      <w:r w:rsidR="005E5008">
        <w:rPr>
          <w:rFonts w:hint="eastAsia"/>
        </w:rPr>
        <w:t>。每个村按5</w:t>
      </w:r>
      <w:r w:rsidR="005E5008">
        <w:t>00</w:t>
      </w:r>
      <w:r w:rsidR="005E5008">
        <w:rPr>
          <w:rFonts w:hint="eastAsia"/>
        </w:rPr>
        <w:t>人计算，预计干预1年后试验组较对照组舒张压至少降低3mmHg，设双侧</w:t>
      </w:r>
      <w:r w:rsidR="005E5008">
        <w:rPr>
          <w:rFonts w:asciiTheme="minorEastAsia" w:hAnsiTheme="minorEastAsia" w:hint="eastAsia"/>
        </w:rPr>
        <w:t>α</w:t>
      </w:r>
      <w:r w:rsidR="005E5008">
        <w:rPr>
          <w:rFonts w:hint="eastAsia"/>
        </w:rPr>
        <w:t>=</w:t>
      </w:r>
      <w:r w:rsidR="005E5008">
        <w:t>0.05</w:t>
      </w:r>
      <w:r w:rsidR="005E5008">
        <w:rPr>
          <w:rFonts w:hint="eastAsia"/>
        </w:rPr>
        <w:t>，</w:t>
      </w:r>
      <w:r w:rsidR="005E5008">
        <w:rPr>
          <w:rFonts w:asciiTheme="minorEastAsia" w:hAnsiTheme="minorEastAsia" w:hint="eastAsia"/>
        </w:rPr>
        <w:t>β</w:t>
      </w:r>
      <w:r w:rsidR="005E5008">
        <w:rPr>
          <w:rFonts w:hint="eastAsia"/>
        </w:rPr>
        <w:t>=</w:t>
      </w:r>
      <w:r w:rsidR="005E5008">
        <w:t>0.</w:t>
      </w:r>
      <w:r w:rsidR="005E5008">
        <w:rPr>
          <w:rFonts w:hint="eastAsia"/>
        </w:rPr>
        <w:t>1，则每组所需的观察例数为7</w:t>
      </w:r>
      <w:r w:rsidR="005E5008">
        <w:t>086</w:t>
      </w:r>
      <w:r w:rsidR="005E5008">
        <w:rPr>
          <w:rFonts w:hint="eastAsia"/>
        </w:rPr>
        <w:t>，每组所需自然村个数为</w:t>
      </w:r>
      <w:r w:rsidR="005E5008">
        <w:t>7086</w:t>
      </w:r>
      <w:r w:rsidR="005E5008">
        <w:rPr>
          <w:rFonts w:hint="eastAsia"/>
        </w:rPr>
        <w:t>/</w:t>
      </w:r>
      <w:r w:rsidR="005E5008">
        <w:t>500=14.17</w:t>
      </w:r>
      <w:r w:rsidR="005E5008">
        <w:rPr>
          <w:rFonts w:hint="eastAsia"/>
        </w:rPr>
        <w:t>，取整为1</w:t>
      </w:r>
      <w:r w:rsidR="005E5008">
        <w:t>5</w:t>
      </w:r>
      <w:r w:rsidR="005E5008">
        <w:rPr>
          <w:rFonts w:hint="eastAsia"/>
        </w:rPr>
        <w:t>，总共需3</w:t>
      </w:r>
      <w:r w:rsidR="005E5008">
        <w:t>0</w:t>
      </w:r>
      <w:r w:rsidR="005E5008">
        <w:rPr>
          <w:rFonts w:hint="eastAsia"/>
        </w:rPr>
        <w:t>个自然村。</w:t>
      </w:r>
    </w:p>
    <w:p w14:paraId="4002CC2F" w14:textId="52B0653A" w:rsidR="005E5008" w:rsidRDefault="005E5008" w:rsidP="005E5008">
      <w:pPr>
        <w:ind w:firstLineChars="200" w:firstLine="420"/>
      </w:pPr>
      <w:r>
        <w:rPr>
          <w:rFonts w:hint="eastAsia"/>
        </w:rPr>
        <w:t>可先计算</w:t>
      </w:r>
      <w:r w:rsidR="003D0D69">
        <w:rPr>
          <w:rFonts w:hint="eastAsia"/>
        </w:rPr>
        <w:t>常规设计所需的样本量，Excel表t</w:t>
      </w:r>
      <w:r w:rsidR="003D0D69">
        <w:t>-</w:t>
      </w:r>
      <w:r w:rsidR="003D0D69">
        <w:rPr>
          <w:rFonts w:hint="eastAsia"/>
        </w:rPr>
        <w:t>校正法，R语言pwrss包及PASS软件t检验法的结果均为每组1</w:t>
      </w:r>
      <w:r w:rsidR="003D0D69">
        <w:t>86</w:t>
      </w:r>
      <w:r w:rsidR="003D0D69">
        <w:rPr>
          <w:rFonts w:hint="eastAsia"/>
        </w:rPr>
        <w:t>例。然后计算设计效应DE</w:t>
      </w:r>
      <w:r w:rsidR="003D0D69">
        <w:t>=1+</w:t>
      </w:r>
      <w:r w:rsidR="003D0D69">
        <w:rPr>
          <w:rFonts w:hint="eastAsia"/>
        </w:rPr>
        <w:t>(5</w:t>
      </w:r>
      <w:r w:rsidR="003D0D69">
        <w:t>00-1)X0.075=38.425</w:t>
      </w:r>
      <w:r w:rsidR="003D0D69">
        <w:rPr>
          <w:rFonts w:hint="eastAsia"/>
        </w:rPr>
        <w:t>，最终每组样本量为1</w:t>
      </w:r>
      <w:r w:rsidR="003D0D69">
        <w:t>86X38.425=7147.05</w:t>
      </w:r>
      <w:r w:rsidR="003D0D69">
        <w:rPr>
          <w:rFonts w:hint="eastAsia"/>
        </w:rPr>
        <w:t>，每组所需自然村数为7</w:t>
      </w:r>
      <w:r w:rsidR="003D0D69">
        <w:t>147.05</w:t>
      </w:r>
      <w:r w:rsidR="003D0D69">
        <w:rPr>
          <w:rFonts w:hint="eastAsia"/>
        </w:rPr>
        <w:t>/</w:t>
      </w:r>
      <w:r w:rsidR="003D0D69">
        <w:t>500=14.29</w:t>
      </w:r>
      <w:r w:rsidR="003D0D69">
        <w:rPr>
          <w:rFonts w:hint="eastAsia"/>
        </w:rPr>
        <w:t>，取整为1</w:t>
      </w:r>
      <w:r w:rsidR="003D0D69">
        <w:t>5</w:t>
      </w:r>
      <w:r w:rsidR="00240DA0">
        <w:rPr>
          <w:rFonts w:hint="eastAsia"/>
        </w:rPr>
        <w:t>，总共需3</w:t>
      </w:r>
      <w:r w:rsidR="00240DA0">
        <w:t>0</w:t>
      </w:r>
      <w:r w:rsidR="00240DA0">
        <w:rPr>
          <w:rFonts w:hint="eastAsia"/>
        </w:rPr>
        <w:t>个自然村</w:t>
      </w:r>
      <w:r w:rsidR="003D0D69">
        <w:rPr>
          <w:rFonts w:hint="eastAsia"/>
        </w:rPr>
        <w:t>。</w:t>
      </w:r>
    </w:p>
    <w:p w14:paraId="35AC2E9A" w14:textId="31B089B8" w:rsidR="00557E00" w:rsidRDefault="00557E00" w:rsidP="005E5008">
      <w:pPr>
        <w:ind w:firstLineChars="200" w:firstLine="420"/>
      </w:pPr>
      <w:r w:rsidRPr="00557E00">
        <w:rPr>
          <w:rFonts w:hint="eastAsia"/>
          <w:noProof/>
        </w:rPr>
        <w:drawing>
          <wp:inline distT="0" distB="0" distL="0" distR="0" wp14:anchorId="595E74EE" wp14:editId="0C5B9D5C">
            <wp:extent cx="2120900" cy="1028700"/>
            <wp:effectExtent l="0" t="0" r="0" b="0"/>
            <wp:docPr id="148312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0900" cy="1028700"/>
                    </a:xfrm>
                    <a:prstGeom prst="rect">
                      <a:avLst/>
                    </a:prstGeom>
                    <a:noFill/>
                    <a:ln>
                      <a:noFill/>
                    </a:ln>
                  </pic:spPr>
                </pic:pic>
              </a:graphicData>
            </a:graphic>
          </wp:inline>
        </w:drawing>
      </w:r>
    </w:p>
    <w:p w14:paraId="2D9FFBFD" w14:textId="77777777" w:rsidR="007D300A" w:rsidRDefault="007D300A" w:rsidP="007D300A">
      <w:pPr>
        <w:ind w:firstLineChars="200" w:firstLine="420"/>
      </w:pPr>
      <w:r>
        <w:lastRenderedPageBreak/>
        <w:t>library(pwrss)</w:t>
      </w:r>
    </w:p>
    <w:p w14:paraId="13C76670" w14:textId="6D92E88E" w:rsidR="007D300A" w:rsidRDefault="007D300A" w:rsidP="007D300A">
      <w:pPr>
        <w:ind w:firstLineChars="200" w:firstLine="420"/>
      </w:pPr>
      <w:r>
        <w:t>pwrss.t.2means(mu1 = 3, mu2 = 0, sd1 = 8.886, alpha = 0.05, power = 0.9)</w:t>
      </w:r>
    </w:p>
    <w:p w14:paraId="0F71DAF6" w14:textId="40C4D0BA" w:rsidR="003D0D69" w:rsidRDefault="003D0D69" w:rsidP="005E5008">
      <w:pPr>
        <w:ind w:firstLineChars="200" w:firstLine="420"/>
      </w:pPr>
      <w:r>
        <w:rPr>
          <w:rFonts w:hint="eastAsia"/>
        </w:rPr>
        <w:t>R语言clusterPower包计算如下</w:t>
      </w:r>
      <w:r w:rsidR="00240DA0">
        <w:rPr>
          <w:rFonts w:hint="eastAsia"/>
        </w:rPr>
        <w:t>，每组需1</w:t>
      </w:r>
      <w:r w:rsidR="00240DA0">
        <w:t>5.2</w:t>
      </w:r>
      <w:r w:rsidR="00240DA0">
        <w:rPr>
          <w:rFonts w:hint="eastAsia"/>
        </w:rPr>
        <w:t>个自然村</w:t>
      </w:r>
      <w:r>
        <w:rPr>
          <w:rFonts w:hint="eastAsia"/>
        </w:rPr>
        <w:t>：</w:t>
      </w:r>
    </w:p>
    <w:p w14:paraId="1CEA006F" w14:textId="77777777" w:rsidR="00AF108D" w:rsidRDefault="00AF108D" w:rsidP="00AF108D">
      <w:pPr>
        <w:ind w:firstLineChars="200" w:firstLine="420"/>
      </w:pPr>
      <w:r>
        <w:t>library(clusterPower)</w:t>
      </w:r>
    </w:p>
    <w:p w14:paraId="581F6EFA" w14:textId="77777777" w:rsidR="00AF108D" w:rsidRDefault="00AF108D" w:rsidP="00AF108D">
      <w:pPr>
        <w:ind w:firstLineChars="200" w:firstLine="420"/>
      </w:pPr>
      <w:r>
        <w:t>cpa.normal(</w:t>
      </w:r>
    </w:p>
    <w:p w14:paraId="48F13FB1" w14:textId="77777777" w:rsidR="00AF108D" w:rsidRDefault="00AF108D" w:rsidP="00AF108D">
      <w:pPr>
        <w:ind w:firstLineChars="200" w:firstLine="420"/>
      </w:pPr>
      <w:r>
        <w:t xml:space="preserve">  alpha = 0.05,</w:t>
      </w:r>
    </w:p>
    <w:p w14:paraId="6A253F17" w14:textId="77777777" w:rsidR="00AF108D" w:rsidRDefault="00AF108D" w:rsidP="00AF108D">
      <w:pPr>
        <w:ind w:firstLineChars="200" w:firstLine="420"/>
      </w:pPr>
      <w:r>
        <w:t xml:space="preserve">  power = 0.9,</w:t>
      </w:r>
    </w:p>
    <w:p w14:paraId="31F254BC" w14:textId="77777777" w:rsidR="00AF108D" w:rsidRDefault="00AF108D" w:rsidP="00AF108D">
      <w:pPr>
        <w:ind w:firstLineChars="200" w:firstLine="420"/>
      </w:pPr>
      <w:r>
        <w:t xml:space="preserve">  nclusters = NA,</w:t>
      </w:r>
    </w:p>
    <w:p w14:paraId="38A9820B" w14:textId="77777777" w:rsidR="00AF108D" w:rsidRDefault="00AF108D" w:rsidP="00AF108D">
      <w:pPr>
        <w:ind w:firstLineChars="200" w:firstLine="420"/>
      </w:pPr>
      <w:r>
        <w:t xml:space="preserve">  nsubjects = 500,</w:t>
      </w:r>
    </w:p>
    <w:p w14:paraId="59EEC05A" w14:textId="77777777" w:rsidR="00AF108D" w:rsidRDefault="00AF108D" w:rsidP="00AF108D">
      <w:pPr>
        <w:ind w:firstLineChars="200" w:firstLine="420"/>
      </w:pPr>
      <w:r>
        <w:t xml:space="preserve">  d = 3,</w:t>
      </w:r>
    </w:p>
    <w:p w14:paraId="37562D2A" w14:textId="77777777" w:rsidR="00AF108D" w:rsidRDefault="00AF108D" w:rsidP="00AF108D">
      <w:pPr>
        <w:ind w:firstLineChars="200" w:firstLine="420"/>
      </w:pPr>
      <w:r>
        <w:t xml:space="preserve">  ICC = 0.075,</w:t>
      </w:r>
    </w:p>
    <w:p w14:paraId="000F7064" w14:textId="77777777" w:rsidR="00AF108D" w:rsidRDefault="00AF108D" w:rsidP="00AF108D">
      <w:pPr>
        <w:ind w:firstLineChars="200" w:firstLine="420"/>
      </w:pPr>
      <w:r>
        <w:t xml:space="preserve">  vart = 8.886^2</w:t>
      </w:r>
    </w:p>
    <w:p w14:paraId="300BF2C5" w14:textId="77777777" w:rsidR="00AF108D" w:rsidRDefault="00AF108D" w:rsidP="00AF108D">
      <w:pPr>
        <w:ind w:firstLineChars="200" w:firstLine="420"/>
      </w:pPr>
      <w:r>
        <w:t>)</w:t>
      </w:r>
    </w:p>
    <w:p w14:paraId="6B0348E1" w14:textId="0F685184" w:rsidR="006E46EA" w:rsidRDefault="003D0D69" w:rsidP="00AF108D">
      <w:pPr>
        <w:ind w:firstLineChars="200" w:firstLine="420"/>
      </w:pPr>
      <w:r>
        <w:rPr>
          <w:rFonts w:hint="eastAsia"/>
        </w:rPr>
        <w:t>结果输出：</w:t>
      </w:r>
    </w:p>
    <w:p w14:paraId="4C056B6C" w14:textId="77777777" w:rsidR="00AF108D" w:rsidRDefault="00AF108D" w:rsidP="00AF108D">
      <w:pPr>
        <w:ind w:firstLineChars="200" w:firstLine="420"/>
      </w:pPr>
      <w:r>
        <w:t xml:space="preserve">nclusters </w:t>
      </w:r>
    </w:p>
    <w:p w14:paraId="064CCDB3" w14:textId="06F6FBEF" w:rsidR="003D0D69" w:rsidRDefault="00AF108D" w:rsidP="00AF108D">
      <w:pPr>
        <w:ind w:firstLineChars="200" w:firstLine="420"/>
      </w:pPr>
      <w:r>
        <w:t xml:space="preserve"> 15.19699</w:t>
      </w:r>
    </w:p>
    <w:p w14:paraId="6ED20BDC" w14:textId="6080D1C3" w:rsidR="003D0D69" w:rsidRDefault="00362F50" w:rsidP="00F9121E">
      <w:pPr>
        <w:ind w:firstLineChars="200" w:firstLine="420"/>
      </w:pPr>
      <w:r>
        <w:rPr>
          <w:rFonts w:hint="eastAsia"/>
        </w:rPr>
        <w:t>PASS软件整群设计计算每组需1</w:t>
      </w:r>
      <w:r>
        <w:t>5</w:t>
      </w:r>
      <w:r>
        <w:rPr>
          <w:rFonts w:hint="eastAsia"/>
        </w:rPr>
        <w:t>个自然村。操作时</w:t>
      </w:r>
      <w:r w:rsidR="00557E00">
        <w:rPr>
          <w:rFonts w:hint="eastAsia"/>
        </w:rPr>
        <w:t>依次</w:t>
      </w:r>
      <w:r>
        <w:rPr>
          <w:rFonts w:hint="eastAsia"/>
        </w:rPr>
        <w:t>点击Cluster</w:t>
      </w:r>
      <w:r>
        <w:t>-</w:t>
      </w:r>
      <w:r>
        <w:rPr>
          <w:rFonts w:hint="eastAsia"/>
        </w:rPr>
        <w:t>Randomized</w:t>
      </w:r>
      <w:r>
        <w:t>, Two Means, Test (Inequality), Tests for Two Means in a Cluster-Randomized Design</w:t>
      </w:r>
      <w:r>
        <w:rPr>
          <w:rFonts w:hint="eastAsia"/>
        </w:rPr>
        <w:t>。</w:t>
      </w:r>
    </w:p>
    <w:p w14:paraId="35D64BFB" w14:textId="722BF81B" w:rsidR="00362F50" w:rsidRDefault="00362F50" w:rsidP="00F9121E">
      <w:pPr>
        <w:ind w:firstLineChars="200" w:firstLine="420"/>
      </w:pPr>
      <w:r w:rsidRPr="00362F50">
        <w:rPr>
          <w:noProof/>
        </w:rPr>
        <w:drawing>
          <wp:inline distT="0" distB="0" distL="0" distR="0" wp14:anchorId="3A1AB6C7" wp14:editId="2DE2D5AC">
            <wp:extent cx="5075360" cy="49915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75360" cy="4991533"/>
                    </a:xfrm>
                    <a:prstGeom prst="rect">
                      <a:avLst/>
                    </a:prstGeom>
                  </pic:spPr>
                </pic:pic>
              </a:graphicData>
            </a:graphic>
          </wp:inline>
        </w:drawing>
      </w:r>
    </w:p>
    <w:p w14:paraId="1BDA0EBC" w14:textId="77777777" w:rsidR="00362F50" w:rsidRDefault="00362F50" w:rsidP="00F9121E">
      <w:pPr>
        <w:ind w:firstLineChars="200" w:firstLine="420"/>
      </w:pPr>
    </w:p>
    <w:p w14:paraId="16C4F6D7" w14:textId="4339BF41" w:rsidR="00362F50" w:rsidRDefault="00362F50" w:rsidP="00F9121E">
      <w:pPr>
        <w:ind w:firstLineChars="200" w:firstLine="420"/>
      </w:pPr>
      <w:r w:rsidRPr="00362F50">
        <w:rPr>
          <w:noProof/>
        </w:rPr>
        <w:drawing>
          <wp:inline distT="0" distB="0" distL="0" distR="0" wp14:anchorId="196AF882" wp14:editId="279993CF">
            <wp:extent cx="5274310" cy="18326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832610"/>
                    </a:xfrm>
                    <a:prstGeom prst="rect">
                      <a:avLst/>
                    </a:prstGeom>
                  </pic:spPr>
                </pic:pic>
              </a:graphicData>
            </a:graphic>
          </wp:inline>
        </w:drawing>
      </w:r>
    </w:p>
    <w:p w14:paraId="55E5623B" w14:textId="765FFE6B" w:rsidR="00186E44" w:rsidRPr="00186E44" w:rsidRDefault="00186E44" w:rsidP="006D42D4">
      <w:pPr>
        <w:pStyle w:val="Heading2"/>
      </w:pPr>
      <w:r w:rsidRPr="00186E44">
        <w:rPr>
          <w:rFonts w:hint="eastAsia"/>
        </w:rPr>
        <w:t>两组</w:t>
      </w:r>
      <w:r>
        <w:rPr>
          <w:rFonts w:hint="eastAsia"/>
        </w:rPr>
        <w:t>率比</w:t>
      </w:r>
      <w:r w:rsidRPr="00186E44">
        <w:rPr>
          <w:rFonts w:hint="eastAsia"/>
        </w:rPr>
        <w:t>较的整群随机设计</w:t>
      </w:r>
    </w:p>
    <w:p w14:paraId="23A0FB63" w14:textId="69205D02" w:rsidR="008856E6" w:rsidRDefault="006D42D4" w:rsidP="008856E6">
      <w:pPr>
        <w:ind w:firstLineChars="200" w:firstLine="420"/>
      </w:pPr>
      <w:r>
        <w:t xml:space="preserve">例 </w:t>
      </w:r>
      <w:r w:rsidR="00D13342">
        <w:fldChar w:fldCharType="begin"/>
      </w:r>
      <w:r w:rsidR="00D13342">
        <w:instrText xml:space="preserve"> STYLEREF 1 \s </w:instrText>
      </w:r>
      <w:r w:rsidR="00D13342">
        <w:fldChar w:fldCharType="separate"/>
      </w:r>
      <w:r w:rsidR="00D13342">
        <w:rPr>
          <w:noProof/>
        </w:rPr>
        <w:t>9</w:t>
      </w:r>
      <w:r w:rsidR="00D13342">
        <w:fldChar w:fldCharType="end"/>
      </w:r>
      <w:r w:rsidR="00D13342">
        <w:noBreakHyphen/>
      </w:r>
      <w:r w:rsidR="00D13342">
        <w:fldChar w:fldCharType="begin"/>
      </w:r>
      <w:r w:rsidR="00D13342">
        <w:instrText xml:space="preserve"> SEQ 例 \* ARABIC \s 1 </w:instrText>
      </w:r>
      <w:r w:rsidR="00D13342">
        <w:fldChar w:fldCharType="separate"/>
      </w:r>
      <w:r w:rsidR="00D13342">
        <w:rPr>
          <w:noProof/>
        </w:rPr>
        <w:t>2</w:t>
      </w:r>
      <w:r w:rsidR="00D13342">
        <w:fldChar w:fldCharType="end"/>
      </w:r>
      <w:r w:rsidR="008856E6">
        <w:t xml:space="preserve"> </w:t>
      </w:r>
      <w:r w:rsidR="008856E6">
        <w:rPr>
          <w:rFonts w:hint="eastAsia"/>
        </w:rPr>
        <w:t>在以学校为单位进行的学生吸烟率的干预试验中，每个学校随机抽取1</w:t>
      </w:r>
      <w:r w:rsidR="008856E6">
        <w:t>00</w:t>
      </w:r>
      <w:r w:rsidR="008856E6">
        <w:rPr>
          <w:rFonts w:hint="eastAsia"/>
        </w:rPr>
        <w:t>名学生，从既往数据估计校内相关系数为0</w:t>
      </w:r>
      <w:r w:rsidR="008856E6">
        <w:t>.01</w:t>
      </w:r>
      <w:r w:rsidR="008856E6">
        <w:rPr>
          <w:rFonts w:hint="eastAsia"/>
        </w:rPr>
        <w:t>。预期试验组与对照组吸烟率分别下降0</w:t>
      </w:r>
      <w:r w:rsidR="008856E6">
        <w:t>.06</w:t>
      </w:r>
      <w:r w:rsidR="008856E6">
        <w:rPr>
          <w:rFonts w:hint="eastAsia"/>
        </w:rPr>
        <w:t>和0</w:t>
      </w:r>
      <w:r w:rsidR="008856E6">
        <w:t>.04</w:t>
      </w:r>
      <w:r w:rsidR="008856E6">
        <w:rPr>
          <w:rFonts w:hint="eastAsia"/>
        </w:rPr>
        <w:t>，则在双侧</w:t>
      </w:r>
      <w:r w:rsidR="008856E6">
        <w:rPr>
          <w:rFonts w:asciiTheme="minorEastAsia" w:hAnsiTheme="minorEastAsia" w:hint="eastAsia"/>
        </w:rPr>
        <w:t>α</w:t>
      </w:r>
      <w:r w:rsidR="008856E6">
        <w:rPr>
          <w:rFonts w:hint="eastAsia"/>
        </w:rPr>
        <w:t>=</w:t>
      </w:r>
      <w:r w:rsidR="008856E6">
        <w:t>0.05</w:t>
      </w:r>
      <w:r w:rsidR="008856E6">
        <w:rPr>
          <w:rFonts w:hint="eastAsia"/>
        </w:rPr>
        <w:t>，</w:t>
      </w:r>
      <w:r w:rsidR="008856E6">
        <w:rPr>
          <w:rFonts w:asciiTheme="minorEastAsia" w:hAnsiTheme="minorEastAsia" w:hint="eastAsia"/>
        </w:rPr>
        <w:t>β</w:t>
      </w:r>
      <w:r w:rsidR="008856E6">
        <w:rPr>
          <w:rFonts w:hint="eastAsia"/>
        </w:rPr>
        <w:t>=</w:t>
      </w:r>
      <w:r w:rsidR="008856E6">
        <w:t>0.2</w:t>
      </w:r>
      <w:r w:rsidR="008856E6">
        <w:rPr>
          <w:rFonts w:hint="eastAsia"/>
        </w:rPr>
        <w:t>的条件下，每组所需的个体数为3</w:t>
      </w:r>
      <w:r w:rsidR="008856E6">
        <w:t>698</w:t>
      </w:r>
      <w:r w:rsidR="008856E6">
        <w:rPr>
          <w:rFonts w:hint="eastAsia"/>
        </w:rPr>
        <w:t>例，即</w:t>
      </w:r>
      <w:r w:rsidR="007D300A">
        <w:rPr>
          <w:rFonts w:hint="eastAsia"/>
        </w:rPr>
        <w:t>3</w:t>
      </w:r>
      <w:r w:rsidR="007D300A">
        <w:t>698</w:t>
      </w:r>
      <w:r w:rsidR="007D300A">
        <w:rPr>
          <w:rFonts w:hint="eastAsia"/>
        </w:rPr>
        <w:t>/</w:t>
      </w:r>
      <w:r w:rsidR="007D300A">
        <w:t>100=</w:t>
      </w:r>
      <w:r w:rsidR="008856E6">
        <w:rPr>
          <w:rFonts w:hint="eastAsia"/>
        </w:rPr>
        <w:t>3</w:t>
      </w:r>
      <w:r w:rsidR="008856E6">
        <w:t>6.98</w:t>
      </w:r>
      <w:r w:rsidR="008856E6">
        <w:rPr>
          <w:rFonts w:hint="eastAsia"/>
        </w:rPr>
        <w:t>所学校，取3</w:t>
      </w:r>
      <w:r w:rsidR="008856E6">
        <w:t>8</w:t>
      </w:r>
      <w:r w:rsidR="008856E6">
        <w:rPr>
          <w:rFonts w:hint="eastAsia"/>
        </w:rPr>
        <w:t>所。</w:t>
      </w:r>
    </w:p>
    <w:p w14:paraId="41A3672A" w14:textId="0039F02C" w:rsidR="008856E6" w:rsidRDefault="007D300A" w:rsidP="008856E6">
      <w:pPr>
        <w:ind w:firstLineChars="200" w:firstLine="420"/>
      </w:pPr>
      <w:r>
        <w:rPr>
          <w:rFonts w:hint="eastAsia"/>
        </w:rPr>
        <w:t>先计算常规设计所需样本量，Excel表独立方</w:t>
      </w:r>
      <w:r w:rsidR="00672D15">
        <w:rPr>
          <w:rFonts w:hint="eastAsia"/>
        </w:rPr>
        <w:t>差</w:t>
      </w:r>
      <w:r>
        <w:rPr>
          <w:rFonts w:hint="eastAsia"/>
        </w:rPr>
        <w:t>法、R语言pwrss包及PASS软件的结果均为每组1</w:t>
      </w:r>
      <w:r>
        <w:t>861</w:t>
      </w:r>
      <w:r>
        <w:rPr>
          <w:rFonts w:hint="eastAsia"/>
        </w:rPr>
        <w:t>例。设计效应</w:t>
      </w:r>
      <w:r w:rsidRPr="007D300A">
        <w:t>DE</w:t>
      </w:r>
      <w:r>
        <w:t>=</w:t>
      </w:r>
      <w:r w:rsidRPr="007D300A">
        <w:t>1+(</w:t>
      </w:r>
      <w:r>
        <w:t>1</w:t>
      </w:r>
      <w:r w:rsidRPr="007D300A">
        <w:t>00-1)</w:t>
      </w:r>
      <w:r>
        <w:t>X0.01=1.99</w:t>
      </w:r>
      <w:r>
        <w:rPr>
          <w:rFonts w:hint="eastAsia"/>
        </w:rPr>
        <w:t>，因此</w:t>
      </w:r>
      <w:r w:rsidR="000D4812">
        <w:rPr>
          <w:rFonts w:hint="eastAsia"/>
        </w:rPr>
        <w:t>整</w:t>
      </w:r>
      <w:r>
        <w:rPr>
          <w:rFonts w:hint="eastAsia"/>
        </w:rPr>
        <w:t>群设计时的每组样本量为1</w:t>
      </w:r>
      <w:r>
        <w:t>861</w:t>
      </w:r>
      <w:r>
        <w:rPr>
          <w:rFonts w:hint="eastAsia"/>
        </w:rPr>
        <w:t>X</w:t>
      </w:r>
      <w:r>
        <w:t>1.99=3703.39</w:t>
      </w:r>
      <w:r>
        <w:rPr>
          <w:rFonts w:hint="eastAsia"/>
        </w:rPr>
        <w:t>，</w:t>
      </w:r>
      <w:r w:rsidR="00D13342">
        <w:rPr>
          <w:rFonts w:hint="eastAsia"/>
        </w:rPr>
        <w:t>因此需要</w:t>
      </w:r>
      <w:r>
        <w:rPr>
          <w:rFonts w:hint="eastAsia"/>
        </w:rPr>
        <w:t>3</w:t>
      </w:r>
      <w:r>
        <w:t>703.39/100=37.03</w:t>
      </w:r>
      <w:r>
        <w:rPr>
          <w:rFonts w:hint="eastAsia"/>
        </w:rPr>
        <w:t>所学校。</w:t>
      </w:r>
    </w:p>
    <w:p w14:paraId="732B0484" w14:textId="3A559D9D" w:rsidR="00D13342" w:rsidRDefault="00D13342" w:rsidP="008856E6">
      <w:pPr>
        <w:ind w:firstLineChars="200" w:firstLine="420"/>
      </w:pPr>
      <w:r w:rsidRPr="00D13342">
        <w:rPr>
          <w:rFonts w:hint="eastAsia"/>
          <w:noProof/>
        </w:rPr>
        <w:drawing>
          <wp:inline distT="0" distB="0" distL="0" distR="0" wp14:anchorId="6C9CA3F5" wp14:editId="1F6D2C9F">
            <wp:extent cx="2120900" cy="774700"/>
            <wp:effectExtent l="0" t="0" r="0" b="6350"/>
            <wp:docPr id="1774321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20900" cy="774700"/>
                    </a:xfrm>
                    <a:prstGeom prst="rect">
                      <a:avLst/>
                    </a:prstGeom>
                    <a:noFill/>
                    <a:ln>
                      <a:noFill/>
                    </a:ln>
                  </pic:spPr>
                </pic:pic>
              </a:graphicData>
            </a:graphic>
          </wp:inline>
        </w:drawing>
      </w:r>
    </w:p>
    <w:p w14:paraId="01313A49" w14:textId="77777777" w:rsidR="00D13342" w:rsidRDefault="00D13342" w:rsidP="008856E6">
      <w:pPr>
        <w:ind w:firstLineChars="200" w:firstLine="420"/>
      </w:pPr>
    </w:p>
    <w:p w14:paraId="4412270C" w14:textId="77777777" w:rsidR="007D300A" w:rsidRDefault="007D300A" w:rsidP="007D300A">
      <w:pPr>
        <w:ind w:firstLineChars="200" w:firstLine="420"/>
      </w:pPr>
      <w:r>
        <w:t>library(pwrss)</w:t>
      </w:r>
    </w:p>
    <w:p w14:paraId="097AADA4" w14:textId="0C6456BB" w:rsidR="007D300A" w:rsidRDefault="007D300A" w:rsidP="007D300A">
      <w:pPr>
        <w:ind w:firstLineChars="200" w:firstLine="420"/>
      </w:pPr>
      <w:r>
        <w:t>pwrss.z.2props(p1 = 0.04, p2 = 0.06, alpha = 0.05, power = 0.8)</w:t>
      </w:r>
    </w:p>
    <w:p w14:paraId="005FFF6E" w14:textId="15472D91" w:rsidR="007D300A" w:rsidRDefault="007D300A" w:rsidP="007D300A">
      <w:pPr>
        <w:ind w:firstLineChars="200" w:firstLine="420"/>
      </w:pPr>
      <w:r>
        <w:rPr>
          <w:rFonts w:hint="eastAsia"/>
        </w:rPr>
        <w:t>R语言clusterPower包计算如下：</w:t>
      </w:r>
    </w:p>
    <w:p w14:paraId="6B6B619F" w14:textId="77777777" w:rsidR="007D300A" w:rsidRDefault="007D300A" w:rsidP="007D300A">
      <w:pPr>
        <w:ind w:firstLineChars="200" w:firstLine="420"/>
      </w:pPr>
      <w:r>
        <w:t>library(clusterPower)</w:t>
      </w:r>
    </w:p>
    <w:p w14:paraId="118CFE7F" w14:textId="77777777" w:rsidR="007D300A" w:rsidRDefault="007D300A" w:rsidP="007D300A">
      <w:pPr>
        <w:ind w:firstLineChars="200" w:firstLine="420"/>
      </w:pPr>
      <w:r>
        <w:t>cpa.binary(</w:t>
      </w:r>
    </w:p>
    <w:p w14:paraId="690C1564" w14:textId="77777777" w:rsidR="007D300A" w:rsidRDefault="007D300A" w:rsidP="007D300A">
      <w:pPr>
        <w:ind w:firstLineChars="200" w:firstLine="420"/>
      </w:pPr>
      <w:r>
        <w:t xml:space="preserve">  alpha = 0.05,</w:t>
      </w:r>
    </w:p>
    <w:p w14:paraId="0F9D9391" w14:textId="77777777" w:rsidR="007D300A" w:rsidRDefault="007D300A" w:rsidP="007D300A">
      <w:pPr>
        <w:ind w:firstLineChars="200" w:firstLine="420"/>
      </w:pPr>
      <w:r>
        <w:t xml:space="preserve">  power = 0.8,</w:t>
      </w:r>
    </w:p>
    <w:p w14:paraId="2B32ED48" w14:textId="77777777" w:rsidR="007D300A" w:rsidRDefault="007D300A" w:rsidP="007D300A">
      <w:pPr>
        <w:ind w:firstLineChars="200" w:firstLine="420"/>
      </w:pPr>
      <w:r>
        <w:t xml:space="preserve">  nclusters = NA,</w:t>
      </w:r>
    </w:p>
    <w:p w14:paraId="5BC5A132" w14:textId="77777777" w:rsidR="007D300A" w:rsidRDefault="007D300A" w:rsidP="007D300A">
      <w:pPr>
        <w:ind w:firstLineChars="200" w:firstLine="420"/>
      </w:pPr>
      <w:r>
        <w:t xml:space="preserve">  nsubjects = 100,</w:t>
      </w:r>
    </w:p>
    <w:p w14:paraId="47C5E44A" w14:textId="77777777" w:rsidR="007D300A" w:rsidRDefault="007D300A" w:rsidP="007D300A">
      <w:pPr>
        <w:ind w:firstLineChars="200" w:firstLine="420"/>
      </w:pPr>
      <w:r>
        <w:t xml:space="preserve">  CV = 0,</w:t>
      </w:r>
    </w:p>
    <w:p w14:paraId="0DD3BEA8" w14:textId="77777777" w:rsidR="007D300A" w:rsidRDefault="007D300A" w:rsidP="007D300A">
      <w:pPr>
        <w:ind w:firstLineChars="200" w:firstLine="420"/>
      </w:pPr>
      <w:r>
        <w:t xml:space="preserve">  p1 = 0.06,</w:t>
      </w:r>
    </w:p>
    <w:p w14:paraId="0F45E95C" w14:textId="77777777" w:rsidR="007D300A" w:rsidRDefault="007D300A" w:rsidP="007D300A">
      <w:pPr>
        <w:ind w:firstLineChars="200" w:firstLine="420"/>
      </w:pPr>
      <w:r>
        <w:t xml:space="preserve">  p2 = 0.04,</w:t>
      </w:r>
    </w:p>
    <w:p w14:paraId="081615FD" w14:textId="77777777" w:rsidR="007D300A" w:rsidRDefault="007D300A" w:rsidP="007D300A">
      <w:pPr>
        <w:ind w:firstLineChars="200" w:firstLine="420"/>
      </w:pPr>
      <w:r>
        <w:t xml:space="preserve">  ICC = 0.01</w:t>
      </w:r>
    </w:p>
    <w:p w14:paraId="66ABD10A" w14:textId="52563ACA" w:rsidR="007D300A" w:rsidRDefault="007D300A" w:rsidP="007D300A">
      <w:pPr>
        <w:ind w:firstLineChars="200" w:firstLine="420"/>
      </w:pPr>
      <w:r>
        <w:t>)</w:t>
      </w:r>
    </w:p>
    <w:p w14:paraId="7A234F0F" w14:textId="7D267E23" w:rsidR="007D300A" w:rsidRDefault="007D300A" w:rsidP="007D300A">
      <w:pPr>
        <w:ind w:firstLineChars="200" w:firstLine="420"/>
      </w:pPr>
      <w:r>
        <w:rPr>
          <w:rFonts w:hint="eastAsia"/>
        </w:rPr>
        <w:t>结果输出：</w:t>
      </w:r>
    </w:p>
    <w:p w14:paraId="10E1761D" w14:textId="77777777" w:rsidR="007D300A" w:rsidRDefault="007D300A" w:rsidP="007D300A">
      <w:pPr>
        <w:ind w:firstLineChars="200" w:firstLine="420"/>
      </w:pPr>
      <w:r>
        <w:t xml:space="preserve">nclusters </w:t>
      </w:r>
    </w:p>
    <w:p w14:paraId="48C208E3" w14:textId="716BFA28" w:rsidR="007D300A" w:rsidRDefault="007D300A" w:rsidP="007D300A">
      <w:pPr>
        <w:ind w:firstLineChars="200" w:firstLine="420"/>
      </w:pPr>
      <w:r>
        <w:t xml:space="preserve"> 38.00233</w:t>
      </w:r>
    </w:p>
    <w:p w14:paraId="5668BCA7" w14:textId="02B7D58B" w:rsidR="00672D15" w:rsidRDefault="00672D15" w:rsidP="007D300A">
      <w:pPr>
        <w:ind w:firstLineChars="200" w:firstLine="420"/>
      </w:pPr>
      <w:r>
        <w:rPr>
          <w:rFonts w:hint="eastAsia"/>
        </w:rPr>
        <w:t>PASS软件整群设计计算每组需</w:t>
      </w:r>
      <w:r>
        <w:t>38</w:t>
      </w:r>
      <w:r>
        <w:rPr>
          <w:rFonts w:hint="eastAsia"/>
        </w:rPr>
        <w:t>所学校。操作时以此点击Cluster</w:t>
      </w:r>
      <w:r>
        <w:t>-</w:t>
      </w:r>
      <w:r>
        <w:rPr>
          <w:rFonts w:hint="eastAsia"/>
        </w:rPr>
        <w:t>Randomized</w:t>
      </w:r>
      <w:r>
        <w:t xml:space="preserve">, Two </w:t>
      </w:r>
      <w:r>
        <w:rPr>
          <w:rFonts w:hint="eastAsia"/>
        </w:rPr>
        <w:lastRenderedPageBreak/>
        <w:t>Proportions</w:t>
      </w:r>
      <w:r>
        <w:t>, Test (Inequality), Tests for Two Proportions in a Cluster-Randomized Design</w:t>
      </w:r>
      <w:r>
        <w:rPr>
          <w:rFonts w:hint="eastAsia"/>
        </w:rPr>
        <w:t>。</w:t>
      </w:r>
    </w:p>
    <w:p w14:paraId="79F5EB55" w14:textId="2E639715" w:rsidR="00672D15" w:rsidRDefault="00672D15" w:rsidP="007D300A">
      <w:pPr>
        <w:ind w:firstLineChars="200" w:firstLine="420"/>
      </w:pPr>
      <w:r w:rsidRPr="00672D15">
        <w:rPr>
          <w:noProof/>
        </w:rPr>
        <w:drawing>
          <wp:inline distT="0" distB="0" distL="0" distR="0" wp14:anchorId="3DA7BAD9" wp14:editId="66B7F5D7">
            <wp:extent cx="4968671" cy="4991533"/>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68671" cy="4991533"/>
                    </a:xfrm>
                    <a:prstGeom prst="rect">
                      <a:avLst/>
                    </a:prstGeom>
                  </pic:spPr>
                </pic:pic>
              </a:graphicData>
            </a:graphic>
          </wp:inline>
        </w:drawing>
      </w:r>
    </w:p>
    <w:p w14:paraId="67AAEA60" w14:textId="77777777" w:rsidR="00672D15" w:rsidRDefault="00672D15" w:rsidP="007D300A">
      <w:pPr>
        <w:ind w:firstLineChars="200" w:firstLine="420"/>
      </w:pPr>
    </w:p>
    <w:p w14:paraId="4E63341D" w14:textId="66E0259C" w:rsidR="00672D15" w:rsidRDefault="00672D15" w:rsidP="007D300A">
      <w:pPr>
        <w:ind w:firstLineChars="200" w:firstLine="420"/>
      </w:pPr>
      <w:r w:rsidRPr="00672D15">
        <w:rPr>
          <w:noProof/>
        </w:rPr>
        <w:drawing>
          <wp:inline distT="0" distB="0" distL="0" distR="0" wp14:anchorId="660506F9" wp14:editId="192CCDCE">
            <wp:extent cx="5274310" cy="18383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838325"/>
                    </a:xfrm>
                    <a:prstGeom prst="rect">
                      <a:avLst/>
                    </a:prstGeom>
                  </pic:spPr>
                </pic:pic>
              </a:graphicData>
            </a:graphic>
          </wp:inline>
        </w:drawing>
      </w:r>
    </w:p>
    <w:p w14:paraId="400FC057" w14:textId="21913814" w:rsidR="00672D15" w:rsidRDefault="00672D15" w:rsidP="00D13342">
      <w:pPr>
        <w:pStyle w:val="Caption"/>
      </w:pPr>
    </w:p>
    <w:p w14:paraId="06FF5DE2" w14:textId="5F0CA950" w:rsidR="00F46A24" w:rsidRDefault="00D13342" w:rsidP="00F9121E">
      <w:pPr>
        <w:ind w:firstLineChars="200" w:firstLine="420"/>
      </w:pPr>
      <w:r>
        <w:t xml:space="preserve">例 </w:t>
      </w:r>
      <w:r>
        <w:fldChar w:fldCharType="begin"/>
      </w:r>
      <w:r>
        <w:instrText xml:space="preserve"> STYLEREF 1 \s </w:instrText>
      </w:r>
      <w:r>
        <w:fldChar w:fldCharType="separate"/>
      </w:r>
      <w:r>
        <w:rPr>
          <w:noProof/>
        </w:rPr>
        <w:t>9</w:t>
      </w:r>
      <w:r>
        <w:fldChar w:fldCharType="end"/>
      </w:r>
      <w:r>
        <w:noBreakHyphen/>
      </w:r>
      <w:r>
        <w:fldChar w:fldCharType="begin"/>
      </w:r>
      <w:r>
        <w:instrText xml:space="preserve"> SEQ 例 \* ARABIC \s 1 </w:instrText>
      </w:r>
      <w:r>
        <w:fldChar w:fldCharType="separate"/>
      </w:r>
      <w:r>
        <w:rPr>
          <w:noProof/>
        </w:rPr>
        <w:t>3</w:t>
      </w:r>
      <w:r>
        <w:fldChar w:fldCharType="end"/>
      </w:r>
      <w:r w:rsidR="00F46A24">
        <w:t xml:space="preserve"> </w:t>
      </w:r>
      <w:r w:rsidR="00450809">
        <w:rPr>
          <w:rFonts w:hint="eastAsia"/>
        </w:rPr>
        <w:t>有研究</w:t>
      </w:r>
      <w:r w:rsidR="00450809">
        <w:fldChar w:fldCharType="begin"/>
      </w:r>
      <w:r w:rsidR="00450809">
        <w:instrText xml:space="preserve"> ADDIN NE.Ref.{CED23C42-B737-4596-AF09-CD88474C2BDD}</w:instrText>
      </w:r>
      <w:r w:rsidR="00450809">
        <w:fldChar w:fldCharType="separate"/>
      </w:r>
      <w:r w:rsidR="008856E6">
        <w:rPr>
          <w:rFonts w:ascii="等线" w:eastAsia="等线" w:cs="等线"/>
          <w:color w:val="000000"/>
          <w:kern w:val="0"/>
          <w:szCs w:val="21"/>
          <w:vertAlign w:val="superscript"/>
        </w:rPr>
        <w:t>3</w:t>
      </w:r>
      <w:r w:rsidR="00450809">
        <w:fldChar w:fldCharType="end"/>
      </w:r>
      <w:r w:rsidR="00B5129A">
        <w:rPr>
          <w:rFonts w:hint="eastAsia"/>
        </w:rPr>
        <w:t>在湖南某农村地区评价健康宣教预防寄生虫感染的效果。将学校随机分为健康宣教组和对照组，假设对照组一年感染率为6</w:t>
      </w:r>
      <w:r w:rsidR="00B5129A">
        <w:t>%</w:t>
      </w:r>
      <w:r w:rsidR="00B5129A">
        <w:rPr>
          <w:rFonts w:hint="eastAsia"/>
        </w:rPr>
        <w:t>，干预措施可降低感染5</w:t>
      </w:r>
      <w:r w:rsidR="00B5129A">
        <w:t>0%</w:t>
      </w:r>
      <w:r w:rsidR="00B5129A">
        <w:rPr>
          <w:rFonts w:hint="eastAsia"/>
        </w:rPr>
        <w:t>。根据既往数据，设计效应为1</w:t>
      </w:r>
      <w:r w:rsidR="00B5129A">
        <w:t>.1</w:t>
      </w:r>
      <w:r w:rsidR="00B5129A">
        <w:rPr>
          <w:rFonts w:hint="eastAsia"/>
        </w:rPr>
        <w:t>，则1</w:t>
      </w:r>
      <w:r w:rsidR="00B5129A">
        <w:t>639</w:t>
      </w:r>
      <w:r w:rsidR="00B5129A">
        <w:rPr>
          <w:rFonts w:hint="eastAsia"/>
        </w:rPr>
        <w:t>例样本可提供8</w:t>
      </w:r>
      <w:r w:rsidR="00B5129A">
        <w:t>0%</w:t>
      </w:r>
      <w:r w:rsidR="00B5129A">
        <w:rPr>
          <w:rFonts w:hint="eastAsia"/>
        </w:rPr>
        <w:t>的检验效能。</w:t>
      </w:r>
      <w:r w:rsidR="00107D98">
        <w:rPr>
          <w:rFonts w:hint="eastAsia"/>
        </w:rPr>
        <w:t>（原文未给出</w:t>
      </w:r>
      <w:r w:rsidR="00107D98">
        <w:rPr>
          <w:rFonts w:asciiTheme="minorEastAsia" w:hAnsiTheme="minorEastAsia" w:hint="eastAsia"/>
        </w:rPr>
        <w:t>α</w:t>
      </w:r>
      <w:r w:rsidR="00107D98">
        <w:rPr>
          <w:rFonts w:hint="eastAsia"/>
        </w:rPr>
        <w:t>水平，暂按双侧0</w:t>
      </w:r>
      <w:r w:rsidR="00107D98">
        <w:t>.05</w:t>
      </w:r>
      <w:r w:rsidR="00107D98">
        <w:rPr>
          <w:rFonts w:hint="eastAsia"/>
        </w:rPr>
        <w:t>计算。）</w:t>
      </w:r>
    </w:p>
    <w:p w14:paraId="53925FEA" w14:textId="3F67467F" w:rsidR="004C0570" w:rsidRDefault="00F46A24" w:rsidP="004C0570">
      <w:pPr>
        <w:ind w:firstLineChars="200" w:firstLine="420"/>
      </w:pPr>
      <w:r>
        <w:rPr>
          <w:rFonts w:hint="eastAsia"/>
        </w:rPr>
        <w:t>先计算不考虑群</w:t>
      </w:r>
      <w:r w:rsidR="00A249D2">
        <w:rPr>
          <w:rFonts w:hint="eastAsia"/>
        </w:rPr>
        <w:t>影响</w:t>
      </w:r>
      <w:r>
        <w:rPr>
          <w:rFonts w:hint="eastAsia"/>
        </w:rPr>
        <w:t>时的样本量n，Excel表</w:t>
      </w:r>
      <w:r w:rsidR="004C0570">
        <w:rPr>
          <w:rFonts w:hint="eastAsia"/>
        </w:rPr>
        <w:t>独立方差法</w:t>
      </w:r>
      <w:r w:rsidR="00A249D2">
        <w:rPr>
          <w:rFonts w:hint="eastAsia"/>
        </w:rPr>
        <w:t>、R语言pwrsss包及PASS软</w:t>
      </w:r>
      <w:r w:rsidR="00A249D2">
        <w:rPr>
          <w:rFonts w:hint="eastAsia"/>
        </w:rPr>
        <w:lastRenderedPageBreak/>
        <w:t>件</w:t>
      </w:r>
      <w:r>
        <w:rPr>
          <w:rFonts w:hint="eastAsia"/>
        </w:rPr>
        <w:t>的结果</w:t>
      </w:r>
      <w:r w:rsidR="00A249D2">
        <w:rPr>
          <w:rFonts w:hint="eastAsia"/>
        </w:rPr>
        <w:t>皆为</w:t>
      </w:r>
      <w:r>
        <w:rPr>
          <w:rFonts w:hint="eastAsia"/>
        </w:rPr>
        <w:t>1</w:t>
      </w:r>
      <w:r>
        <w:t>492</w:t>
      </w:r>
      <w:r>
        <w:rPr>
          <w:rFonts w:hint="eastAsia"/>
        </w:rPr>
        <w:t>，考虑设计效应后为</w:t>
      </w:r>
      <w:r w:rsidR="004C0570">
        <w:rPr>
          <w:rFonts w:hint="eastAsia"/>
        </w:rPr>
        <w:t>1</w:t>
      </w:r>
      <w:r w:rsidR="004C0570">
        <w:t>492</w:t>
      </w:r>
      <w:r w:rsidR="004C0570">
        <w:rPr>
          <w:rFonts w:hint="eastAsia"/>
        </w:rPr>
        <w:t>x</w:t>
      </w:r>
      <w:r w:rsidR="004C0570">
        <w:t>1.1=1641.2</w:t>
      </w:r>
      <w:r w:rsidR="004C0570">
        <w:rPr>
          <w:rFonts w:hint="eastAsia"/>
        </w:rPr>
        <w:t>。</w:t>
      </w:r>
    </w:p>
    <w:p w14:paraId="147F89C6" w14:textId="04A0A443" w:rsidR="00D13342" w:rsidRPr="00B5129A" w:rsidRDefault="00D13342" w:rsidP="004C0570">
      <w:pPr>
        <w:ind w:firstLineChars="200" w:firstLine="420"/>
      </w:pPr>
      <w:r w:rsidRPr="00D13342">
        <w:rPr>
          <w:rFonts w:hint="eastAsia"/>
          <w:noProof/>
        </w:rPr>
        <w:drawing>
          <wp:inline distT="0" distB="0" distL="0" distR="0" wp14:anchorId="4F3D5B91" wp14:editId="1F8D23BC">
            <wp:extent cx="2120900" cy="774700"/>
            <wp:effectExtent l="0" t="0" r="0" b="6350"/>
            <wp:docPr id="1162105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20900" cy="774700"/>
                    </a:xfrm>
                    <a:prstGeom prst="rect">
                      <a:avLst/>
                    </a:prstGeom>
                    <a:noFill/>
                    <a:ln>
                      <a:noFill/>
                    </a:ln>
                  </pic:spPr>
                </pic:pic>
              </a:graphicData>
            </a:graphic>
          </wp:inline>
        </w:drawing>
      </w:r>
    </w:p>
    <w:p w14:paraId="7FAB1F07" w14:textId="77777777" w:rsidR="004C0570" w:rsidRDefault="004C0570" w:rsidP="004C0570">
      <w:pPr>
        <w:ind w:firstLineChars="200" w:firstLine="420"/>
      </w:pPr>
      <w:r>
        <w:t>library(pwrss)</w:t>
      </w:r>
    </w:p>
    <w:p w14:paraId="319E1D95" w14:textId="3924FF44" w:rsidR="004C0570" w:rsidRDefault="004C0570" w:rsidP="004C0570">
      <w:pPr>
        <w:ind w:firstLineChars="200" w:firstLine="420"/>
      </w:pPr>
      <w:r>
        <w:t>pwrss.z.2props(p1 = 0.03, p2 = 0.06, alpha = 0.05, power = 0.8)</w:t>
      </w:r>
    </w:p>
    <w:p w14:paraId="505B8027" w14:textId="0A3A94A8" w:rsidR="00751A58" w:rsidRDefault="00B5129A" w:rsidP="004C0570">
      <w:pPr>
        <w:autoSpaceDE w:val="0"/>
        <w:autoSpaceDN w:val="0"/>
        <w:adjustRightInd w:val="0"/>
        <w:ind w:firstLineChars="200" w:firstLine="420"/>
        <w:jc w:val="left"/>
      </w:pPr>
      <w:r>
        <w:rPr>
          <w:rFonts w:hint="eastAsia"/>
        </w:rPr>
        <w:t>研究实际入组了1</w:t>
      </w:r>
      <w:r>
        <w:t>934</w:t>
      </w:r>
      <w:r>
        <w:rPr>
          <w:rFonts w:hint="eastAsia"/>
        </w:rPr>
        <w:t>例儿童，其中1</w:t>
      </w:r>
      <w:r>
        <w:t>718</w:t>
      </w:r>
      <w:r>
        <w:rPr>
          <w:rFonts w:hint="eastAsia"/>
        </w:rPr>
        <w:t>例（3</w:t>
      </w:r>
      <w:r>
        <w:t>8</w:t>
      </w:r>
      <w:r>
        <w:rPr>
          <w:rFonts w:hint="eastAsia"/>
        </w:rPr>
        <w:t>个学校，每个学校入组数量中位数为4</w:t>
      </w:r>
      <w:r>
        <w:t>2</w:t>
      </w:r>
      <w:r>
        <w:rPr>
          <w:rFonts w:hint="eastAsia"/>
        </w:rPr>
        <w:t>）</w:t>
      </w:r>
      <w:r w:rsidR="005D091A">
        <w:rPr>
          <w:rFonts w:hint="eastAsia"/>
        </w:rPr>
        <w:t>纳入最终分析</w:t>
      </w:r>
      <w:r>
        <w:rPr>
          <w:rFonts w:hint="eastAsia"/>
        </w:rPr>
        <w:t>，试验组的感染率明显低于对照组（4</w:t>
      </w:r>
      <w:r>
        <w:t>.1%</w:t>
      </w:r>
      <w:r>
        <w:rPr>
          <w:rFonts w:hint="eastAsia"/>
        </w:rPr>
        <w:t>与8</w:t>
      </w:r>
      <w:r>
        <w:t>.4%</w:t>
      </w:r>
      <w:r>
        <w:rPr>
          <w:rFonts w:hint="eastAsia"/>
        </w:rPr>
        <w:t>，P&lt;</w:t>
      </w:r>
      <w:r>
        <w:t>0.001）</w:t>
      </w:r>
      <w:r w:rsidR="00751A58">
        <w:rPr>
          <w:rFonts w:hint="eastAsia"/>
        </w:rPr>
        <w:t>。</w:t>
      </w:r>
    </w:p>
    <w:p w14:paraId="776FE20C" w14:textId="0B7369F8" w:rsidR="00D15017" w:rsidRDefault="00D13342" w:rsidP="00D13342">
      <w:pPr>
        <w:pStyle w:val="Heading2"/>
      </w:pPr>
      <w:r>
        <w:rPr>
          <w:rFonts w:hint="eastAsia"/>
        </w:rPr>
        <w:t>讨论</w:t>
      </w:r>
    </w:p>
    <w:p w14:paraId="2CE49025" w14:textId="07152A56" w:rsidR="00D13342" w:rsidRDefault="00D13342" w:rsidP="00D13342">
      <w:pPr>
        <w:ind w:firstLineChars="200" w:firstLine="420"/>
      </w:pPr>
      <w:r>
        <w:fldChar w:fldCharType="begin"/>
      </w:r>
      <w:r>
        <w:instrText xml:space="preserve"> </w:instrText>
      </w:r>
      <w:r>
        <w:rPr>
          <w:rFonts w:hint="eastAsia"/>
        </w:rPr>
        <w:instrText>REF _Ref186481072 \h</w:instrText>
      </w:r>
      <w:r>
        <w:instrText xml:space="preserve"> </w:instrText>
      </w:r>
      <w:r>
        <w:fldChar w:fldCharType="separate"/>
      </w:r>
      <w:r>
        <w:t xml:space="preserve">例 </w:t>
      </w:r>
      <w:r>
        <w:rPr>
          <w:noProof/>
        </w:rPr>
        <w:t>9</w:t>
      </w:r>
      <w:r>
        <w:noBreakHyphen/>
      </w:r>
      <w:r>
        <w:rPr>
          <w:noProof/>
        </w:rPr>
        <w:t>1</w:t>
      </w:r>
      <w:r>
        <w:fldChar w:fldCharType="end"/>
      </w:r>
      <w:r>
        <w:rPr>
          <w:rFonts w:hint="eastAsia"/>
        </w:rPr>
        <w:t>的设计效应接近40，显得有些得不偿失。如果每个村入组100人，则设计效应为8.425，每组需要15.7个自然村，读者可自行比较一下。设计策略上可以考虑总的样本量最小（传统的非整群设计），或者总的的自然村数最小，或者根据实际情况取得平衡。</w:t>
      </w:r>
    </w:p>
    <w:p w14:paraId="0637BFBC" w14:textId="77777777" w:rsidR="008856E6" w:rsidRDefault="00450809" w:rsidP="008856E6">
      <w:pPr>
        <w:autoSpaceDE w:val="0"/>
        <w:autoSpaceDN w:val="0"/>
        <w:adjustRightInd w:val="0"/>
        <w:jc w:val="left"/>
        <w:rPr>
          <w:rFonts w:ascii="Times New Roman" w:hAnsi="Times New Roman" w:cs="Times New Roman"/>
          <w:kern w:val="0"/>
          <w:sz w:val="24"/>
          <w:szCs w:val="24"/>
        </w:rPr>
      </w:pPr>
      <w:r>
        <w:fldChar w:fldCharType="begin"/>
      </w:r>
      <w:r>
        <w:instrText xml:space="preserve"> ADDIN NE.Bib</w:instrText>
      </w:r>
      <w:r>
        <w:fldChar w:fldCharType="separate"/>
      </w:r>
    </w:p>
    <w:p w14:paraId="23C34612" w14:textId="77777777" w:rsidR="008856E6" w:rsidRDefault="008856E6" w:rsidP="008856E6">
      <w:pPr>
        <w:autoSpaceDE w:val="0"/>
        <w:autoSpaceDN w:val="0"/>
        <w:adjustRightInd w:val="0"/>
        <w:jc w:val="center"/>
        <w:rPr>
          <w:rFonts w:ascii="Times New Roman" w:hAnsi="Times New Roman" w:cs="Times New Roman"/>
          <w:kern w:val="0"/>
          <w:sz w:val="24"/>
          <w:szCs w:val="24"/>
        </w:rPr>
      </w:pPr>
      <w:r>
        <w:rPr>
          <w:rFonts w:ascii="Times New Roman" w:hAnsi="Times New Roman" w:cs="Times New Roman"/>
          <w:b/>
          <w:bCs/>
          <w:color w:val="000000"/>
          <w:kern w:val="0"/>
          <w:sz w:val="40"/>
          <w:szCs w:val="40"/>
        </w:rPr>
        <w:t>References:</w:t>
      </w:r>
    </w:p>
    <w:p w14:paraId="1563F1EA" w14:textId="77777777" w:rsidR="008856E6" w:rsidRDefault="008856E6" w:rsidP="008856E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w:t>
      </w:r>
      <w:r>
        <w:rPr>
          <w:rFonts w:ascii="Times New Roman" w:hAnsi="Times New Roman" w:cs="Times New Roman"/>
          <w:color w:val="000000"/>
          <w:kern w:val="0"/>
          <w:sz w:val="20"/>
          <w:szCs w:val="20"/>
        </w:rPr>
        <w:tab/>
      </w:r>
      <w:bookmarkStart w:id="1" w:name="_nebFA278B8D_9A36_46DC_AB0B_99F76F0711FF"/>
      <w:r>
        <w:rPr>
          <w:rFonts w:ascii="宋体" w:eastAsia="宋体" w:hAnsi="Times New Roman" w:cs="宋体" w:hint="eastAsia"/>
          <w:color w:val="000000"/>
          <w:kern w:val="0"/>
          <w:sz w:val="20"/>
          <w:szCs w:val="20"/>
        </w:rPr>
        <w:t>颜艳</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王彤</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s="Times New Roman"/>
          <w:color w:val="000000"/>
          <w:kern w:val="0"/>
          <w:sz w:val="20"/>
          <w:szCs w:val="20"/>
        </w:rPr>
        <w:t>. 5</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2020.</w:t>
      </w:r>
      <w:bookmarkEnd w:id="1"/>
    </w:p>
    <w:p w14:paraId="36445B86" w14:textId="77777777" w:rsidR="008856E6" w:rsidRDefault="008856E6" w:rsidP="008856E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2.</w:t>
      </w:r>
      <w:r>
        <w:rPr>
          <w:rFonts w:ascii="Times New Roman" w:hAnsi="Times New Roman" w:cs="Times New Roman"/>
          <w:color w:val="000000"/>
          <w:kern w:val="0"/>
          <w:sz w:val="20"/>
          <w:szCs w:val="20"/>
        </w:rPr>
        <w:tab/>
      </w:r>
      <w:bookmarkStart w:id="2" w:name="_nebE1E8B3A4_1D04_4488_BACA_0F91C532EFF8"/>
      <w:r>
        <w:rPr>
          <w:rFonts w:ascii="Times New Roman" w:hAnsi="Times New Roman" w:cs="Times New Roman"/>
          <w:color w:val="000000"/>
          <w:kern w:val="0"/>
          <w:sz w:val="20"/>
          <w:szCs w:val="20"/>
        </w:rPr>
        <w:t>Katzmarzyk PT, Martin CK, Newton RJ, et al. Weight Loss in Underserved Patients - A Cluster-Randomized Trial. NEW ENGL J MED 2020;383:909-18.</w:t>
      </w:r>
      <w:bookmarkEnd w:id="2"/>
    </w:p>
    <w:p w14:paraId="77780263" w14:textId="77777777" w:rsidR="008856E6" w:rsidRDefault="008856E6" w:rsidP="008856E6">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3.</w:t>
      </w:r>
      <w:r>
        <w:rPr>
          <w:rFonts w:ascii="Times New Roman" w:hAnsi="Times New Roman" w:cs="Times New Roman"/>
          <w:color w:val="000000"/>
          <w:kern w:val="0"/>
          <w:sz w:val="20"/>
          <w:szCs w:val="20"/>
        </w:rPr>
        <w:tab/>
      </w:r>
      <w:bookmarkStart w:id="3" w:name="_neb36CED495_9EC5_4527_8C0B_2BF737F67DBF"/>
      <w:r>
        <w:rPr>
          <w:rFonts w:ascii="Times New Roman" w:hAnsi="Times New Roman" w:cs="Times New Roman"/>
          <w:color w:val="000000"/>
          <w:kern w:val="0"/>
          <w:sz w:val="20"/>
          <w:szCs w:val="20"/>
        </w:rPr>
        <w:t>Bieri FA, Gray DJ, Williams GM, et al. Health-education package to prevent worm infections in Chinese schoolchildren. NEW ENGL J MED 2013;368:1603-12.</w:t>
      </w:r>
      <w:bookmarkEnd w:id="3"/>
    </w:p>
    <w:p w14:paraId="246852DA" w14:textId="7851AE44" w:rsidR="00B5129A" w:rsidRDefault="00450809">
      <w:r>
        <w:fldChar w:fldCharType="end"/>
      </w:r>
    </w:p>
    <w:sectPr w:rsidR="00B512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µÈÏß"/>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A877E4"/>
    <w:multiLevelType w:val="multilevel"/>
    <w:tmpl w:val="6FB04766"/>
    <w:lvl w:ilvl="0">
      <w:start w:val="9"/>
      <w:numFmt w:val="decimal"/>
      <w:pStyle w:val="Heading1"/>
      <w:lvlText w:val="%1"/>
      <w:lvlJc w:val="left"/>
      <w:pPr>
        <w:ind w:left="425" w:hanging="425"/>
      </w:pPr>
      <w:rPr>
        <w:rFonts w:hint="eastAsia"/>
      </w:rPr>
    </w:lvl>
    <w:lvl w:ilvl="1">
      <w:start w:val="1"/>
      <w:numFmt w:val="decimal"/>
      <w:pStyle w:val="Heading2"/>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485356CF"/>
    <w:multiLevelType w:val="multilevel"/>
    <w:tmpl w:val="53788BCA"/>
    <w:lvl w:ilvl="0">
      <w:start w:val="9"/>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148549303">
    <w:abstractNumId w:val="1"/>
  </w:num>
  <w:num w:numId="2" w16cid:durableId="242645514">
    <w:abstractNumId w:val="0"/>
  </w:num>
  <w:num w:numId="3" w16cid:durableId="224801176">
    <w:abstractNumId w:val="0"/>
    <w:lvlOverride w:ilvl="0">
      <w:lvl w:ilvl="0">
        <w:start w:val="9"/>
        <w:numFmt w:val="decimal"/>
        <w:pStyle w:val="Heading1"/>
        <w:lvlText w:val="%1"/>
        <w:lvlJc w:val="left"/>
        <w:pPr>
          <w:ind w:left="425" w:hanging="425"/>
        </w:pPr>
        <w:rPr>
          <w:rFonts w:hint="eastAsia"/>
        </w:rPr>
      </w:lvl>
    </w:lvlOverride>
    <w:lvlOverride w:ilvl="1">
      <w:lvl w:ilvl="1">
        <w:start w:val="1"/>
        <w:numFmt w:val="decimal"/>
        <w:pStyle w:val="Heading2"/>
        <w:lvlText w:val="%1.%2"/>
        <w:lvlJc w:val="left"/>
        <w:pPr>
          <w:ind w:left="567" w:hanging="567"/>
        </w:pPr>
        <w:rPr>
          <w:rFonts w:hint="eastAsia"/>
        </w:rPr>
      </w:lvl>
    </w:lvlOverride>
    <w:lvlOverride w:ilvl="2">
      <w:lvl w:ilvl="2">
        <w:start w:val="1"/>
        <w:numFmt w:val="decimal"/>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Ref{051E8302-5A48-4447-B3EA-D3F31726061C}" w:val=" ADDIN NE.Ref.{051E8302-5A48-4447-B3EA-D3F31726061C}&lt;Citation&gt;&lt;Group&gt;&lt;References&gt;&lt;Item&gt;&lt;ID&gt;9&lt;/ID&gt;&lt;UID&gt;{FA278B8D-9A36-46DC-AB0B-99F76F0711FF}&lt;/UID&gt;&lt;Title&gt;医学统计学&lt;/Title&gt;&lt;Template&gt;Book&lt;/Template&gt;&lt;Star&gt;0&lt;/Star&gt;&lt;Tag&gt;0&lt;/Tag&gt;&lt;Author&gt;颜艳; 王彤&lt;/Author&gt;&lt;Year&gt;2020&lt;/Year&gt;&lt;Details&gt;&lt;_accessed&gt;64986341&lt;/_accessed&gt;&lt;_created&gt;63171172&lt;/_created&gt;&lt;_edition&gt;5版&lt;/_edition&gt;&lt;_modified&gt;64966900&lt;/_modified&gt;&lt;_pages&gt;524&lt;/_pages&gt;&lt;_place_published&gt;北京&lt;/_place_published&gt;&lt;_publisher&gt;人民卫生出版社&lt;/_publisher&gt;&lt;_translated_author&gt;Sun, Zhenqiu;Xu, Yongyong;Zhu, Bian&lt;/_translated_author&gt;&lt;/Details&gt;&lt;Extra&gt;&lt;DBUID&gt;{1F004544-7F3B-46C7-B932-C63AA7CCA45F}&lt;/DBUID&gt;&lt;/Extra&gt;&lt;/Item&gt;&lt;/References&gt;&lt;/Group&gt;&lt;/Citation&gt;_x000a_"/>
    <w:docVar w:name="NE.Ref{CED23C42-B737-4596-AF09-CD88474C2BDD}" w:val=" ADDIN NE.Ref.{CED23C42-B737-4596-AF09-CD88474C2BDD}&lt;Citation&gt;&lt;Group&gt;&lt;References&gt;&lt;Item&gt;&lt;ID&gt;27&lt;/ID&gt;&lt;UID&gt;{36CED495-9EC5-4527-8C0B-2BF737F67DBF}&lt;/UID&gt;&lt;Title&gt;Health-education package to prevent worm infections in Chinese schoolchildren&lt;/Title&gt;&lt;Template&gt;Journal Article&lt;/Template&gt;&lt;Star&gt;0&lt;/Star&gt;&lt;Tag&gt;0&lt;/Tag&gt;&lt;Author&gt;Bieri, F A; Gray, D J; Williams, G M; Raso, G; Li, Y S; Yuan, L; He, Y; Li, R S; Guo, F Y; Li, S M; McManus, D P&lt;/Author&gt;&lt;Year&gt;2013&lt;/Year&gt;&lt;Details&gt;&lt;_accession_num&gt;23614586&lt;/_accession_num&gt;&lt;_author_adr&gt;Queensland Institute of Medical Research, Herston, Australia.&lt;/_author_adr&gt;&lt;_date_display&gt;2013 Apr 25&lt;/_date_display&gt;&lt;_date&gt;2013-04-25&lt;/_date&gt;&lt;_doi&gt;10.1056/NEJMoa1204885&lt;/_doi&gt;&lt;_isbn&gt;1533-4406 (Electronic); 0028-4793 (Linking)&lt;/_isbn&gt;&lt;_issue&gt;17&lt;/_issue&gt;&lt;_journal&gt;N Engl J Med&lt;/_journal&gt;&lt;_language&gt;eng&lt;/_language&gt;&lt;_pages&gt;1603-12&lt;/_pages&gt;&lt;_subject_headings&gt;Albendazole/adverse effects/therapeutic use; Anthelmintics/adverse effects/therapeutic use; *Cartoons as Topic; Child; Child Behavior; China/epidemiology; Female; *Hand Disinfection; Health Education/*methods; *Health Knowledge, Attitudes, Practice; Helminthiasis/drug therapy/epidemiology/*prevention &amp;amp; control; Humans; Male; Posters as Topic; Prevalence; School Health Services; Single-Blind Method; Surveys and Questionnaires; Video Recording&lt;/_subject_headings&gt;&lt;_tertiary_title&gt;The New England journal of medicine&lt;/_tertiary_title&gt;&lt;_type_work&gt;Journal Article; Multicenter Study; Randomized Controlled Trial; Research Support, Non-U.S. Gov&amp;apos;t&lt;/_type_work&gt;&lt;_url&gt;http://www.ncbi.nlm.nih.gov/entrez/query.fcgi?cmd=Retrieve&amp;amp;db=pubmed&amp;amp;dopt=Abstract&amp;amp;list_uids=23614586&amp;amp;query_hl=1&lt;/_url&gt;&lt;_volume&gt;368&lt;/_volume&gt;&lt;_created&gt;64894213&lt;/_created&gt;&lt;_modified&gt;64894213&lt;/_modified&gt;&lt;_db_updated&gt;PubMed&lt;/_db_updated&gt;&lt;_impact_factor&gt; 176.079&lt;/_impact_factor&gt;&lt;_social_category&gt;医学：内科(1)&lt;/_social_category&gt;&lt;_collection_scope&gt;SCIE&lt;/_collection_scope&gt;&lt;_accessed&gt;64894213&lt;/_accessed&gt;&lt;/Details&gt;&lt;Extra&gt;&lt;DBUID&gt;{1F004544-7F3B-46C7-B932-C63AA7CCA45F}&lt;/DBUID&gt;&lt;/Extra&gt;&lt;/Item&gt;&lt;/References&gt;&lt;/Group&gt;&lt;/Citation&gt;_x000a_"/>
    <w:docVar w:name="NE.Ref{D6C75319-396E-4220-99D9-63300245CCF6}" w:val=" ADDIN NE.Ref.{D6C75319-396E-4220-99D9-63300245CCF6}&lt;Citation&gt;&lt;Group&gt;&lt;References&gt;&lt;Item&gt;&lt;ID&gt;87&lt;/ID&gt;&lt;UID&gt;{E1E8B3A4-1D04-4488-BACA-0F91C532EFF8}&lt;/UID&gt;&lt;Title&gt;Weight Loss in Underserved Patients - A Cluster-Randomized Trial&lt;/Title&gt;&lt;Template&gt;Journal Article&lt;/Template&gt;&lt;Star&gt;0&lt;/Star&gt;&lt;Tag&gt;0&lt;/Tag&gt;&lt;Author&gt;Katzmarzyk, P T; Martin, C K; Newton, RL Jr; Apolzan, J W; Arnold, C L; Davis, T C; Price-Haywood, E G; Denstel, K D; Mire, E F; Thethi, T K; Brantley, P J; Johnson, W D; Fonseca, V; Gugel, J; Kennedy, K B; Lavie, C J; Sarpong, D F; Springgate, B&lt;/Author&gt;&lt;Year&gt;2020&lt;/Year&gt;&lt;Details&gt;&lt;_accession_num&gt;32877581&lt;/_accession_num&gt;&lt;_author_adr&gt;From the Pennington Biomedical Research Center, Baton Rouge (P.T.K., C.K.M.,  R.L.N., J.W.A., K.D.D., E.F.M., P.J.B., W.D.J.), the Department of Medicine and  Feist-Weiller Cancer Center, Louisiana State University Health Sciences Center,  Shreveport (C.L.A., T.C.D.), and Ochsner Clinic Foundation, Center for Outcomes  and Health Services Research (E.G.P.-H.) and Department of Cardiovascular  Diseases, John Ochsner Heart and Vascular Institute (C.J.L.), Ochsner Clinical  School-University of Queensland School of Medicine (E.G.P.-H., C.J.L.), the  Department of Medicine, Division of Endocrinology and Metabolism (T.K.T., V.F.)  and the Department of Medicine, Section of General Internal Medicine and  Geriatrics (J.G.), Tulane University Health Sciences Center School of Medicine,  Southeast Louisiana Veterans Health Care System (T.K.T., V.F.), the College of  Pharmacy, Xavier University of Louisiana (K.B.K., D.F.S.), and the Department of  Internal Medicine, Louisiana State University School of Medicine, and Program in  Health Policy and Systems Management, Louisiana State University School of Public  Health (B.S.), New Orleans - all in Louisiana.; From the Pennington Biomedical Research Center, Baton Rouge (P.T.K., C.K.M.,  R.L.N., J.W.A., K.D.D., E.F.M., P.J.B., W.D.J.), the Department of Medicine and  Feist-Weiller Cancer Center, Louisiana State University Health Sciences Center,  Shreveport (C.L.A., T.C.D.), and Ochsner Clinic Foundation, Center for Outcomes  and Health Services Research (E.G.P.-H.) and Department of Cardiovascular  Diseases, John Ochsner Heart and Vascular Institute (C.J.L.), Ochsner Clinical  School-University of Queensland School of Medicine (E.G.P.-H., C.J.L.), the  Department of Medicine, Division of Endocrinology and Metabolism (T.K.T., V.F.)  and the Department of Medicine, Section of General Internal Medicine and  Geriatrics (J.G.), Tulane University Health Sciences Center School of Medicine,  Southeast Louisiana Veterans Health Care System (T.K.T., V.F.), the College of  Pharmacy, Xavier University of Louisiana (K.B.K., D.F.S.), and the Department of  Internal Medicine, Louisiana State University School of Medicine, and Program in  Health Policy and Systems Management, Louisiana State University School of Public  Health (B.S.), New Orleans - all in Louisiana.; From the Pennington Biomedical Research Center, Baton Rouge (P.T.K., C.K.M.,  R.L.N., J.W.A., K.D.D., E.F.M., P.J.B., W.D.J.), the Department of Medicine and  Feist-Weiller Cancer Center, Louisiana State University Health Sciences Center,  Shreveport (C.L.A., T.C.D.), and Ochsner Clinic Foundation, Center for Outcomes  and Health Services Research (E.G.P.-H.) and Department of Cardiovascular  Diseases, John Ochsner Heart and Vascular Institute (C.J.L.), Ochsner Clinical  School-University of Queensland School of Medicine (E.G.P.-H., C.J.L.), the  Department of Medicine, Division of Endocrinology and Metabolism (T.K.T., V.F.)  and the Department of Medicine, Section of General Internal Medicine and  Geriatrics (J.G.), Tulane University Health Sciences Center School of Medicine,  Southeast Louisiana Veterans Health Care System (T.K.T., V.F.), the College of  Pharmacy, Xavier University of Louisiana (K.B.K., D.F.S.), and the Department of  Internal Medicine, Louisiana State University School of Medicine, and Program in  Health Policy and Systems Management, Louisiana State University School of Public  Health (B.S.), New Orleans - all in Louisiana.; From the Pennington Biomedical Research Center, Baton Rouge (P.T.K., C.K.M.,  R.L.N., J.W.A., K.D.D., E.F.M., P.J.B., W.D.J.), the Department of Medicine and  Feist-Weiller Cancer Center, Louisiana State University Health Sciences Center,  Shreveport (C.L.A., T.C.D.), and Ochsner Clinic Foundation, Center for Outcomes  and Health Services Research (E.G.P.-H.) and Department of Cardiovascular  Diseases, John Ochsner Heart and Vascular Institute (C.J.L.), Ochsner Clinical  School-University of Queensland School of Medicine (E.G.P.-H., C.J.L.), the  Department of Medicine, Division of Endocrinology and Metabolism (T.K.T., V.F.)  and the Department of Medicine, Section of General Internal Medicine and  Geriatrics (J.G.), Tulane University Health Sciences Center School of Medicine,  Southeast Louisiana Veterans Health Care System (T.K.T., V.F.), the College of  Pharmacy, Xavier University of Louisiana (K.B.K., D.F.S.), and the Department of  Internal Medicine, Louisiana State University School of Medicine, and Program in  Health Policy and Systems Management, Louisiana State University School of Public  Health (B.S.), New Orleans - all in Louisiana.; From the Pennington Biomedical Research Center, Baton Rouge (P.T.K., C.K.M.,  R.L.N., J.W.A., K.D.D., E.F.M., P.J.B., W.D.J.), the Department of Medicine and  Feist-Weiller Cancer Center, Louisiana State University Health Sciences Center,  Shreveport (C.L.A., T.C.D.), and Ochsner Clinic Foundation, Center for Outcomes  and Health Services Research (E.G.P.-H.) and Department of Cardiovascular  Diseases, John Ochsner Heart and Vascular Institute (C.J.L.), Ochsner Clinical  School-University of Queensland School of Medicine (E.G.P.-H., C.J.L.), the  Department of Medicine, Division of Endocrinology and Metabolism (T.K.T., V.F.)  and the Department of Medicine, Section of General Internal Medicine and  Geriatrics (J.G.), Tulane University Health Sciences Center School of Medicine,  Southeast Louisiana Veterans Health Care System (T.K.T., V.F.), the College of  Pharmacy, Xavier University of Louisiana (K.B.K., D.F.S.), and the Department of  Internal Medicine, Louisiana State University School of Medicine, and Program in  Health Policy and Systems Management, Louisiana State University School of Public  Health (B.S.), New Orleans - all in Louisiana.; From the Pennington Biomedical Research Center, Baton Rouge (P.T.K., C.K.M.,  R.L.N., J.W.A., K.D.D., E.F.M., P.J.B., W.D.J.), the Department of Medicine and  Feist-Weiller Cancer Center, Louisiana State University Health Sciences Center,  Shreveport (C.L.A., T.C.D.), and Ochsner Clinic Foundation, Center for Outcomes  and Health Services Research (E.G.P.-H.) and Department of Cardiovascular  Diseases, John Ochsner Heart and Vascular Institute (C.J.L.), Ochsner Clinical  School-University of Queensland School of Medicine (E.G.P.-H., C.J.L.), the  Department of Medicine, Division of Endocrinology and Metabolism (T.K.T., V.F.)  and the Department of Medicine, Section of General Internal Medicine and  Geriatrics (J.G.), Tulane University Health Sciences Center School of Medicine,  Southeast Louisiana Veterans Health Care System (T.K.T., V.F.), the College of  Pharmacy, Xavier University of Louisiana (K.B.K., D.F.S.), and the Department of  Internal Medicine, Louisiana State University School of Medicine, and Program in  Health Policy and Systems Management, Louisiana State University School of Public  Health (B.S.), New Orleans - all in Louisiana.; From the Pennington Biomedical Research Center, Baton Rouge (P.T.K., C.K.M.,  R.L.N., J.W.A., K.D.D., E.F.M., P.J.B., W.D.J.), the Department of Medicine and  Feist-Weiller Cancer Center, Louisiana State University Health Sciences Center,  Shreveport (C.L.A., T.C.D.), and Ochsner Clinic Foundation, Center for Outcomes  and Health Services Research (E.G.P.-H.) and Department of Cardiovascular  Diseases, John Ochsner Heart and Vascular Institute (C.J.L.), Ochsner Clinical  School-University of Queensland School of Medicine (E.G.P.-H., C.J.L.), the  Department of Medicine, Division of Endocrinology and Metabolism (T.K.T., V.F.)  and the Department of Medicine, Section of General Internal Medicine and  Geriatrics (J.G.), Tulane University Health Sciences Center School of Medicine,  Southeast Louisiana Veterans Health Care System (T.K.T., V.F.), the College of  Pharmacy, Xavier University of Louisiana (K.B.K., D.F.S.), and the Department of  Internal Medicine, Louisiana State University School of Medicine, and Program in  Health Policy and Systems Management, Louisiana State University School of Public  Health (B.S.), New Orleans - all in Louisiana.; From the Pennington Biomedical Research Center, Baton Rouge (P.T.K., C.K.M.,  R.L.N., J.W.A., K.D.D., E.F.M., P.J.B., W.D.J.), the Department of Medicine and  Feist-Weiller Cancer Center, Louisiana State University Health Sciences Center,  Shreveport (C.L.A., T.C.D.), and Ochsner Clinic Foundation, Center for Outcomes  and Health Services Research (E.G.P.-H.) and Department of Cardiovascular  Diseases, John Ochsner Heart and Vascular Institute (C.J.L.), Ochsner Clinical  School-University of Queensland School of Medicine (E.G.P.-H., C.J.L.), the  Department of Medicine, Division of Endocrinology and Metabolism (T.K.T., V.F.)  and the Department of Medicine, Section of General Internal Medicine and  Geriatrics (J.G.), Tulane University Health Sciences Center School of Medicine,  Southeast Louisiana Veterans Health Care System (T.K.T., V.F.), the College of  Pharmacy, Xavier University of Louisiana (K.B.K., D.F.S.), and the Department of  Internal Medicine, Louisiana State University School of Medicine, and Program in  Health Policy and Systems Management, Louisiana State University School of Public  Health (B.S.), New Orleans - all in Louisiana.; From the Pennington Biomedical Research Center, Baton Rouge (P.T.K., C.K.M.,  R.L.N., J.W.A., K.D.D., E.F.M., P.J.B., W.D.J.), the Department of Medicine and  Feist-Weiller Cancer Center, Louisiana State University Health Sciences Center,  Shreveport (C.L.A., T.C.D.), and Ochsner Clinic Foundation, Center for Outcomes  and Health Services Research (E.G.P.-H.) and Department of Cardiovascular  Diseases, John Ochsner Heart and Vascular Institute (C.J.L.), Ochsner Clinical  School-University of Queensland School of Medicine (E.G.P.-H., C.J.L.), the  Department of Medicine, Division of Endocrinology and Metabolism (T.K.T., V.F.)  and the Department of Medicine, Section of General Internal Medicine and  Geriatrics (J.G.), Tulane University Health Sciences Center School of Medicine,  Southeast Louisiana Veterans Health Care System (T.K.T., V.F.), the College of  Pharmacy, Xavier University of Louisiana (K.B.K., D.F.S.), and the Department of  Internal Medicine, Louisiana State University School of Medicine, and Program in  Health Policy and Systems Management, Louisiana State University School of Public  Health (B.S.), New Orleans - all in Louisiana.; From the Pennington Biomedical Research Center, Baton Rouge (P.T.K., C.K.M.,  R.L.N., J.W.A., K.D.D., E.F.M., P.J.B., W.D.J.), the Department of Medicine and  Feist-Weiller Cancer Center, Louisiana State University Health Sciences Center,  Shreveport (C.L.A., T.C.D.), and Ochsner Clinic Foundation, Center for Outcomes  and Health Services Research (E.G.P.-H.) and Department of Cardiovascular  Diseases, John Ochsner Heart and Vascular Institute (C.J.L.), Ochsner Clinical  School-University of Queensland School of Medicine (E.G.P.-H., C.J.L.), the  Department of Medicine, Division of Endocrinology and Metabolism (T.K.T., V.F.)  and the Department of Medicine, Section of General Internal Medicine and  Geriatrics (J.G.), Tulane University Health Sciences Center School of Medicine,  Southeast Louisiana Veterans Health Care System (T.K.T., V.F.), the College of  Pharmacy, Xavier University of Louisiana (K.B.K., D.F.S.), and the Department of  Internal Medicine, Louisiana State University School of Medicine, and Program in  Health Policy and Systems Management, Louisiana State University School of Public  Health (B.S.), New Orleans - all in Louisiana.; From the Pennington Biomedical Research Center, Baton Rouge (P.T.K., C.K.M.,  R.L.N., J.W.A., K.D.D., E.F.M., P.J.B., W.D.J.), the Department of Medicine and  Feist-Weiller Cancer Center, Louisiana State University Health Sciences Center,  Shreveport (C.L.A., T.C.D.), and Ochsner Clinic Foundation, Center for Outcomes  and Health Services Research (E.G.P.-H.) and Department of Cardiovascular  Diseases, John Ochsner Heart and Vascular Institute (C.J.L.), Ochsner Clinical  School-University of Queensland School of Medicine (E.G.P.-H., C.J.L.), the  Department of Medicine, Division of Endocrinology and Metabolism (T.K.T., V.F.)  and the Department of Medicine, Section of General Internal Medicine and  Geriatrics (J.G.), Tulane University Health Sciences Center School of Medicine,  Southeast Louisiana Veterans Health Care System (T.K.T., V.F.), the College of  Pharmacy, Xavier University of Louisiana (K.B.K., D.F.S.), and the Department of  Internal Medicine, Louisiana State University School of Medicine, and Program in  Health Policy and Systems Management, Louisiana State University School of Public  Health (B.S.), New Orleans - all in Louisiana.; From the Pennington Biomedical Research Center, Baton Rouge (P.T.K., C.K.M.,  R.L.N., J.W.A., K.D.D., E.F.M., P.J.B., W.D.J.), the Department of Medicine and  Feist-Weiller Cancer Center, Louisiana State University Health Sciences Center,  Shreveport (C.L.A., T.C.D.), and Ochsner Clinic Foundation, Center for Outcomes  and Health Services Research (E.G.P.-H.) and Department of Cardiovascular  Diseases, John Ochsner Heart and Vascular Institute (C.J.L.), Ochsner Clinical  School-University of Queensland School of Medicine (E.G.P.-H., C.J.L.), the  Department of Medicine, Division of Endocrinology and Metabolism (T.K.T., V.F.)  and the Department of Medicine, Section of General Internal Medicine and  Geriatrics (J.G.), Tulane University Health Sciences Center School of Medicine,  Southeast Louisiana Veterans Health Care System (T.K.T., V.F.), the College of  Pharmacy, Xavier University of Louisiana (K.B.K., D.F.S.), and the Department of  Internal Medicine, Louisiana State University School of Medicine, and Program in  Health Policy and Systems Management, Louisiana State University School of Public  Health (B.S.), New Orleans - all in Louisiana.; From the Pennington Biomedical Research Center, Baton Rouge (P.T.K., C.K.M.,  R.L.N., J.W.A., K.D.D., E.F.M., P.J.B., W.D.J.), the Department of Medicine and  Feist-Weiller Cancer Center, Louisiana State University Health Sciences Center,  Shreveport (C.L.A., T.C.D.), and Ochsner Clinic Foundation, Center for Outcomes  and Health Services Research (E.G.P.-H.) and Department of Cardiovascular  Diseases, John Ochsner Heart and Vascular Institute (C.J.L.), Ochsner Clinical  School-University of Queensland School of Medicine (E.G.P.-H., C.J.L.), the  Department of Medicine, Division of Endocrinology and Metabolism (T.K.T., V.F.)  and the Department of Medicine, Section of General Internal Medicine and  Geriatrics (J.G.), Tulane University Health Sciences Center School of Medicine,  Southeast Louisiana Veterans Health Care System (T.K.T., V.F.), the College of  Pharmacy, Xavier University of Louisiana (K.B.K., D.F.S.), and the Department of  Internal Medicine, Louisiana State University School of Medicine, and Program in  Health Policy and Systems Management, Louisiana State University School of Public  Health (B.S.), New Orleans - all in Louisiana.; From the Pennington Biomedical Research Center, Baton Rouge (P.T.K., C.K.M.,  R.L.N., J.W.A., K.D.D., E.F.M., P.J.B., W.D.J.), the Department of Medicine and  Feist-Weiller Cancer Center, Louisiana State University Health Sciences Center,  Shreveport (C.L.A., T.C.D.), and Ochsner Clinic Foundation, Center for Outcomes  and Health Services Research (E.G.P.-H.) and Department of Cardiovascular  Diseases, John Ochsner Heart and Vascular Institute (C.J.L.), Ochsner Clinical  School-University of Queensland School of Medicine (E.G.P.-H., C.J.L.), the  Department of Medicine, Division of Endocrinology and Metabolism (T.K.T., V.F.)  and the Department of Medicine, Section of General Internal Medicine and  Geriatrics (J.G.), Tulane University Health Sciences Center School of Medicine,  Southeast Louisiana Veterans Health Care System (T.K.T., V.F.), the College of  Pharmacy, Xavier University of Louisiana (K.B.K., D.F.S.), and the Department of  Internal Medicine, Louisiana State University School of Medicine, and Program in  Health Policy and Systems Management, Louisiana State University School of Public  Health (B.S.), New Orleans - all in Louisiana.; From the Pennington Biomedical Research Center, Baton Rouge (P.T.K., C.K.M.,  R.L.N., J.W.A., K.D.D., E.F.M., P.J.B., W.D.J.), the Department of Medicine and  Feist-Weiller Cancer Center, Louisiana State University Health Sciences Center,  Shreveport (C.L.A., T.C.D.), and Ochsner Clinic Foundation, Center for Outcomes  and Health Services Research (E.G.P.-H.) and Department of Cardiovascular  Diseases, John Ochsner Heart and Vascular Institute (C.J.L.), Ochsner Clinical  School-University of Queensland School of Medicine (E.G.P.-H., C.J.L.), the  Department of Medicine, Division of Endocrinology and Metabolism (T.K.T., V.F.)  and the Department of Medicine, Section of General Internal Medicine and  Geriatrics (J.G.), Tulane University Health Sciences Center School of Medicine,  Southeast Louisiana Veterans Health Care System (T.K.T., V.F.), the College of  Pharmacy, Xavier University of Louisiana (K.B.K., D.F.S.), and the Department of  Internal Medicine, Louisiana State University School of Medicine, and Program in  Health Policy and Systems Management, Louisiana State University School of Public  Health (B.S.), New Orleans - all in Louisiana.; From the Pennington Biomedical Research Center, Baton Rouge (P.T.K., C.K.M.,  R.L.N., J.W.A., K.D.D., E.F.M., P.J.B., W.D.J.), the Department of Medicine and  Feist-Weiller Cancer Center, Louisiana State University Health Sciences Center,  Shreveport (C.L.A., T.C.D.), and Ochsner Clinic Foundation, Center for Outcomes  and Health Services Research (E.G.P.-H.) and Department of Cardiovascular  Diseases, John Ochsner Heart and Vascular Institute (C.J.L.), Ochsner Clinical  School-University of Queensland School of Medicine (E.G.P.-H., C.J.L.), the  Department of Medicine, Division of Endocrinology and Metabolism (T.K.T., V.F.)  and the Department of Medicine, Section of General Internal Medicine and  Geriatrics (J.G.), Tulane University Health Sciences Center School of Medicine,  Southeast Louisiana Veterans Health Care System (T.K.T., V.F.), the College of  Pharmacy, Xavier University of Louisiana (K.B.K., D.F.S.), and the Department of  Internal Medicine, Louisiana State University School of Medicine, and Program in  Health Policy and Systems Management, Louisiana State University School of Public  Health (B.S.), New Orleans - all in Louisiana.; From the Pennington Biomedical Research Center, Baton Rouge (P.T.K., C.K.M.,  R.L.N., J.W.A., K.D.D., E.F.M., P.J.B., W.D.J.), the Department of Medicine and  Feist-Weiller Cancer Center, Louisiana State University Health Sciences Center,  Shreveport (C.L.A., T.C.D.), and Ochsner Clinic Foundation, Center for Outcomes  and Health Services Research (E.G.P.-H.) and Department of Cardiovascular  Diseases, John Ochsner Heart and Vascular Institute (C.J.L.), Ochsner Clinical  School-University of Queensland School of Medicine (E.G.P.-H., C.J.L.), the  Department of Medicine, Division of Endocrinology and Metabolism (T.K.T., V.F.)  and the Department of Medicine, Section of General Internal Medicine and  Geriatrics (J.G.), Tulane University Health Sciences Center School of Medicine,  Southeast Louisiana Veterans Health Care System (T.K.T., V.F.), the College of  Pharmacy, Xavier University of Louisiana (K.B.K., D.F.S.), and the Department of  Internal Medicine, Louisiana State University School of Medicine, and Program in  Health Policy and Systems Management, Louisiana State University School of Public  Health (B.S.), New Orleans - all in Louisiana.; From the Pennington Biomedical Research Center, Baton Rouge (P.T.K., C.K.M.,  R.L.N., J.W.A., K.D.D., E.F.M., P.J.B., W.D.J.), the Department of Medicine and  Feist-Weiller Cancer Center, Louisiana State University Health Sciences Center,  Shreveport (C.L.A., T.C.D.), and Ochsner Clinic Foundation, Center for Outcomes  and Health Services Research (E.G.P.-H.) and Department of Cardiovascular  Diseases, John Ochsner Heart and Vascular Institute (C.J.L.), Ochsner Clinical  School-University of Queensland School of Medicine (E.G.P.-H., C.J.L.), the  Department of Medicine, Division of Endocrinology and Metabolism (T.K.T., V.F.)  and the Department of Medicine, Section of General Internal Medicine and  Geriatrics (J.G.), Tulane University Health Sciences Center School of Medicine,  Southeast Louisiana Veterans Health Care System (T.K.T., V.F.), the College of  Pharmacy, Xavier University of Louisiana (K.B.K., D.F.S.), and the Department of  Internal Medicine, Louisiana State University School of Medicine, and Program in  Health Policy and Systems Management, Louisiana State University School of Public  Health (B.S.), New Orleans - all in Louisiana.&lt;/_author_adr&gt;&lt;_date_display&gt;2020 Sep 3&lt;/_date_display&gt;&lt;_date&gt;2020-09-03&lt;/_date&gt;&lt;_doi&gt;10.1056/NEJMoa2007448&lt;/_doi&gt;&lt;_isbn&gt;1533-4406 (Electronic); 0028-4793 (Print); 0028-4793 (Linking)&lt;/_isbn&gt;&lt;_issue&gt;10&lt;/_issue&gt;&lt;_journal&gt;N Engl J Med&lt;/_journal&gt;&lt;_language&gt;eng&lt;/_language&gt;&lt;_ori_publication&gt;Copyright (c) 2020 Massachusetts Medical Society.&lt;/_ori_publication&gt;&lt;_pages&gt;909-918&lt;/_pages&gt;&lt;_subject_headings&gt;Adult; Aged; Diet, Reducing; Exercise; Female; Health Literacy; *Healthcare Disparities; *Healthy Lifestyle; Humans; Male; Middle Aged; Obesity/ethnology/physiopathology/*therapy; Patient Education as Topic; Primary Health Care; Socioeconomic Factors; *Vulnerable Populations; *Weight Loss; Young Adult&lt;/_subject_headings&gt;&lt;_tertiary_title&gt;The New England journal of medicine&lt;/_tertiary_title&gt;&lt;_type_work&gt;Journal Article; Multicenter Study; Randomized Controlled Trial; Research Support, N.I.H., Extramural; Research Support, Non-U.S. Gov&amp;apos;t&lt;/_type_work&gt;&lt;_url&gt;http://www.ncbi.nlm.nih.gov/entrez/query.fcgi?cmd=Retrieve&amp;amp;db=pubmed&amp;amp;dopt=Abstract&amp;amp;list_uids=32877581&amp;amp;query_hl=1&lt;/_url&gt;&lt;_volume&gt;383&lt;/_volume&gt;&lt;_created&gt;64985329&lt;/_created&gt;&lt;_modified&gt;64985329&lt;/_modified&gt;&lt;_db_updated&gt;PubMed&lt;/_db_updated&gt;&lt;_impact_factor&gt; 176.079&lt;/_impact_factor&gt;&lt;_social_category&gt;医学：内科(1)&lt;/_social_category&gt;&lt;_collection_scope&gt;SCIE&lt;/_collection_scope&gt;&lt;_accessed&gt;64985329&lt;/_accessed&gt;&lt;/Details&gt;&lt;Extra&gt;&lt;DBUID&gt;{1F004544-7F3B-46C7-B932-C63AA7CCA45F}&lt;/DBUID&gt;&lt;/Extra&gt;&lt;/Item&gt;&lt;/References&gt;&lt;/Group&gt;&lt;/Citation&gt;_x000a_"/>
    <w:docVar w:name="NE.Ref{DBA73C0B-2622-4B37-B435-293871D6F1AF}" w:val=" ADDIN NE.Ref.{DBA73C0B-2622-4B37-B435-293871D6F1AF}&lt;Citation&gt;&lt;Group&gt;&lt;References&gt;&lt;Item&gt;&lt;ID&gt;9&lt;/ID&gt;&lt;UID&gt;{FA278B8D-9A36-46DC-AB0B-99F76F0711FF}&lt;/UID&gt;&lt;Title&gt;医学统计学&lt;/Title&gt;&lt;Template&gt;Book&lt;/Template&gt;&lt;Star&gt;0&lt;/Star&gt;&lt;Tag&gt;0&lt;/Tag&gt;&lt;Author&gt;颜艳; 王彤&lt;/Author&gt;&lt;Year&gt;2020&lt;/Year&gt;&lt;Details&gt;&lt;_accessed&gt;64986427&lt;/_accessed&gt;&lt;_created&gt;63171172&lt;/_created&gt;&lt;_edition&gt;5版&lt;/_edition&gt;&lt;_modified&gt;64986365&lt;/_modified&gt;&lt;_pages&gt;524&lt;/_pages&gt;&lt;_place_published&gt;北京&lt;/_place_published&gt;&lt;_publisher&gt;人民卫生出版社&lt;/_publisher&gt;&lt;_translated_author&gt;Sun, Zhenqiu;Xu, Yongyong;Zhu, Bian&lt;/_translated_author&gt;&lt;/Details&gt;&lt;Extra&gt;&lt;DBUID&gt;{1F004544-7F3B-46C7-B932-C63AA7CCA45F}&lt;/DBUID&gt;&lt;/Extra&gt;&lt;/Item&gt;&lt;/References&gt;&lt;/Group&gt;&lt;/Citation&gt;_x000a_"/>
    <w:docVar w:name="ne_docsoft" w:val="MSWord"/>
    <w:docVar w:name="ne_docversion" w:val="NoteExpress 2.0"/>
    <w:docVar w:name="ne_stylename" w:val="New England J Medicine"/>
  </w:docVars>
  <w:rsids>
    <w:rsidRoot w:val="00EF7CDE"/>
    <w:rsid w:val="000019C1"/>
    <w:rsid w:val="00097242"/>
    <w:rsid w:val="000A2F6E"/>
    <w:rsid w:val="000D4812"/>
    <w:rsid w:val="000F4A4B"/>
    <w:rsid w:val="00107D98"/>
    <w:rsid w:val="00186E44"/>
    <w:rsid w:val="001A1CF7"/>
    <w:rsid w:val="001B7CAD"/>
    <w:rsid w:val="001F22B6"/>
    <w:rsid w:val="00240DA0"/>
    <w:rsid w:val="0025534B"/>
    <w:rsid w:val="0027539C"/>
    <w:rsid w:val="00307E34"/>
    <w:rsid w:val="003519C4"/>
    <w:rsid w:val="00362F50"/>
    <w:rsid w:val="003D0D69"/>
    <w:rsid w:val="00450809"/>
    <w:rsid w:val="00475066"/>
    <w:rsid w:val="004C0570"/>
    <w:rsid w:val="0053473F"/>
    <w:rsid w:val="00557E00"/>
    <w:rsid w:val="005C1DE1"/>
    <w:rsid w:val="005D091A"/>
    <w:rsid w:val="005E5008"/>
    <w:rsid w:val="00672D15"/>
    <w:rsid w:val="006D42D4"/>
    <w:rsid w:val="006E46EA"/>
    <w:rsid w:val="00751A58"/>
    <w:rsid w:val="00785F30"/>
    <w:rsid w:val="0078796F"/>
    <w:rsid w:val="007B6CAB"/>
    <w:rsid w:val="007D300A"/>
    <w:rsid w:val="007F2E90"/>
    <w:rsid w:val="008449E5"/>
    <w:rsid w:val="008856E6"/>
    <w:rsid w:val="008B5149"/>
    <w:rsid w:val="009A3838"/>
    <w:rsid w:val="00A07F28"/>
    <w:rsid w:val="00A249D2"/>
    <w:rsid w:val="00A60825"/>
    <w:rsid w:val="00AE1E00"/>
    <w:rsid w:val="00AE7F49"/>
    <w:rsid w:val="00AF108D"/>
    <w:rsid w:val="00B5129A"/>
    <w:rsid w:val="00B925D2"/>
    <w:rsid w:val="00BE43E8"/>
    <w:rsid w:val="00C40A92"/>
    <w:rsid w:val="00CA5185"/>
    <w:rsid w:val="00D13342"/>
    <w:rsid w:val="00D15017"/>
    <w:rsid w:val="00EF7CDE"/>
    <w:rsid w:val="00F46A24"/>
    <w:rsid w:val="00F63C08"/>
    <w:rsid w:val="00F9121E"/>
    <w:rsid w:val="00FA4F1F"/>
    <w:rsid w:val="00FC3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ABE1F"/>
  <w15:chartTrackingRefBased/>
  <w15:docId w15:val="{BC6E8319-E84B-4900-8BAE-59D489A37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ListParagraph"/>
    <w:next w:val="Normal"/>
    <w:link w:val="Heading1Char"/>
    <w:uiPriority w:val="9"/>
    <w:qFormat/>
    <w:rsid w:val="007B6CAB"/>
    <w:pPr>
      <w:numPr>
        <w:numId w:val="2"/>
      </w:numPr>
      <w:spacing w:before="240" w:after="240"/>
      <w:ind w:firstLineChars="0" w:firstLine="0"/>
      <w:outlineLvl w:val="0"/>
    </w:pPr>
    <w:rPr>
      <w:b/>
      <w:bCs/>
      <w:sz w:val="32"/>
      <w:szCs w:val="36"/>
    </w:rPr>
  </w:style>
  <w:style w:type="paragraph" w:styleId="Heading2">
    <w:name w:val="heading 2"/>
    <w:basedOn w:val="Heading1"/>
    <w:next w:val="Normal"/>
    <w:link w:val="Heading2Char"/>
    <w:uiPriority w:val="9"/>
    <w:unhideWhenUsed/>
    <w:qFormat/>
    <w:rsid w:val="008449E5"/>
    <w:pPr>
      <w:numPr>
        <w:ilvl w:val="1"/>
        <w:numId w:val="3"/>
      </w:numPr>
      <w:outlineLvl w:val="1"/>
    </w:pPr>
    <w:rPr>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F46A24"/>
    <w:rPr>
      <w:rFonts w:asciiTheme="majorHAnsi" w:eastAsia="黑体" w:hAnsiTheme="majorHAnsi" w:cstheme="majorBidi"/>
      <w:sz w:val="20"/>
      <w:szCs w:val="20"/>
    </w:rPr>
  </w:style>
  <w:style w:type="paragraph" w:styleId="ListParagraph">
    <w:name w:val="List Paragraph"/>
    <w:basedOn w:val="Normal"/>
    <w:uiPriority w:val="34"/>
    <w:qFormat/>
    <w:rsid w:val="007B6CAB"/>
    <w:pPr>
      <w:ind w:firstLineChars="200" w:firstLine="420"/>
    </w:pPr>
  </w:style>
  <w:style w:type="character" w:customStyle="1" w:styleId="Heading1Char">
    <w:name w:val="Heading 1 Char"/>
    <w:basedOn w:val="DefaultParagraphFont"/>
    <w:link w:val="Heading1"/>
    <w:uiPriority w:val="9"/>
    <w:rsid w:val="007B6CAB"/>
    <w:rPr>
      <w:b/>
      <w:bCs/>
      <w:sz w:val="32"/>
      <w:szCs w:val="36"/>
    </w:rPr>
  </w:style>
  <w:style w:type="character" w:customStyle="1" w:styleId="Heading2Char">
    <w:name w:val="Heading 2 Char"/>
    <w:basedOn w:val="DefaultParagraphFont"/>
    <w:link w:val="Heading2"/>
    <w:uiPriority w:val="9"/>
    <w:rsid w:val="008449E5"/>
    <w:rPr>
      <w:b/>
      <w:bCs/>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D369E-BEB1-4F3A-8C80-63B68E4A7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1194</TotalTime>
  <Pages>5</Pages>
  <Words>520</Words>
  <Characters>2969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 Zhiyu</dc:creator>
  <cp:keywords/>
  <dc:description>NE.Ref</dc:description>
  <cp:lastModifiedBy>Zeng, ZY Zhiyu</cp:lastModifiedBy>
  <cp:revision>18</cp:revision>
  <dcterms:created xsi:type="dcterms:W3CDTF">2023-05-21T01:46:00Z</dcterms:created>
  <dcterms:modified xsi:type="dcterms:W3CDTF">2025-01-04T14:04:00Z</dcterms:modified>
</cp:coreProperties>
</file>