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14945" w14:textId="77777777" w:rsidR="00571D21" w:rsidRDefault="00571D21" w:rsidP="00571D21"/>
    <w:p w14:paraId="40D14A7B" w14:textId="134CE4CC" w:rsidR="00571D21" w:rsidRDefault="00571D21" w:rsidP="00CB1141">
      <w:pPr>
        <w:pStyle w:val="Heading2"/>
      </w:pPr>
      <w:r>
        <w:t>Data Fetching</w:t>
      </w:r>
    </w:p>
    <w:p w14:paraId="1D6D45EA" w14:textId="5F4C3A2F" w:rsidR="00571D21" w:rsidRDefault="00571D21" w:rsidP="00571D21">
      <w:r>
        <w:t xml:space="preserve">Our target is to build the </w:t>
      </w:r>
      <w:r w:rsidR="00BF3C76">
        <w:t>6-factor</w:t>
      </w:r>
      <w:r>
        <w:t xml:space="preserve"> model including market, Size</w:t>
      </w:r>
      <w:r w:rsidR="001A4239">
        <w:t xml:space="preserve"> </w:t>
      </w:r>
      <w:r>
        <w:t>(SMB), Value</w:t>
      </w:r>
      <w:r w:rsidR="001A4239">
        <w:t xml:space="preserve"> </w:t>
      </w:r>
      <w:r>
        <w:t xml:space="preserve">(HML), </w:t>
      </w:r>
      <w:r w:rsidR="001A4239">
        <w:t>Profitability (</w:t>
      </w:r>
      <w:r>
        <w:t xml:space="preserve">RMW), </w:t>
      </w:r>
      <w:r w:rsidR="001A4239">
        <w:t>Investment (</w:t>
      </w:r>
      <w:r>
        <w:t>CMA), and Momentum</w:t>
      </w:r>
      <w:r w:rsidR="001A4239">
        <w:t xml:space="preserve"> </w:t>
      </w:r>
      <w:r>
        <w:t>(UMD).</w:t>
      </w:r>
      <w:r>
        <w:t xml:space="preserve"> </w:t>
      </w:r>
      <w:r>
        <w:t xml:space="preserve">We </w:t>
      </w:r>
      <w:r>
        <w:t>decided</w:t>
      </w:r>
      <w:r>
        <w:t xml:space="preserve"> to use </w:t>
      </w:r>
      <w:r w:rsidRPr="00571D21">
        <w:rPr>
          <w:i/>
          <w:iCs/>
        </w:rPr>
        <w:t>tushare</w:t>
      </w:r>
      <w:r>
        <w:t xml:space="preserve"> </w:t>
      </w:r>
      <w:r>
        <w:t xml:space="preserve">which is an opensource </w:t>
      </w:r>
      <w:r>
        <w:t>financial</w:t>
      </w:r>
      <w:r>
        <w:t xml:space="preserve"> data library to get the daily stock prices, index price and the </w:t>
      </w:r>
      <w:r>
        <w:t>financial</w:t>
      </w:r>
      <w:r>
        <w:t xml:space="preserve"> </w:t>
      </w:r>
      <w:r>
        <w:t>report</w:t>
      </w:r>
      <w:r>
        <w:t xml:space="preserve"> of the stocks.</w:t>
      </w:r>
    </w:p>
    <w:p w14:paraId="041FF495" w14:textId="61FA8A21" w:rsidR="00571D21" w:rsidRDefault="00571D21" w:rsidP="00571D21">
      <w:r>
        <w:t xml:space="preserve">Our stock universe is selected from the </w:t>
      </w:r>
      <w:r>
        <w:t>component</w:t>
      </w:r>
      <w:r>
        <w:t xml:space="preserve"> stocks in CSI 300 </w:t>
      </w:r>
      <w:r>
        <w:t>index,</w:t>
      </w:r>
      <w:r>
        <w:t xml:space="preserve"> and we also use CSI 300 index as the market.  We </w:t>
      </w:r>
      <w:r>
        <w:t>filtered</w:t>
      </w:r>
      <w:r>
        <w:t xml:space="preserve"> stocks in banks and </w:t>
      </w:r>
      <w:r>
        <w:t>insurance</w:t>
      </w:r>
      <w:r>
        <w:t xml:space="preserve"> industries to focus on non-financial Sectors.</w:t>
      </w:r>
    </w:p>
    <w:p w14:paraId="58F6B20C" w14:textId="77777777" w:rsidR="00571D21" w:rsidRDefault="00571D21" w:rsidP="00571D21"/>
    <w:p w14:paraId="677F4B2B" w14:textId="3DA2F787" w:rsidR="00571D21" w:rsidRDefault="00571D21" w:rsidP="00571D21">
      <w:r>
        <w:t xml:space="preserve">The </w:t>
      </w:r>
      <w:r>
        <w:t>time</w:t>
      </w:r>
      <w:r>
        <w:t xml:space="preserve"> is from 2000-01-01 to 2024-12-31. The meta data of the stocks includes daily percentage changes using </w:t>
      </w:r>
      <w:r w:rsidRPr="00571D21">
        <w:rPr>
          <w:i/>
          <w:iCs/>
        </w:rPr>
        <w:t>pro.daily()</w:t>
      </w:r>
      <w:r>
        <w:t xml:space="preserve">, and their financial indicators using </w:t>
      </w:r>
      <w:r w:rsidRPr="00571D21">
        <w:rPr>
          <w:i/>
          <w:iCs/>
        </w:rPr>
        <w:t>pro.fina_indicator()</w:t>
      </w:r>
      <w:r>
        <w:t xml:space="preserve"> for each year. For each stock, in order to calculate the above factors, we fetch the indicators including market value (</w:t>
      </w:r>
      <w:r w:rsidRPr="00571D21">
        <w:rPr>
          <w:i/>
          <w:iCs/>
        </w:rPr>
        <w:t>t_mv</w:t>
      </w:r>
      <w:r>
        <w:t>), asset growth over the previous year(assets_yoy), net profit to total assets (</w:t>
      </w:r>
      <w:r w:rsidRPr="00571D21">
        <w:rPr>
          <w:i/>
          <w:iCs/>
        </w:rPr>
        <w:t>npta</w:t>
      </w:r>
      <w:r>
        <w:t>), PB value(</w:t>
      </w:r>
      <w:r w:rsidRPr="00571D21">
        <w:rPr>
          <w:i/>
          <w:iCs/>
        </w:rPr>
        <w:t>t_pb</w:t>
      </w:r>
      <w:r>
        <w:t xml:space="preserve">).  Normally the annual financial report is announced before 31st Mar, so we update the portfolio for each factor every year on 1st April. Accordingly, we use the same strategy to get the index data by using the api </w:t>
      </w:r>
      <w:r w:rsidRPr="00571D21">
        <w:rPr>
          <w:i/>
          <w:iCs/>
        </w:rPr>
        <w:t xml:space="preserve">pro.index_daily() </w:t>
      </w:r>
      <w:r>
        <w:t>to get the daily returns for index 399300.SZ.</w:t>
      </w:r>
    </w:p>
    <w:p w14:paraId="19739F11" w14:textId="06385CEA" w:rsidR="00571D21" w:rsidRDefault="00571D21" w:rsidP="00571D21">
      <w:r>
        <w:t xml:space="preserve">The </w:t>
      </w:r>
      <w:r>
        <w:t>risk-free</w:t>
      </w:r>
      <w:r>
        <w:t xml:space="preserve"> rate is fetched using the api </w:t>
      </w:r>
      <w:r w:rsidRPr="00571D21">
        <w:rPr>
          <w:i/>
          <w:iCs/>
        </w:rPr>
        <w:t>pro.shibor()</w:t>
      </w:r>
      <w:r>
        <w:t xml:space="preserve"> to get the Shanghai Interbank Offered Rate (Shibor) daily  one-year rate. The monthly rate is the average of the daily rate for each month. For the missing data, we use 3.5% as default rate. </w:t>
      </w:r>
    </w:p>
    <w:p w14:paraId="03AA1EFA" w14:textId="77777777" w:rsidR="00571D21" w:rsidRDefault="00571D21" w:rsidP="00571D21"/>
    <w:p w14:paraId="4BD747AA" w14:textId="07F218C4" w:rsidR="00571D21" w:rsidRDefault="00571D21" w:rsidP="00CB1141">
      <w:pPr>
        <w:pStyle w:val="Heading2"/>
      </w:pPr>
      <w:r>
        <w:t>Data Processing</w:t>
      </w:r>
    </w:p>
    <w:p w14:paraId="1CE52D83" w14:textId="77777777" w:rsidR="00571D21" w:rsidRDefault="00571D21" w:rsidP="00571D21">
      <w:r>
        <w:t>To calculate the factors, we use the following formulas:</w:t>
      </w:r>
    </w:p>
    <w:p w14:paraId="242DE206" w14:textId="4622356C" w:rsidR="00571D21" w:rsidRDefault="00571D21" w:rsidP="00571D21">
      <m:oMath>
        <m:r>
          <w:rPr>
            <w:rFonts w:ascii="Cambria Math" w:hAnsi="Cambria Math"/>
          </w:rPr>
          <m:t>size=t_mv</m:t>
        </m:r>
      </m:oMath>
      <w:r w:rsidR="001F0A41">
        <w:t xml:space="preserve">, </w:t>
      </w:r>
      <m:oMath>
        <m:r>
          <w:rPr>
            <w:rFonts w:ascii="Cambria Math" w:hAnsi="Cambria Math"/>
          </w:rPr>
          <m:t>value=</m:t>
        </m:r>
        <m:f>
          <m:fPr>
            <m:ctrlPr>
              <w:rPr>
                <w:rFonts w:ascii="Cambria Math" w:hAnsi="Cambria Math"/>
                <w:i/>
              </w:rPr>
            </m:ctrlPr>
          </m:fPr>
          <m:num>
            <m:r>
              <w:rPr>
                <w:rFonts w:ascii="Cambria Math" w:hAnsi="Cambria Math"/>
              </w:rPr>
              <m:t>1</m:t>
            </m:r>
          </m:num>
          <m:den>
            <m:r>
              <w:rPr>
                <w:rFonts w:ascii="Cambria Math" w:hAnsi="Cambria Math"/>
              </w:rPr>
              <m:t>t_pb</m:t>
            </m:r>
          </m:den>
        </m:f>
      </m:oMath>
      <w:r w:rsidR="001F0A41">
        <w:t xml:space="preserve">, </w:t>
      </w:r>
      <m:oMath>
        <m:r>
          <w:rPr>
            <w:rFonts w:ascii="Cambria Math" w:hAnsi="Cambria Math"/>
          </w:rPr>
          <m:t>profitability=npta</m:t>
        </m:r>
      </m:oMath>
      <w:r w:rsidR="001F0A41">
        <w:t xml:space="preserve">, </w:t>
      </w:r>
      <m:oMath>
        <m:r>
          <w:rPr>
            <w:rFonts w:ascii="Cambria Math" w:hAnsi="Cambria Math"/>
          </w:rPr>
          <m:t>investment=assets_yoy</m:t>
        </m:r>
      </m:oMath>
      <w:r w:rsidR="001F0A41">
        <w:t xml:space="preserve">, </w:t>
      </w:r>
      <m:oMath>
        <m:r>
          <w:rPr>
            <w:rFonts w:ascii="Cambria Math" w:hAnsi="Cambria Math"/>
          </w:rPr>
          <m:t>momentum=</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j=m-6</m:t>
                </m:r>
              </m:sub>
              <m:sup>
                <m:r>
                  <w:rPr>
                    <w:rFonts w:ascii="Cambria Math" w:hAnsi="Cambria Math"/>
                  </w:rPr>
                  <m:t>m-1</m:t>
                </m:r>
              </m:sup>
              <m:e>
                <m:sSub>
                  <m:sSubPr>
                    <m:ctrlPr>
                      <w:rPr>
                        <w:rFonts w:ascii="Cambria Math" w:hAnsi="Cambria Math"/>
                        <w:i/>
                      </w:rPr>
                    </m:ctrlPr>
                  </m:sSubPr>
                  <m:e>
                    <m:r>
                      <w:rPr>
                        <w:rFonts w:ascii="Cambria Math" w:hAnsi="Cambria Math"/>
                      </w:rPr>
                      <m:t>r</m:t>
                    </m:r>
                  </m:e>
                  <m:sub>
                    <m:r>
                      <w:rPr>
                        <w:rFonts w:ascii="Cambria Math" w:hAnsi="Cambria Math"/>
                      </w:rPr>
                      <m:t>j</m:t>
                    </m:r>
                  </m:sub>
                </m:sSub>
              </m:e>
            </m:nary>
          </m:den>
        </m:f>
      </m:oMath>
      <w:r w:rsidR="001F0A41">
        <w:t xml:space="preserve">, </w:t>
      </w:r>
      <w:r>
        <w:t xml:space="preserve">where </w:t>
      </w:r>
      <m:oMath>
        <m:r>
          <w:rPr>
            <w:rFonts w:ascii="Cambria Math" w:hAnsi="Cambria Math"/>
          </w:rPr>
          <m:t>m</m:t>
        </m:r>
      </m:oMath>
      <w:r>
        <w:t xml:space="preserve"> is the current month. To get the monthly return, we accumulate the daily returns using the following equation:</w:t>
      </w:r>
    </w:p>
    <w:p w14:paraId="5B39B3DB" w14:textId="37B0E7D4" w:rsidR="00571D21" w:rsidRDefault="00571D21" w:rsidP="00571D21">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days</m:t>
                        </m:r>
                      </m:sub>
                    </m:sSub>
                  </m:sup>
                  <m:e>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m,i</m:t>
                                </m:r>
                              </m:sub>
                            </m:sSub>
                          </m:e>
                        </m:d>
                      </m:e>
                    </m:func>
                  </m:e>
                </m:nary>
              </m:e>
            </m:d>
          </m:e>
        </m:func>
        <m:r>
          <w:rPr>
            <w:rFonts w:ascii="Cambria Math" w:hAnsi="Cambria Math"/>
          </w:rPr>
          <m:t>-1</m:t>
        </m:r>
      </m:oMath>
      <w:r w:rsidR="001F0A41">
        <w:t>, w</w:t>
      </w:r>
      <w:r>
        <w:t xml:space="preserve">here </w:t>
      </w:r>
      <m:oMath>
        <m:sSub>
          <m:sSubPr>
            <m:ctrlPr>
              <w:rPr>
                <w:rFonts w:ascii="Cambria Math" w:hAnsi="Cambria Math"/>
                <w:i/>
              </w:rPr>
            </m:ctrlPr>
          </m:sSubPr>
          <m:e>
            <m:r>
              <w:rPr>
                <w:rFonts w:ascii="Cambria Math" w:hAnsi="Cambria Math"/>
              </w:rPr>
              <m:t>m</m:t>
            </m:r>
          </m:e>
          <m:sub>
            <m:r>
              <w:rPr>
                <w:rFonts w:ascii="Cambria Math" w:hAnsi="Cambria Math"/>
              </w:rPr>
              <m:t>days</m:t>
            </m:r>
          </m:sub>
        </m:sSub>
      </m:oMath>
      <w:r>
        <w:t xml:space="preserve"> is the trading days in the month $m$.</w:t>
      </w:r>
    </w:p>
    <w:p w14:paraId="4FB5B8B1" w14:textId="77777777" w:rsidR="00571D21" w:rsidRDefault="00571D21" w:rsidP="00571D21"/>
    <w:p w14:paraId="097B39DE" w14:textId="04866021" w:rsidR="00571D21" w:rsidRDefault="00571D21" w:rsidP="00571D21">
      <w:r>
        <w:t>Similarly,</w:t>
      </w:r>
      <w:r>
        <w:t xml:space="preserve"> we get the monthly returns for the index using the same strategy. </w:t>
      </w:r>
    </w:p>
    <w:p w14:paraId="5767ABC6" w14:textId="77777777" w:rsidR="00571D21" w:rsidRDefault="00571D21" w:rsidP="00571D21"/>
    <w:p w14:paraId="0AF8A8F8" w14:textId="296847FA" w:rsidR="00571D21" w:rsidRDefault="00571D21" w:rsidP="001F0A41">
      <w:pPr>
        <w:pStyle w:val="Heading2"/>
      </w:pPr>
      <w:r>
        <w:t>Factor Constructing</w:t>
      </w:r>
    </w:p>
    <w:p w14:paraId="6F51612E" w14:textId="740619B0" w:rsidR="00571D21" w:rsidRDefault="00571D21" w:rsidP="00571D21">
      <w:r>
        <w:t xml:space="preserve">Our data period is from 2000-01-01 to 2024-12-31 and the new financial indicators are </w:t>
      </w:r>
      <w:r>
        <w:t>available on</w:t>
      </w:r>
      <w:r>
        <w:t xml:space="preserve"> each April. </w:t>
      </w:r>
      <w:r>
        <w:t>Thus,</w:t>
      </w:r>
      <w:r>
        <w:t xml:space="preserve"> we build the factor </w:t>
      </w:r>
      <w:r>
        <w:t>portfolios</w:t>
      </w:r>
      <w:r>
        <w:t xml:space="preserve"> at every April starting from year 2001. To make the procedure clear, we use size as an example to describe the steps for building the SMB factor each month. </w:t>
      </w:r>
    </w:p>
    <w:p w14:paraId="200A0751" w14:textId="0A092B38" w:rsidR="00571D21" w:rsidRDefault="00571D21" w:rsidP="00571D21">
      <w:r>
        <w:t xml:space="preserve">1. If the month is April, we update the factor portfolio for </w:t>
      </w:r>
      <w:r w:rsidR="001F0A41">
        <w:t>size and</w:t>
      </w:r>
      <w:r>
        <w:t xml:space="preserve"> rank the stocks for April according to size from small to large, then divide the stocks into small-cap (top50%) and large-cap (bottom 50%) to build the size portfolios.</w:t>
      </w:r>
    </w:p>
    <w:p w14:paraId="3BC77921" w14:textId="3465C04B" w:rsidR="00571D21" w:rsidRDefault="00571D21" w:rsidP="00571D21">
      <w:r>
        <w:t xml:space="preserve">2. For every month, we calculate the average </w:t>
      </w:r>
      <w:r w:rsidR="001F0A41">
        <w:t>monthly</w:t>
      </w:r>
      <w:r>
        <w:t xml:space="preserve"> returns of the latest factor portfolios, namely </w:t>
      </w:r>
      <m:oMath>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pt</m:t>
            </m:r>
          </m:sup>
        </m:sSubSup>
      </m:oMath>
      <w: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p</m:t>
            </m:r>
            <m:r>
              <w:rPr>
                <w:rFonts w:ascii="Cambria Math" w:hAnsi="Cambria Math"/>
              </w:rPr>
              <m:t>b</m:t>
            </m:r>
          </m:sup>
        </m:sSubSup>
      </m:oMath>
      <w:r>
        <w:t>, as the top-portfolio monthly return and the bottom-portfolio monthly return.</w:t>
      </w:r>
    </w:p>
    <w:p w14:paraId="6E7EC47F" w14:textId="1EC5865F" w:rsidR="00571D21" w:rsidRDefault="00571D21" w:rsidP="00571D21">
      <w:r>
        <w:t xml:space="preserve">3. The SMB is calculated just simply using </w:t>
      </w:r>
      <m:oMath>
        <m:r>
          <w:rPr>
            <w:rFonts w:ascii="Cambria Math" w:hAnsi="Cambria Math"/>
          </w:rPr>
          <m:t>SMB=</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pt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p</m:t>
            </m:r>
            <m:r>
              <w:rPr>
                <w:rFonts w:ascii="Cambria Math" w:hAnsi="Cambria Math"/>
              </w:rPr>
              <m:t>b</m:t>
            </m:r>
          </m:sup>
        </m:sSubSup>
      </m:oMath>
      <w:r>
        <w:t>.</w:t>
      </w:r>
    </w:p>
    <w:p w14:paraId="1045305B" w14:textId="77777777" w:rsidR="00571D21" w:rsidRDefault="00571D21" w:rsidP="00571D21"/>
    <w:p w14:paraId="495CBC0B" w14:textId="4D23341E" w:rsidR="00571D21" w:rsidRDefault="00571D21" w:rsidP="00571D21">
      <w:r>
        <w:t xml:space="preserve">For other factors, we use the same strategy but with minor adjustments, such as ranking order, top-bottom ratio, </w:t>
      </w:r>
      <w:r w:rsidR="001F0A41">
        <w:t>etc, separately</w:t>
      </w:r>
      <w:r>
        <w:t>. The following table shows the details of those parameters.</w:t>
      </w:r>
    </w:p>
    <w:p w14:paraId="05A6D98D" w14:textId="77777777" w:rsidR="00571D21" w:rsidRDefault="00571D21" w:rsidP="00571D21"/>
    <w:tbl>
      <w:tblPr>
        <w:tblStyle w:val="TableGrid"/>
        <w:tblW w:w="0" w:type="auto"/>
        <w:tblLook w:val="04A0" w:firstRow="1" w:lastRow="0" w:firstColumn="1" w:lastColumn="0" w:noHBand="0" w:noVBand="1"/>
      </w:tblPr>
      <w:tblGrid>
        <w:gridCol w:w="3116"/>
        <w:gridCol w:w="3117"/>
        <w:gridCol w:w="3117"/>
      </w:tblGrid>
      <w:tr w:rsidR="00571D21" w14:paraId="1229559D" w14:textId="77777777" w:rsidTr="00571D21">
        <w:tc>
          <w:tcPr>
            <w:tcW w:w="3116" w:type="dxa"/>
          </w:tcPr>
          <w:p w14:paraId="0A1B96B2" w14:textId="01ED9AE1" w:rsidR="00571D21" w:rsidRDefault="00571D21" w:rsidP="00571D21">
            <w:r>
              <w:t xml:space="preserve">Factor             </w:t>
            </w:r>
          </w:p>
        </w:tc>
        <w:tc>
          <w:tcPr>
            <w:tcW w:w="3117" w:type="dxa"/>
          </w:tcPr>
          <w:p w14:paraId="5F70DF30" w14:textId="17FAFE42" w:rsidR="00571D21" w:rsidRDefault="00571D21" w:rsidP="00571D21">
            <w:r>
              <w:t xml:space="preserve">Order      </w:t>
            </w:r>
          </w:p>
        </w:tc>
        <w:tc>
          <w:tcPr>
            <w:tcW w:w="3117" w:type="dxa"/>
          </w:tcPr>
          <w:p w14:paraId="082F1AF1" w14:textId="25A40B27" w:rsidR="00571D21" w:rsidRDefault="00571D21" w:rsidP="00571D21">
            <w:r>
              <w:t>Ratio</w:t>
            </w:r>
          </w:p>
        </w:tc>
      </w:tr>
      <w:tr w:rsidR="00571D21" w14:paraId="062C7BED" w14:textId="77777777" w:rsidTr="00571D21">
        <w:tc>
          <w:tcPr>
            <w:tcW w:w="3116" w:type="dxa"/>
          </w:tcPr>
          <w:p w14:paraId="56C61524" w14:textId="1144AE45" w:rsidR="00571D21" w:rsidRDefault="004E5F17" w:rsidP="00571D21">
            <w:r>
              <w:t>Size (</w:t>
            </w:r>
            <w:r w:rsidR="00571D21">
              <w:t xml:space="preserve">SMB) </w:t>
            </w:r>
          </w:p>
        </w:tc>
        <w:tc>
          <w:tcPr>
            <w:tcW w:w="3117" w:type="dxa"/>
          </w:tcPr>
          <w:p w14:paraId="0825ED42" w14:textId="565B7EE7" w:rsidR="00571D21" w:rsidRDefault="00571D21" w:rsidP="00571D21">
            <w:r>
              <w:t>Ascending</w:t>
            </w:r>
            <w:r>
              <w:t xml:space="preserve">  </w:t>
            </w:r>
          </w:p>
        </w:tc>
        <w:tc>
          <w:tcPr>
            <w:tcW w:w="3117" w:type="dxa"/>
          </w:tcPr>
          <w:p w14:paraId="320BB506" w14:textId="65F14168" w:rsidR="00571D21" w:rsidRDefault="00571D21" w:rsidP="00571D21">
            <w:r>
              <w:t xml:space="preserve">50%   </w:t>
            </w:r>
          </w:p>
        </w:tc>
      </w:tr>
      <w:tr w:rsidR="00571D21" w14:paraId="6AFC518E" w14:textId="77777777" w:rsidTr="00571D21">
        <w:tc>
          <w:tcPr>
            <w:tcW w:w="3116" w:type="dxa"/>
          </w:tcPr>
          <w:p w14:paraId="739AF748" w14:textId="158083D1" w:rsidR="00571D21" w:rsidRDefault="004E5F17" w:rsidP="00571D21">
            <w:r>
              <w:t>Value (</w:t>
            </w:r>
            <w:r w:rsidR="00571D21">
              <w:t>HML)</w:t>
            </w:r>
          </w:p>
        </w:tc>
        <w:tc>
          <w:tcPr>
            <w:tcW w:w="3117" w:type="dxa"/>
          </w:tcPr>
          <w:p w14:paraId="1B0D6A3D" w14:textId="64B438B7" w:rsidR="00571D21" w:rsidRDefault="00571D21" w:rsidP="00571D21">
            <w:r>
              <w:t>Descending</w:t>
            </w:r>
          </w:p>
        </w:tc>
        <w:tc>
          <w:tcPr>
            <w:tcW w:w="3117" w:type="dxa"/>
          </w:tcPr>
          <w:p w14:paraId="6CB15AFB" w14:textId="07F4D05B" w:rsidR="00571D21" w:rsidRDefault="00571D21" w:rsidP="00571D21">
            <w:r>
              <w:t xml:space="preserve">30%   </w:t>
            </w:r>
          </w:p>
        </w:tc>
      </w:tr>
      <w:tr w:rsidR="00571D21" w14:paraId="10A3A2FD" w14:textId="77777777" w:rsidTr="00571D21">
        <w:tc>
          <w:tcPr>
            <w:tcW w:w="3116" w:type="dxa"/>
          </w:tcPr>
          <w:p w14:paraId="6CD1B6E2" w14:textId="26ADE12D" w:rsidR="00571D21" w:rsidRDefault="004E5F17" w:rsidP="00571D21">
            <w:r>
              <w:t>Profitability (</w:t>
            </w:r>
            <w:r w:rsidR="00571D21">
              <w:t>RMW)</w:t>
            </w:r>
          </w:p>
        </w:tc>
        <w:tc>
          <w:tcPr>
            <w:tcW w:w="3117" w:type="dxa"/>
          </w:tcPr>
          <w:p w14:paraId="4461F782" w14:textId="5A0D806D" w:rsidR="00571D21" w:rsidRDefault="00571D21" w:rsidP="00571D21">
            <w:r>
              <w:t>Descending</w:t>
            </w:r>
          </w:p>
        </w:tc>
        <w:tc>
          <w:tcPr>
            <w:tcW w:w="3117" w:type="dxa"/>
          </w:tcPr>
          <w:p w14:paraId="7D61165B" w14:textId="794545BE" w:rsidR="00571D21" w:rsidRDefault="00571D21" w:rsidP="00571D21">
            <w:r>
              <w:t xml:space="preserve">30%   </w:t>
            </w:r>
          </w:p>
        </w:tc>
      </w:tr>
      <w:tr w:rsidR="00571D21" w14:paraId="362044E3" w14:textId="77777777" w:rsidTr="00571D21">
        <w:tc>
          <w:tcPr>
            <w:tcW w:w="3116" w:type="dxa"/>
          </w:tcPr>
          <w:p w14:paraId="70B07609" w14:textId="31F8C733" w:rsidR="00571D21" w:rsidRDefault="004E5F17" w:rsidP="00571D21">
            <w:r>
              <w:t>Investment (</w:t>
            </w:r>
            <w:r w:rsidR="00571D21">
              <w:t>CMA)</w:t>
            </w:r>
          </w:p>
        </w:tc>
        <w:tc>
          <w:tcPr>
            <w:tcW w:w="3117" w:type="dxa"/>
          </w:tcPr>
          <w:p w14:paraId="3CAD24F7" w14:textId="7688E4D2" w:rsidR="00571D21" w:rsidRDefault="00571D21" w:rsidP="00571D21">
            <w:r>
              <w:t>Descending</w:t>
            </w:r>
          </w:p>
        </w:tc>
        <w:tc>
          <w:tcPr>
            <w:tcW w:w="3117" w:type="dxa"/>
          </w:tcPr>
          <w:p w14:paraId="596FEE92" w14:textId="5E264E98" w:rsidR="00571D21" w:rsidRDefault="00571D21" w:rsidP="00571D21">
            <w:r>
              <w:t xml:space="preserve">30%   </w:t>
            </w:r>
          </w:p>
        </w:tc>
      </w:tr>
      <w:tr w:rsidR="00571D21" w14:paraId="52A75CFC" w14:textId="77777777" w:rsidTr="00571D21">
        <w:tc>
          <w:tcPr>
            <w:tcW w:w="3116" w:type="dxa"/>
          </w:tcPr>
          <w:p w14:paraId="0EFF76E2" w14:textId="20FBED5D" w:rsidR="00571D21" w:rsidRDefault="004E5F17" w:rsidP="00571D21">
            <w:r>
              <w:t>Momentum (</w:t>
            </w:r>
            <w:r w:rsidR="00571D21">
              <w:t>UMD)</w:t>
            </w:r>
          </w:p>
        </w:tc>
        <w:tc>
          <w:tcPr>
            <w:tcW w:w="3117" w:type="dxa"/>
          </w:tcPr>
          <w:p w14:paraId="79807B56" w14:textId="5150D63F" w:rsidR="00571D21" w:rsidRDefault="00571D21" w:rsidP="00571D21">
            <w:r>
              <w:t>Descending</w:t>
            </w:r>
          </w:p>
        </w:tc>
        <w:tc>
          <w:tcPr>
            <w:tcW w:w="3117" w:type="dxa"/>
          </w:tcPr>
          <w:p w14:paraId="51089E22" w14:textId="0ECC6CD3" w:rsidR="00571D21" w:rsidRDefault="00571D21" w:rsidP="00571D21">
            <w:r>
              <w:t>50%</w:t>
            </w:r>
          </w:p>
        </w:tc>
      </w:tr>
    </w:tbl>
    <w:p w14:paraId="6B207D14" w14:textId="77777777" w:rsidR="00571D21" w:rsidRDefault="00571D21" w:rsidP="00571D21"/>
    <w:p w14:paraId="23FF5213" w14:textId="77777777" w:rsidR="00571D21" w:rsidRDefault="00571D21" w:rsidP="00571D21"/>
    <w:p w14:paraId="29BCD042" w14:textId="12224132" w:rsidR="00571D21" w:rsidRDefault="00571D21" w:rsidP="00571D21">
      <w:r>
        <w:t xml:space="preserve">After the factor construction, for each stock at each month, we have the 6 factors including market, </w:t>
      </w:r>
      <w:r w:rsidR="00B82DB9">
        <w:t>Size (</w:t>
      </w:r>
      <w:r>
        <w:t xml:space="preserve">SMB), </w:t>
      </w:r>
      <w:r w:rsidR="00B82DB9">
        <w:t>Value (</w:t>
      </w:r>
      <w:r>
        <w:t xml:space="preserve">HML), </w:t>
      </w:r>
      <w:r>
        <w:t>Profitability (</w:t>
      </w:r>
      <w:r>
        <w:t xml:space="preserve">RMW), </w:t>
      </w:r>
      <w:r w:rsidR="001F0A41">
        <w:t>Investment (</w:t>
      </w:r>
      <w:r>
        <w:t xml:space="preserve">CMA), and </w:t>
      </w:r>
      <w:r w:rsidR="00E35D3F">
        <w:t>Momentum (</w:t>
      </w:r>
      <w:r>
        <w:t xml:space="preserve">UMD).  </w:t>
      </w:r>
      <w:r>
        <w:t>Finally,</w:t>
      </w:r>
      <w:r>
        <w:t xml:space="preserve"> we generate a file includes about 272 stocks </w:t>
      </w:r>
      <w:r>
        <w:t>monthly</w:t>
      </w:r>
      <w:r>
        <w:t xml:space="preserve"> data from April 2001 to Dec. 2024. In addition to the stock name and month date, each row of the file consists of the above 6 factors and the </w:t>
      </w:r>
      <w:r>
        <w:t>risk-free</w:t>
      </w:r>
      <w:r>
        <w:t xml:space="preserve"> rate.</w:t>
      </w:r>
    </w:p>
    <w:sectPr w:rsidR="00571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21"/>
    <w:rsid w:val="0004360B"/>
    <w:rsid w:val="001A4239"/>
    <w:rsid w:val="001F0A41"/>
    <w:rsid w:val="002D4B8F"/>
    <w:rsid w:val="004E5F17"/>
    <w:rsid w:val="00571D21"/>
    <w:rsid w:val="00B82DB9"/>
    <w:rsid w:val="00BF3C76"/>
    <w:rsid w:val="00CB1141"/>
    <w:rsid w:val="00E35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142C39"/>
  <w15:chartTrackingRefBased/>
  <w15:docId w15:val="{493DA9B8-FC3D-7542-89AF-762E80A1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1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1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D21"/>
    <w:rPr>
      <w:rFonts w:eastAsiaTheme="majorEastAsia" w:cstheme="majorBidi"/>
      <w:color w:val="272727" w:themeColor="text1" w:themeTint="D8"/>
    </w:rPr>
  </w:style>
  <w:style w:type="paragraph" w:styleId="Title">
    <w:name w:val="Title"/>
    <w:basedOn w:val="Normal"/>
    <w:next w:val="Normal"/>
    <w:link w:val="TitleChar"/>
    <w:uiPriority w:val="10"/>
    <w:qFormat/>
    <w:rsid w:val="00571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D21"/>
    <w:pPr>
      <w:spacing w:before="160"/>
      <w:jc w:val="center"/>
    </w:pPr>
    <w:rPr>
      <w:i/>
      <w:iCs/>
      <w:color w:val="404040" w:themeColor="text1" w:themeTint="BF"/>
    </w:rPr>
  </w:style>
  <w:style w:type="character" w:customStyle="1" w:styleId="QuoteChar">
    <w:name w:val="Quote Char"/>
    <w:basedOn w:val="DefaultParagraphFont"/>
    <w:link w:val="Quote"/>
    <w:uiPriority w:val="29"/>
    <w:rsid w:val="00571D21"/>
    <w:rPr>
      <w:i/>
      <w:iCs/>
      <w:color w:val="404040" w:themeColor="text1" w:themeTint="BF"/>
    </w:rPr>
  </w:style>
  <w:style w:type="paragraph" w:styleId="ListParagraph">
    <w:name w:val="List Paragraph"/>
    <w:basedOn w:val="Normal"/>
    <w:uiPriority w:val="34"/>
    <w:qFormat/>
    <w:rsid w:val="00571D21"/>
    <w:pPr>
      <w:ind w:left="720"/>
      <w:contextualSpacing/>
    </w:pPr>
  </w:style>
  <w:style w:type="character" w:styleId="IntenseEmphasis">
    <w:name w:val="Intense Emphasis"/>
    <w:basedOn w:val="DefaultParagraphFont"/>
    <w:uiPriority w:val="21"/>
    <w:qFormat/>
    <w:rsid w:val="00571D21"/>
    <w:rPr>
      <w:i/>
      <w:iCs/>
      <w:color w:val="0F4761" w:themeColor="accent1" w:themeShade="BF"/>
    </w:rPr>
  </w:style>
  <w:style w:type="paragraph" w:styleId="IntenseQuote">
    <w:name w:val="Intense Quote"/>
    <w:basedOn w:val="Normal"/>
    <w:next w:val="Normal"/>
    <w:link w:val="IntenseQuoteChar"/>
    <w:uiPriority w:val="30"/>
    <w:qFormat/>
    <w:rsid w:val="00571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D21"/>
    <w:rPr>
      <w:i/>
      <w:iCs/>
      <w:color w:val="0F4761" w:themeColor="accent1" w:themeShade="BF"/>
    </w:rPr>
  </w:style>
  <w:style w:type="character" w:styleId="IntenseReference">
    <w:name w:val="Intense Reference"/>
    <w:basedOn w:val="DefaultParagraphFont"/>
    <w:uiPriority w:val="32"/>
    <w:qFormat/>
    <w:rsid w:val="00571D21"/>
    <w:rPr>
      <w:b/>
      <w:bCs/>
      <w:smallCaps/>
      <w:color w:val="0F4761" w:themeColor="accent1" w:themeShade="BF"/>
      <w:spacing w:val="5"/>
    </w:rPr>
  </w:style>
  <w:style w:type="character" w:styleId="PlaceholderText">
    <w:name w:val="Placeholder Text"/>
    <w:basedOn w:val="DefaultParagraphFont"/>
    <w:uiPriority w:val="99"/>
    <w:semiHidden/>
    <w:rsid w:val="00571D21"/>
    <w:rPr>
      <w:color w:val="666666"/>
    </w:rPr>
  </w:style>
  <w:style w:type="table" w:styleId="TableGrid">
    <w:name w:val="Table Grid"/>
    <w:basedOn w:val="TableNormal"/>
    <w:uiPriority w:val="39"/>
    <w:rsid w:val="00571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Liang</dc:creator>
  <cp:keywords/>
  <dc:description/>
  <cp:lastModifiedBy>WU Liang</cp:lastModifiedBy>
  <cp:revision>17</cp:revision>
  <dcterms:created xsi:type="dcterms:W3CDTF">2025-05-10T07:44:00Z</dcterms:created>
  <dcterms:modified xsi:type="dcterms:W3CDTF">2025-05-10T08:01:00Z</dcterms:modified>
</cp:coreProperties>
</file>