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olor w:val="156082" w:themeColor="accent1"/>
          <w:kern w:val="2"/>
          <w:szCs w:val="24"/>
          <w14:ligatures w14:val="standardContextual"/>
        </w:rPr>
        <w:id w:val="873348258"/>
      </w:sdtPr>
      <w:sdtEndPr>
        <w:rPr>
          <w:sz w:val="72"/>
          <w:szCs w:val="72"/>
        </w:rPr>
      </w:sdtEndPr>
      <w:sdtContent>
        <w:p w14:paraId="03B46685" w14:textId="73A097B6" w:rsidR="008A7946" w:rsidRDefault="007130DC">
          <w:pPr>
            <w:pStyle w:val="af1"/>
            <w:spacing w:before="1540" w:after="240"/>
            <w:jc w:val="center"/>
            <w:rPr>
              <w:color w:val="156082" w:themeColor="accent1"/>
            </w:rPr>
          </w:pPr>
          <w:r>
            <w:rPr>
              <w:noProof/>
              <w:color w:val="156082" w:themeColor="accent1"/>
            </w:rPr>
            <w:drawing>
              <wp:inline distT="0" distB="0" distL="0" distR="0" wp14:anchorId="72E91015" wp14:editId="23B60E36">
                <wp:extent cx="1948375" cy="1087925"/>
                <wp:effectExtent l="0" t="0" r="0" b="4445"/>
                <wp:docPr id="938776417"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76417" name="Graphic 938776417"/>
                        <pic:cNvPicPr/>
                      </pic:nvPicPr>
                      <pic:blipFill>
                        <a:blip r:embed="rId8">
                          <a:extLst>
                            <a:ext uri="{96DAC541-7B7A-43D3-8B79-37D633B846F1}">
                              <asvg:svgBlip xmlns:asvg="http://schemas.microsoft.com/office/drawing/2016/SVG/main" r:embed="rId9"/>
                            </a:ext>
                          </a:extLst>
                        </a:blip>
                        <a:stretch>
                          <a:fillRect/>
                        </a:stretch>
                      </pic:blipFill>
                      <pic:spPr>
                        <a:xfrm>
                          <a:off x="0" y="0"/>
                          <a:ext cx="1973783" cy="1102112"/>
                        </a:xfrm>
                        <a:prstGeom prst="rect">
                          <a:avLst/>
                        </a:prstGeom>
                      </pic:spPr>
                    </pic:pic>
                  </a:graphicData>
                </a:graphic>
              </wp:inline>
            </w:drawing>
          </w:r>
        </w:p>
        <w:sdt>
          <w:sdtPr>
            <w:rPr>
              <w:rFonts w:ascii="Microsoft YaHei UI" w:hAnsi="Microsoft YaHei UI"/>
              <w:color w:val="156082" w:themeColor="accent1"/>
              <w:sz w:val="32"/>
              <w:szCs w:val="32"/>
            </w:rPr>
            <w:alias w:val="标题"/>
            <w:id w:val="1735040861"/>
            <w:dataBinding w:prefixMappings="xmlns:ns0='http://purl.org/dc/elements/1.1/' xmlns:ns1='http://schemas.openxmlformats.org/package/2006/metadata/core-properties' " w:xpath="/ns1:coreProperties[1]/ns0:title[1]" w:storeItemID="{6C3C8BC8-F283-45AE-878A-BAB7291924A1}"/>
            <w:text/>
          </w:sdtPr>
          <w:sdtEndPr/>
          <w:sdtContent>
            <w:p w14:paraId="3ACDA7B3" w14:textId="77777777" w:rsidR="008A7946" w:rsidRDefault="00FE46B2">
              <w:pPr>
                <w:pStyle w:val="af1"/>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32"/>
                  <w:szCs w:val="32"/>
                </w:rPr>
              </w:pPr>
              <w:r>
                <w:rPr>
                  <w:rFonts w:ascii="Microsoft YaHei UI" w:hAnsi="Microsoft YaHei UI"/>
                  <w:color w:val="156082" w:themeColor="accent1"/>
                  <w:sz w:val="32"/>
                  <w:szCs w:val="32"/>
                </w:rPr>
                <w:t xml:space="preserve">EF5058 </w:t>
              </w:r>
              <w:r>
                <w:rPr>
                  <w:rFonts w:ascii="Microsoft YaHei UI" w:hAnsi="Microsoft YaHei UI" w:hint="eastAsia"/>
                  <w:color w:val="156082" w:themeColor="accent1"/>
                  <w:sz w:val="32"/>
                  <w:szCs w:val="32"/>
                </w:rPr>
                <w:t>Asset Management and Hedge Fund Strategies</w:t>
              </w:r>
            </w:p>
          </w:sdtContent>
        </w:sdt>
        <w:sdt>
          <w:sdtPr>
            <w:rPr>
              <w:color w:val="156082"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EndPr/>
          <w:sdtContent>
            <w:p w14:paraId="75DCC611" w14:textId="6D4918E7" w:rsidR="008A7946" w:rsidRDefault="00CB5363" w:rsidP="007130DC">
              <w:pPr>
                <w:pStyle w:val="af1"/>
                <w:jc w:val="center"/>
                <w:rPr>
                  <w:color w:val="156082" w:themeColor="accent1"/>
                  <w:sz w:val="28"/>
                  <w:szCs w:val="28"/>
                </w:rPr>
              </w:pPr>
              <w:r w:rsidRPr="007130DC">
                <w:rPr>
                  <w:color w:val="156082" w:themeColor="accent1"/>
                  <w:sz w:val="28"/>
                  <w:szCs w:val="28"/>
                </w:rPr>
                <w:t>Group project</w:t>
              </w:r>
            </w:p>
          </w:sdtContent>
        </w:sdt>
        <w:p w14:paraId="2DB49733" w14:textId="10689A43" w:rsidR="003D1B74" w:rsidRPr="007130DC" w:rsidRDefault="003D1B74" w:rsidP="007130DC">
          <w:pPr>
            <w:pStyle w:val="af1"/>
            <w:jc w:val="center"/>
            <w:rPr>
              <w:color w:val="156082" w:themeColor="accent1"/>
              <w:sz w:val="28"/>
              <w:szCs w:val="28"/>
            </w:rPr>
          </w:pPr>
          <w:r w:rsidRPr="00607110">
            <w:rPr>
              <w:color w:val="156082" w:themeColor="accent1"/>
            </w:rPr>
            <w:t>Members</w:t>
          </w:r>
          <w:r>
            <w:rPr>
              <w:color w:val="156082" w:themeColor="accent1"/>
              <w:sz w:val="28"/>
              <w:szCs w:val="28"/>
            </w:rPr>
            <w:t>:</w:t>
          </w:r>
        </w:p>
        <w:p w14:paraId="31A76CBE" w14:textId="77777777" w:rsidR="008A7946" w:rsidRDefault="00CB5363">
          <w:pPr>
            <w:pStyle w:val="af1"/>
            <w:spacing w:before="480"/>
            <w:jc w:val="center"/>
            <w:rPr>
              <w:color w:val="156082" w:themeColor="accent1"/>
            </w:rPr>
          </w:pPr>
          <w:proofErr w:type="spellStart"/>
          <w:r>
            <w:rPr>
              <w:color w:val="156082" w:themeColor="accent1"/>
            </w:rPr>
            <w:t>Xie</w:t>
          </w:r>
          <w:proofErr w:type="spellEnd"/>
          <w:r>
            <w:rPr>
              <w:color w:val="156082" w:themeColor="accent1"/>
            </w:rPr>
            <w:t xml:space="preserve"> </w:t>
          </w:r>
          <w:proofErr w:type="spellStart"/>
          <w:r>
            <w:rPr>
              <w:color w:val="156082" w:themeColor="accent1"/>
            </w:rPr>
            <w:t>Jiayi</w:t>
          </w:r>
          <w:proofErr w:type="spellEnd"/>
          <w:r>
            <w:rPr>
              <w:color w:val="156082" w:themeColor="accent1"/>
            </w:rPr>
            <w:t xml:space="preserve"> 59217059</w:t>
          </w:r>
        </w:p>
        <w:p w14:paraId="7F038485" w14:textId="18E7A533" w:rsidR="008A7946" w:rsidRDefault="00CB5363">
          <w:pPr>
            <w:pStyle w:val="af1"/>
            <w:spacing w:before="480"/>
            <w:jc w:val="center"/>
            <w:rPr>
              <w:color w:val="156082" w:themeColor="accent1"/>
            </w:rPr>
          </w:pPr>
          <w:r>
            <w:rPr>
              <w:color w:val="156082" w:themeColor="accent1"/>
            </w:rPr>
            <w:t xml:space="preserve">Wang </w:t>
          </w:r>
          <w:proofErr w:type="spellStart"/>
          <w:r w:rsidR="00130B61">
            <w:rPr>
              <w:color w:val="156082" w:themeColor="accent1"/>
            </w:rPr>
            <w:t>P</w:t>
          </w:r>
          <w:r>
            <w:rPr>
              <w:color w:val="156082" w:themeColor="accent1"/>
            </w:rPr>
            <w:t>eiyu</w:t>
          </w:r>
          <w:proofErr w:type="spellEnd"/>
          <w:r>
            <w:rPr>
              <w:color w:val="156082" w:themeColor="accent1"/>
            </w:rPr>
            <w:t xml:space="preserve"> 59138401</w:t>
          </w:r>
        </w:p>
        <w:p w14:paraId="05E4FFFC" w14:textId="4B613322" w:rsidR="00130B61" w:rsidRDefault="00130B61">
          <w:pPr>
            <w:pStyle w:val="af1"/>
            <w:spacing w:before="480"/>
            <w:jc w:val="center"/>
            <w:rPr>
              <w:color w:val="156082" w:themeColor="accent1"/>
            </w:rPr>
          </w:pPr>
          <w:r>
            <w:rPr>
              <w:color w:val="156082" w:themeColor="accent1"/>
            </w:rPr>
            <w:t>Wu Liang 58865760</w:t>
          </w:r>
        </w:p>
        <w:p w14:paraId="44FFD7CE" w14:textId="77777777" w:rsidR="008A7946" w:rsidRDefault="00BB52E4">
          <w:pPr>
            <w:widowControl/>
            <w:rPr>
              <w:rFonts w:eastAsia="Microsoft YaHei UI"/>
              <w:color w:val="156082" w:themeColor="accent1"/>
              <w:kern w:val="0"/>
              <w:sz w:val="72"/>
              <w:szCs w:val="72"/>
              <w14:ligatures w14:val="none"/>
            </w:rPr>
          </w:pPr>
        </w:p>
      </w:sdtContent>
    </w:sdt>
    <w:p w14:paraId="2606CC7C" w14:textId="77777777" w:rsidR="008A7946" w:rsidRDefault="00CB5363">
      <w:pPr>
        <w:widowControl/>
        <w:jc w:val="center"/>
        <w:rPr>
          <w:rFonts w:eastAsia="Microsoft YaHei UI"/>
          <w:color w:val="156082" w:themeColor="accent1"/>
          <w:kern w:val="0"/>
          <w:sz w:val="24"/>
          <w14:ligatures w14:val="none"/>
        </w:rPr>
      </w:pPr>
      <w:r>
        <w:rPr>
          <w:rFonts w:eastAsia="Microsoft YaHei UI" w:hint="eastAsia"/>
          <w:color w:val="156082" w:themeColor="accent1"/>
          <w:kern w:val="0"/>
          <w:sz w:val="24"/>
          <w14:ligatures w14:val="none"/>
        </w:rPr>
        <w:t>202</w:t>
      </w:r>
      <w:r w:rsidR="00FE46B2">
        <w:rPr>
          <w:rFonts w:eastAsia="Microsoft YaHei UI" w:hint="eastAsia"/>
          <w:color w:val="156082" w:themeColor="accent1"/>
          <w:kern w:val="0"/>
          <w:sz w:val="24"/>
          <w14:ligatures w14:val="none"/>
        </w:rPr>
        <w:t>5</w:t>
      </w:r>
      <w:r>
        <w:rPr>
          <w:rFonts w:eastAsia="Microsoft YaHei UI" w:hint="eastAsia"/>
          <w:color w:val="156082" w:themeColor="accent1"/>
          <w:kern w:val="0"/>
          <w:sz w:val="24"/>
          <w14:ligatures w14:val="none"/>
        </w:rPr>
        <w:t>-</w:t>
      </w:r>
      <w:r w:rsidR="00FE46B2">
        <w:rPr>
          <w:rFonts w:eastAsia="Microsoft YaHei UI" w:hint="eastAsia"/>
          <w:color w:val="156082" w:themeColor="accent1"/>
          <w:kern w:val="0"/>
          <w:sz w:val="24"/>
          <w14:ligatures w14:val="none"/>
        </w:rPr>
        <w:t>5</w:t>
      </w:r>
      <w:r>
        <w:rPr>
          <w:rFonts w:eastAsia="Microsoft YaHei UI" w:hint="eastAsia"/>
          <w:color w:val="156082" w:themeColor="accent1"/>
          <w:kern w:val="0"/>
          <w:sz w:val="24"/>
          <w14:ligatures w14:val="none"/>
        </w:rPr>
        <w:t>-</w:t>
      </w:r>
      <w:r w:rsidR="00FE46B2">
        <w:rPr>
          <w:rFonts w:eastAsia="Microsoft YaHei UI" w:hint="eastAsia"/>
          <w:color w:val="156082" w:themeColor="accent1"/>
          <w:kern w:val="0"/>
          <w:sz w:val="24"/>
          <w14:ligatures w14:val="none"/>
        </w:rPr>
        <w:t>13</w:t>
      </w:r>
    </w:p>
    <w:p w14:paraId="6DDF71EF" w14:textId="77777777" w:rsidR="008A7946" w:rsidRDefault="00CB5363">
      <w:pPr>
        <w:widowControl/>
        <w:jc w:val="center"/>
        <w:rPr>
          <w:rFonts w:eastAsia="Microsoft YaHei UI"/>
          <w:color w:val="156082" w:themeColor="accent1"/>
          <w:kern w:val="0"/>
          <w:sz w:val="24"/>
          <w14:ligatures w14:val="none"/>
        </w:rPr>
      </w:pPr>
      <w:r>
        <w:rPr>
          <w:rFonts w:eastAsia="Microsoft YaHei UI" w:hint="eastAsia"/>
          <w:color w:val="156082" w:themeColor="accent1"/>
          <w:kern w:val="0"/>
          <w:sz w:val="24"/>
          <w14:ligatures w14:val="none"/>
        </w:rPr>
        <w:t>CITY UNIVERSITY OF HONG KONG</w:t>
      </w:r>
    </w:p>
    <w:p w14:paraId="3022C334" w14:textId="77777777" w:rsidR="008A7946" w:rsidRDefault="008A7946">
      <w:pPr>
        <w:widowControl/>
        <w:jc w:val="center"/>
        <w:rPr>
          <w:rFonts w:eastAsia="Microsoft YaHei UI"/>
          <w:color w:val="156082" w:themeColor="accent1"/>
          <w:kern w:val="0"/>
          <w:sz w:val="24"/>
          <w14:ligatures w14:val="none"/>
        </w:rPr>
      </w:pPr>
    </w:p>
    <w:p w14:paraId="40A77297" w14:textId="77777777" w:rsidR="00FE46B2" w:rsidRDefault="00FE46B2">
      <w:pPr>
        <w:widowControl/>
        <w:jc w:val="center"/>
        <w:rPr>
          <w:rFonts w:eastAsia="Microsoft YaHei UI"/>
          <w:color w:val="156082" w:themeColor="accent1"/>
          <w:kern w:val="0"/>
          <w:sz w:val="24"/>
          <w14:ligatures w14:val="none"/>
        </w:rPr>
      </w:pPr>
    </w:p>
    <w:p w14:paraId="72E3D661" w14:textId="77777777" w:rsidR="00FE46B2" w:rsidRDefault="00FE46B2">
      <w:pPr>
        <w:widowControl/>
        <w:jc w:val="center"/>
        <w:rPr>
          <w:rFonts w:eastAsia="Microsoft YaHei UI"/>
          <w:color w:val="156082" w:themeColor="accent1"/>
          <w:kern w:val="0"/>
          <w:sz w:val="24"/>
          <w14:ligatures w14:val="none"/>
        </w:rPr>
      </w:pPr>
    </w:p>
    <w:p w14:paraId="29A44B0A" w14:textId="77777777" w:rsidR="008A7946" w:rsidRPr="00C06E78" w:rsidRDefault="00FE46B2" w:rsidP="00E81F2D">
      <w:pPr>
        <w:jc w:val="center"/>
        <w:rPr>
          <w:rFonts w:ascii="Times New Roman" w:hAnsi="Times New Roman" w:cs="Times New Roman"/>
          <w:b/>
          <w:sz w:val="32"/>
          <w:szCs w:val="32"/>
        </w:rPr>
      </w:pPr>
      <w:r w:rsidRPr="00C06E78">
        <w:rPr>
          <w:rFonts w:ascii="Times New Roman" w:hAnsi="Times New Roman" w:cs="Times New Roman"/>
          <w:b/>
          <w:sz w:val="32"/>
          <w:szCs w:val="32"/>
        </w:rPr>
        <w:t>Abstract</w:t>
      </w:r>
    </w:p>
    <w:p w14:paraId="1EDF8598" w14:textId="77777777" w:rsidR="00FE46B2" w:rsidRPr="00C06E78" w:rsidRDefault="00477242" w:rsidP="0051756F">
      <w:pPr>
        <w:ind w:firstLineChars="200" w:firstLine="440"/>
        <w:jc w:val="both"/>
        <w:rPr>
          <w:rFonts w:ascii="Times New Roman" w:hAnsi="Times New Roman" w:cs="Times New Roman"/>
          <w:szCs w:val="21"/>
        </w:rPr>
      </w:pPr>
      <w:r w:rsidRPr="00C06E78">
        <w:rPr>
          <w:rFonts w:ascii="Times New Roman" w:hAnsi="Times New Roman" w:cs="Times New Roman"/>
          <w:szCs w:val="21"/>
        </w:rPr>
        <w:t>This study evaluate</w:t>
      </w:r>
      <w:r w:rsidR="00896581" w:rsidRPr="00C06E78">
        <w:rPr>
          <w:rFonts w:ascii="Times New Roman" w:hAnsi="Times New Roman" w:cs="Times New Roman"/>
          <w:szCs w:val="21"/>
        </w:rPr>
        <w:t>s</w:t>
      </w:r>
      <w:r w:rsidRPr="00C06E78">
        <w:rPr>
          <w:rFonts w:ascii="Times New Roman" w:hAnsi="Times New Roman" w:cs="Times New Roman"/>
          <w:szCs w:val="21"/>
        </w:rPr>
        <w:t xml:space="preserve"> the performance and risk characteristics of momentum trading strategies applied in the Chinese A-share market from 2000 to 2024. This strategy </w:t>
      </w:r>
      <w:r w:rsidR="00896581" w:rsidRPr="00C06E78">
        <w:rPr>
          <w:rFonts w:ascii="Times New Roman" w:hAnsi="Times New Roman" w:cs="Times New Roman"/>
          <w:szCs w:val="21"/>
        </w:rPr>
        <w:t xml:space="preserve">goes long on </w:t>
      </w:r>
      <w:r w:rsidRPr="00C06E78">
        <w:rPr>
          <w:rFonts w:ascii="Times New Roman" w:hAnsi="Times New Roman" w:cs="Times New Roman"/>
          <w:szCs w:val="21"/>
        </w:rPr>
        <w:t xml:space="preserve">past winners and </w:t>
      </w:r>
      <w:r w:rsidR="00896581" w:rsidRPr="00C06E78">
        <w:rPr>
          <w:rFonts w:ascii="Times New Roman" w:hAnsi="Times New Roman" w:cs="Times New Roman"/>
          <w:szCs w:val="21"/>
        </w:rPr>
        <w:t>short</w:t>
      </w:r>
      <w:r w:rsidRPr="00C06E78">
        <w:rPr>
          <w:rFonts w:ascii="Times New Roman" w:hAnsi="Times New Roman" w:cs="Times New Roman"/>
          <w:szCs w:val="21"/>
        </w:rPr>
        <w:t xml:space="preserve"> </w:t>
      </w:r>
      <w:r w:rsidR="00896581" w:rsidRPr="00C06E78">
        <w:rPr>
          <w:rFonts w:ascii="Times New Roman" w:hAnsi="Times New Roman" w:cs="Times New Roman"/>
          <w:szCs w:val="21"/>
        </w:rPr>
        <w:t xml:space="preserve">on </w:t>
      </w:r>
      <w:r w:rsidRPr="00C06E78">
        <w:rPr>
          <w:rFonts w:ascii="Times New Roman" w:hAnsi="Times New Roman" w:cs="Times New Roman"/>
          <w:szCs w:val="21"/>
        </w:rPr>
        <w:t>past losers based on their cumulative returns over six months (excluding the most recent month), achieving positive long-term returns with an annualized return rate of approximately 8-10%. Compared to the benchmark, it exhibits excellent risk adjusted performance, lower volatility, higher Sharpe ratio, and demonstrates effective risk management by limiting</w:t>
      </w:r>
      <w:r w:rsidR="00BB0C95" w:rsidRPr="00C06E78">
        <w:rPr>
          <w:rFonts w:ascii="Times New Roman" w:hAnsi="Times New Roman" w:cs="Times New Roman"/>
          <w:szCs w:val="21"/>
        </w:rPr>
        <w:t xml:space="preserve"> </w:t>
      </w:r>
      <w:r w:rsidR="00896581" w:rsidRPr="00C06E78">
        <w:rPr>
          <w:rFonts w:ascii="Times New Roman" w:hAnsi="Times New Roman" w:cs="Times New Roman"/>
          <w:szCs w:val="21"/>
        </w:rPr>
        <w:t>Value-at-Risk and drawdown</w:t>
      </w:r>
      <w:r w:rsidRPr="00C06E78">
        <w:rPr>
          <w:rFonts w:ascii="Times New Roman" w:hAnsi="Times New Roman" w:cs="Times New Roman"/>
          <w:szCs w:val="21"/>
        </w:rPr>
        <w:t>.</w:t>
      </w:r>
    </w:p>
    <w:p w14:paraId="0014CC39" w14:textId="77777777" w:rsidR="00896581" w:rsidRPr="00C06E78" w:rsidRDefault="00896581" w:rsidP="0051756F">
      <w:pPr>
        <w:ind w:firstLineChars="200" w:firstLine="440"/>
        <w:jc w:val="both"/>
        <w:rPr>
          <w:rFonts w:ascii="Times New Roman" w:hAnsi="Times New Roman" w:cs="Times New Roman"/>
          <w:szCs w:val="21"/>
        </w:rPr>
      </w:pPr>
      <w:r w:rsidRPr="00C06E78">
        <w:rPr>
          <w:rFonts w:ascii="Times New Roman" w:hAnsi="Times New Roman" w:cs="Times New Roman"/>
          <w:szCs w:val="21"/>
        </w:rPr>
        <w:t>Regression analysis shows that the returns of this strategy mainly come from systemic risk factors, especially momentum factors (UMD), rather than unique alpha generation. Although this strategy successfully captured the medium-term momentum effect, it faced challenges under extreme market conditions such as the 2008 financial crisis and was sensitive to transaction costs, especially in frequent portfolio rebalancing. The study also emphasized the different effects of equal weight and market value weighted portfolio structures on performance.</w:t>
      </w:r>
    </w:p>
    <w:p w14:paraId="38EB5C6E" w14:textId="1BD2F232" w:rsidR="008A7946" w:rsidRPr="00C06E78" w:rsidRDefault="00896581" w:rsidP="0051756F">
      <w:pPr>
        <w:ind w:firstLineChars="200" w:firstLine="440"/>
        <w:jc w:val="both"/>
        <w:rPr>
          <w:rFonts w:ascii="Times New Roman" w:hAnsi="Times New Roman" w:cs="Times New Roman"/>
          <w:szCs w:val="21"/>
        </w:rPr>
      </w:pPr>
      <w:r w:rsidRPr="00C06E78">
        <w:rPr>
          <w:rFonts w:ascii="Times New Roman" w:hAnsi="Times New Roman" w:cs="Times New Roman"/>
          <w:szCs w:val="21"/>
        </w:rPr>
        <w:t xml:space="preserve"> Overall, the research findings confirm the importance of momentum effects in emerging </w:t>
      </w:r>
      <w:proofErr w:type="gramStart"/>
      <w:r w:rsidRPr="00C06E78">
        <w:rPr>
          <w:rFonts w:ascii="Times New Roman" w:hAnsi="Times New Roman" w:cs="Times New Roman"/>
          <w:szCs w:val="21"/>
        </w:rPr>
        <w:t>markets, but</w:t>
      </w:r>
      <w:proofErr w:type="gramEnd"/>
      <w:r w:rsidRPr="00C06E78">
        <w:rPr>
          <w:rFonts w:ascii="Times New Roman" w:hAnsi="Times New Roman" w:cs="Times New Roman"/>
          <w:szCs w:val="21"/>
        </w:rPr>
        <w:t xml:space="preserve"> emphasize the importance of practical considerations for risk control and robust implementation.</w:t>
      </w:r>
      <w:r w:rsidR="00130B61" w:rsidRPr="00C06E78">
        <w:rPr>
          <w:rFonts w:ascii="Times New Roman" w:hAnsi="Times New Roman" w:cs="Times New Roman"/>
          <w:szCs w:val="21"/>
        </w:rPr>
        <w:t xml:space="preserve"> Our code is </w:t>
      </w:r>
      <w:r w:rsidR="00D263AB" w:rsidRPr="00C06E78">
        <w:rPr>
          <w:rFonts w:ascii="Times New Roman" w:hAnsi="Times New Roman" w:cs="Times New Roman"/>
          <w:szCs w:val="21"/>
        </w:rPr>
        <w:t>available</w:t>
      </w:r>
      <w:r w:rsidR="00130B61" w:rsidRPr="00C06E78">
        <w:rPr>
          <w:rFonts w:ascii="Times New Roman" w:hAnsi="Times New Roman" w:cs="Times New Roman"/>
          <w:szCs w:val="21"/>
        </w:rPr>
        <w:t xml:space="preserve"> through this link: </w:t>
      </w:r>
      <w:hyperlink r:id="rId10" w:history="1">
        <w:r w:rsidR="00130B61" w:rsidRPr="00C06E78">
          <w:rPr>
            <w:rStyle w:val="ab"/>
            <w:rFonts w:ascii="Times New Roman" w:hAnsi="Times New Roman" w:cs="Times New Roman"/>
            <w:szCs w:val="21"/>
          </w:rPr>
          <w:t>https://github.com/zenhorse-leon/EF5058_Project</w:t>
        </w:r>
      </w:hyperlink>
      <w:r w:rsidR="00130B61" w:rsidRPr="00C06E78">
        <w:rPr>
          <w:rFonts w:ascii="Times New Roman" w:hAnsi="Times New Roman" w:cs="Times New Roman"/>
          <w:szCs w:val="21"/>
        </w:rPr>
        <w:t>.</w:t>
      </w:r>
    </w:p>
    <w:p w14:paraId="3845CADE" w14:textId="77777777" w:rsidR="008A7946" w:rsidRPr="00C06E78" w:rsidRDefault="00796644" w:rsidP="0051756F">
      <w:pPr>
        <w:pStyle w:val="ae"/>
        <w:numPr>
          <w:ilvl w:val="0"/>
          <w:numId w:val="6"/>
        </w:numPr>
        <w:jc w:val="both"/>
        <w:rPr>
          <w:rFonts w:ascii="Times New Roman" w:hAnsi="Times New Roman" w:cs="Times New Roman"/>
          <w:b/>
          <w:sz w:val="32"/>
          <w:szCs w:val="32"/>
        </w:rPr>
      </w:pPr>
      <w:bookmarkStart w:id="0" w:name="OLE_LINK41"/>
      <w:bookmarkStart w:id="1" w:name="OLE_LINK42"/>
      <w:r w:rsidRPr="00C06E78">
        <w:rPr>
          <w:rFonts w:ascii="Times New Roman" w:hAnsi="Times New Roman" w:cs="Times New Roman"/>
          <w:b/>
          <w:sz w:val="32"/>
          <w:szCs w:val="32"/>
        </w:rPr>
        <w:t>Introduction</w:t>
      </w:r>
    </w:p>
    <w:p w14:paraId="68848522" w14:textId="77777777" w:rsidR="00D55EED" w:rsidRPr="00C06E78" w:rsidRDefault="00D55EED" w:rsidP="0051756F">
      <w:pPr>
        <w:ind w:firstLineChars="200" w:firstLine="440"/>
        <w:jc w:val="both"/>
        <w:rPr>
          <w:rFonts w:ascii="Times New Roman" w:hAnsi="Times New Roman" w:cs="Times New Roman"/>
          <w:szCs w:val="21"/>
        </w:rPr>
      </w:pPr>
      <w:bookmarkStart w:id="2" w:name="OLE_LINK40"/>
      <w:r w:rsidRPr="00C06E78">
        <w:rPr>
          <w:rFonts w:ascii="Times New Roman" w:hAnsi="Times New Roman" w:cs="Times New Roman"/>
          <w:szCs w:val="21"/>
        </w:rPr>
        <w:t>The study of asset pricing anomalies has greatly deepened our understanding of stock return behavior, surpassing the traditional Capital Asset Pricing Model (CAPM). Empirical finance has recorded many anomalous phenomena, namely return system patterns that cannot be explained solely by market risk, which has led to the development of multi factor models that incorporate additional risk factors and firm characteristics.</w:t>
      </w:r>
    </w:p>
    <w:p w14:paraId="3EF44510" w14:textId="77777777" w:rsidR="00D55EED" w:rsidRPr="00C06E78" w:rsidRDefault="00D55EED" w:rsidP="0051756F">
      <w:pPr>
        <w:ind w:firstLineChars="200" w:firstLine="440"/>
        <w:jc w:val="both"/>
        <w:rPr>
          <w:rFonts w:ascii="Times New Roman" w:hAnsi="Times New Roman" w:cs="Times New Roman"/>
          <w:szCs w:val="21"/>
        </w:rPr>
      </w:pPr>
      <w:r w:rsidRPr="00C06E78">
        <w:rPr>
          <w:rFonts w:ascii="Times New Roman" w:hAnsi="Times New Roman" w:cs="Times New Roman"/>
          <w:szCs w:val="21"/>
        </w:rPr>
        <w:t xml:space="preserve">One of the most influential frameworks is the </w:t>
      </w:r>
      <w:proofErr w:type="spellStart"/>
      <w:r w:rsidRPr="00C06E78">
        <w:rPr>
          <w:rFonts w:ascii="Times New Roman" w:hAnsi="Times New Roman" w:cs="Times New Roman"/>
          <w:szCs w:val="21"/>
        </w:rPr>
        <w:t>Fama</w:t>
      </w:r>
      <w:proofErr w:type="spellEnd"/>
      <w:r w:rsidRPr="00C06E78">
        <w:rPr>
          <w:rFonts w:ascii="Times New Roman" w:hAnsi="Times New Roman" w:cs="Times New Roman"/>
          <w:szCs w:val="21"/>
        </w:rPr>
        <w:t xml:space="preserve"> French three factor model (1993), which introduces factors of size (SMB: small to large) and value (HML: high to large) as well as market factors to better explain the cross-sectional changes in stock returns. These factors capture the empirical pattern that small cap and value stocks often outperform their peers, reflecting potential risk premiums or behavioral biases (</w:t>
      </w:r>
      <w:proofErr w:type="spellStart"/>
      <w:r w:rsidRPr="00C06E78">
        <w:rPr>
          <w:rFonts w:ascii="Times New Roman" w:hAnsi="Times New Roman" w:cs="Times New Roman"/>
          <w:szCs w:val="21"/>
        </w:rPr>
        <w:t>Fama&amp;French</w:t>
      </w:r>
      <w:proofErr w:type="spellEnd"/>
      <w:r w:rsidRPr="00C06E78">
        <w:rPr>
          <w:rFonts w:ascii="Times New Roman" w:hAnsi="Times New Roman" w:cs="Times New Roman"/>
          <w:szCs w:val="21"/>
        </w:rPr>
        <w:t>, 1993).</w:t>
      </w:r>
    </w:p>
    <w:p w14:paraId="3C0A5D3D" w14:textId="77777777" w:rsidR="00D55EED" w:rsidRPr="00C06E78" w:rsidRDefault="00D55EED" w:rsidP="0051756F">
      <w:pPr>
        <w:ind w:firstLineChars="200" w:firstLine="440"/>
        <w:jc w:val="both"/>
        <w:rPr>
          <w:rFonts w:ascii="Times New Roman" w:hAnsi="Times New Roman" w:cs="Times New Roman"/>
          <w:szCs w:val="21"/>
        </w:rPr>
      </w:pPr>
      <w:r w:rsidRPr="00C06E78">
        <w:rPr>
          <w:rFonts w:ascii="Times New Roman" w:hAnsi="Times New Roman" w:cs="Times New Roman"/>
          <w:szCs w:val="21"/>
        </w:rPr>
        <w:t xml:space="preserve">Based on this research conclusion, </w:t>
      </w:r>
      <w:proofErr w:type="spellStart"/>
      <w:r w:rsidRPr="00C06E78">
        <w:rPr>
          <w:rFonts w:ascii="Times New Roman" w:hAnsi="Times New Roman" w:cs="Times New Roman"/>
          <w:szCs w:val="21"/>
        </w:rPr>
        <w:t>Fama</w:t>
      </w:r>
      <w:proofErr w:type="spellEnd"/>
      <w:r w:rsidRPr="00C06E78">
        <w:rPr>
          <w:rFonts w:ascii="Times New Roman" w:hAnsi="Times New Roman" w:cs="Times New Roman"/>
          <w:szCs w:val="21"/>
        </w:rPr>
        <w:t xml:space="preserve"> and French (2015) added two additional factors: profitability (RMW: steady minus weak) and investment (CMA: conservative minus </w:t>
      </w:r>
      <w:r w:rsidRPr="00C06E78">
        <w:rPr>
          <w:rFonts w:ascii="Times New Roman" w:hAnsi="Times New Roman" w:cs="Times New Roman"/>
          <w:szCs w:val="21"/>
        </w:rPr>
        <w:lastRenderedPageBreak/>
        <w:t>aggressive). The motivation behind these factors is the observation that companies with strong profitability and conservative investment models typically receive higher returns, indicating that the dimensions of profitability and investment capture risk cannot be considered solely based on size and value (</w:t>
      </w:r>
      <w:proofErr w:type="spellStart"/>
      <w:r w:rsidRPr="00C06E78">
        <w:rPr>
          <w:rFonts w:ascii="Times New Roman" w:hAnsi="Times New Roman" w:cs="Times New Roman"/>
          <w:szCs w:val="21"/>
        </w:rPr>
        <w:t>Fama&amp;French</w:t>
      </w:r>
      <w:proofErr w:type="spellEnd"/>
      <w:r w:rsidRPr="00C06E78">
        <w:rPr>
          <w:rFonts w:ascii="Times New Roman" w:hAnsi="Times New Roman" w:cs="Times New Roman"/>
          <w:szCs w:val="21"/>
        </w:rPr>
        <w:t>, 2015).</w:t>
      </w:r>
    </w:p>
    <w:p w14:paraId="74A7D29C" w14:textId="77777777" w:rsidR="00D55EED" w:rsidRPr="00C06E78" w:rsidRDefault="00D55EED" w:rsidP="0051756F">
      <w:pPr>
        <w:ind w:firstLineChars="200" w:firstLine="440"/>
        <w:jc w:val="both"/>
        <w:rPr>
          <w:rFonts w:ascii="Times New Roman" w:hAnsi="Times New Roman" w:cs="Times New Roman"/>
          <w:szCs w:val="21"/>
        </w:rPr>
      </w:pPr>
      <w:r w:rsidRPr="00C06E78">
        <w:rPr>
          <w:rFonts w:ascii="Times New Roman" w:hAnsi="Times New Roman" w:cs="Times New Roman"/>
          <w:szCs w:val="21"/>
        </w:rPr>
        <w:t xml:space="preserve">Complementing these fundamental factors is the momentum factor (UMD: rise minus fall) proposed by </w:t>
      </w:r>
      <w:proofErr w:type="spellStart"/>
      <w:r w:rsidRPr="00C06E78">
        <w:rPr>
          <w:rFonts w:ascii="Times New Roman" w:hAnsi="Times New Roman" w:cs="Times New Roman"/>
          <w:szCs w:val="21"/>
        </w:rPr>
        <w:t>Jegadeesh</w:t>
      </w:r>
      <w:proofErr w:type="spellEnd"/>
      <w:r w:rsidRPr="00C06E78">
        <w:rPr>
          <w:rFonts w:ascii="Times New Roman" w:hAnsi="Times New Roman" w:cs="Times New Roman"/>
          <w:szCs w:val="21"/>
        </w:rPr>
        <w:t xml:space="preserve"> and Titman (1993), which indicates that stocks that have recently performed strongly tend to continue outperforming the market in the short to medium term. Momentum captures behavioral phenomena such as insufficient investor response and delayed information diffusion, which traditional risk-based models cannot explain.</w:t>
      </w:r>
    </w:p>
    <w:p w14:paraId="6547A8A0" w14:textId="28379AE1" w:rsidR="00D55EED" w:rsidRPr="00C06E78" w:rsidRDefault="00D55EED" w:rsidP="0051756F">
      <w:pPr>
        <w:ind w:firstLineChars="200" w:firstLine="440"/>
        <w:jc w:val="both"/>
        <w:rPr>
          <w:rFonts w:ascii="Times New Roman" w:hAnsi="Times New Roman" w:cs="Times New Roman"/>
          <w:szCs w:val="21"/>
        </w:rPr>
      </w:pPr>
      <w:bookmarkStart w:id="3" w:name="OLE_LINK53"/>
      <w:bookmarkStart w:id="4" w:name="OLE_LINK54"/>
      <w:r w:rsidRPr="00C06E78">
        <w:rPr>
          <w:rFonts w:ascii="Times New Roman" w:hAnsi="Times New Roman" w:cs="Times New Roman"/>
          <w:szCs w:val="21"/>
        </w:rPr>
        <w:t xml:space="preserve">Although these factors have been widely tested in the US stock market, the difference in our research is that we used sample data from recent </w:t>
      </w:r>
      <w:r w:rsidR="00B421B5" w:rsidRPr="00C06E78">
        <w:rPr>
          <w:rFonts w:ascii="Times New Roman" w:hAnsi="Times New Roman" w:cs="Times New Roman"/>
          <w:szCs w:val="21"/>
        </w:rPr>
        <w:t>years (</w:t>
      </w:r>
      <w:r w:rsidRPr="00C06E78">
        <w:rPr>
          <w:rFonts w:ascii="Times New Roman" w:hAnsi="Times New Roman" w:cs="Times New Roman"/>
          <w:szCs w:val="21"/>
        </w:rPr>
        <w:t>2000-2024) to apply these effective investment strategies to the Chinese A-share market. The motivation for this transformation is the unique characteristics of the A-share market, including different investor behavior, regulatory environment, and market structure compared to the US market. By studying the performance of these anomalies in the A-share market, we aim to evaluate their robustness and relevance in emerging and evolving markets.</w:t>
      </w:r>
    </w:p>
    <w:bookmarkEnd w:id="3"/>
    <w:bookmarkEnd w:id="4"/>
    <w:p w14:paraId="091CE901" w14:textId="2394109C" w:rsidR="00D55EED" w:rsidRPr="00C06E78" w:rsidRDefault="00D55EED" w:rsidP="0051756F">
      <w:pPr>
        <w:ind w:firstLineChars="200" w:firstLine="440"/>
        <w:jc w:val="both"/>
        <w:rPr>
          <w:rFonts w:ascii="Times New Roman" w:hAnsi="Times New Roman" w:cs="Times New Roman"/>
          <w:szCs w:val="21"/>
        </w:rPr>
      </w:pPr>
      <w:r w:rsidRPr="00C06E78">
        <w:rPr>
          <w:rFonts w:ascii="Times New Roman" w:hAnsi="Times New Roman" w:cs="Times New Roman"/>
          <w:szCs w:val="21"/>
        </w:rPr>
        <w:t xml:space="preserve">Our empirical results once again confirm that although market factors remain the main driving factor, the inclusion of factors such as size, value, profitability, investment, and momentum significantly </w:t>
      </w:r>
      <w:r w:rsidR="0051756F" w:rsidRPr="00C06E78">
        <w:rPr>
          <w:rFonts w:ascii="Times New Roman" w:hAnsi="Times New Roman" w:cs="Times New Roman"/>
          <w:szCs w:val="21"/>
        </w:rPr>
        <w:t>enhance</w:t>
      </w:r>
      <w:r w:rsidRPr="00C06E78">
        <w:rPr>
          <w:rFonts w:ascii="Times New Roman" w:hAnsi="Times New Roman" w:cs="Times New Roman"/>
          <w:szCs w:val="21"/>
        </w:rPr>
        <w:t xml:space="preserve"> the explanation of cross-sectional returns in the A-share market. This indicates that these anomalous phenomena are not limited to developed markets, but also have explanatory power in different economic environments, providing valuable insights for scholars.</w:t>
      </w:r>
    </w:p>
    <w:bookmarkEnd w:id="2"/>
    <w:p w14:paraId="35238DE7" w14:textId="77777777" w:rsidR="007F3D15" w:rsidRPr="00C06E78" w:rsidRDefault="00796644" w:rsidP="0051756F">
      <w:pPr>
        <w:pStyle w:val="ae"/>
        <w:numPr>
          <w:ilvl w:val="0"/>
          <w:numId w:val="6"/>
        </w:numPr>
        <w:jc w:val="both"/>
        <w:rPr>
          <w:rFonts w:ascii="Times New Roman" w:hAnsi="Times New Roman" w:cs="Times New Roman"/>
          <w:b/>
          <w:sz w:val="32"/>
          <w:szCs w:val="32"/>
        </w:rPr>
      </w:pPr>
      <w:r w:rsidRPr="00C06E78">
        <w:rPr>
          <w:rFonts w:ascii="Times New Roman" w:hAnsi="Times New Roman" w:cs="Times New Roman"/>
          <w:b/>
          <w:sz w:val="32"/>
          <w:szCs w:val="32"/>
        </w:rPr>
        <w:t>Data</w:t>
      </w:r>
    </w:p>
    <w:p w14:paraId="300795C9" w14:textId="08D049BB" w:rsidR="007F3D15" w:rsidRPr="00C06E78" w:rsidRDefault="007F3D15" w:rsidP="009D748C">
      <w:pPr>
        <w:pStyle w:val="ae"/>
        <w:numPr>
          <w:ilvl w:val="1"/>
          <w:numId w:val="6"/>
        </w:numPr>
        <w:ind w:hanging="654"/>
        <w:jc w:val="both"/>
        <w:rPr>
          <w:rFonts w:ascii="Times New Roman" w:hAnsi="Times New Roman" w:cs="Times New Roman"/>
          <w:b/>
          <w:bCs/>
          <w:sz w:val="32"/>
          <w:szCs w:val="32"/>
        </w:rPr>
      </w:pPr>
      <w:r w:rsidRPr="00C06E78">
        <w:rPr>
          <w:rFonts w:ascii="Times New Roman" w:hAnsi="Times New Roman" w:cs="Times New Roman"/>
          <w:b/>
          <w:bCs/>
          <w:sz w:val="32"/>
          <w:szCs w:val="32"/>
        </w:rPr>
        <w:t>Data Fetching</w:t>
      </w:r>
    </w:p>
    <w:p w14:paraId="2E0A02B5" w14:textId="77777777" w:rsidR="007F3D15" w:rsidRPr="00C06E78" w:rsidRDefault="007F3D15" w:rsidP="0051756F">
      <w:pPr>
        <w:ind w:firstLineChars="200" w:firstLine="440"/>
        <w:jc w:val="both"/>
        <w:rPr>
          <w:rFonts w:ascii="Times New Roman" w:hAnsi="Times New Roman" w:cs="Times New Roman"/>
          <w:szCs w:val="21"/>
        </w:rPr>
      </w:pPr>
      <w:r w:rsidRPr="00C06E78">
        <w:rPr>
          <w:rFonts w:ascii="Times New Roman" w:hAnsi="Times New Roman" w:cs="Times New Roman"/>
          <w:szCs w:val="21"/>
        </w:rPr>
        <w:t xml:space="preserve">Our target is to build the 6-factor model including market, Size (SMB), Value (HML), Profitability (RMW), Investment (CMA), and Momentum (UMD). We decided to use </w:t>
      </w:r>
      <w:proofErr w:type="spellStart"/>
      <w:r w:rsidRPr="00C06E78">
        <w:rPr>
          <w:rFonts w:ascii="Times New Roman" w:hAnsi="Times New Roman" w:cs="Times New Roman"/>
          <w:szCs w:val="21"/>
        </w:rPr>
        <w:t>tushare</w:t>
      </w:r>
      <w:proofErr w:type="spellEnd"/>
      <w:r w:rsidRPr="00C06E78">
        <w:rPr>
          <w:rFonts w:ascii="Times New Roman" w:hAnsi="Times New Roman" w:cs="Times New Roman"/>
          <w:szCs w:val="21"/>
        </w:rPr>
        <w:t xml:space="preserve"> which is an opensource financial data library to get the daily stock prices, index price and the financial report of the stocks.</w:t>
      </w:r>
    </w:p>
    <w:p w14:paraId="5116A68E" w14:textId="77777777" w:rsidR="007F3D15" w:rsidRPr="00C06E78" w:rsidRDefault="007F3D15" w:rsidP="0051756F">
      <w:pPr>
        <w:ind w:firstLineChars="200" w:firstLine="440"/>
        <w:jc w:val="both"/>
        <w:rPr>
          <w:rFonts w:ascii="Times New Roman" w:hAnsi="Times New Roman" w:cs="Times New Roman"/>
          <w:szCs w:val="21"/>
        </w:rPr>
      </w:pPr>
      <w:r w:rsidRPr="00C06E78">
        <w:rPr>
          <w:rFonts w:ascii="Times New Roman" w:hAnsi="Times New Roman" w:cs="Times New Roman"/>
          <w:szCs w:val="21"/>
        </w:rPr>
        <w:t>Our stock universe is selected from the component stocks in CSI 300 index, and we also use CSI 300 index as the market. We filtered stocks in banks and insurance industries to focus on non-financial Sectors.</w:t>
      </w:r>
    </w:p>
    <w:p w14:paraId="6D007664" w14:textId="77777777" w:rsidR="007F3D15" w:rsidRPr="00C06E78" w:rsidRDefault="007F3D15" w:rsidP="009D748C">
      <w:pPr>
        <w:ind w:firstLineChars="193" w:firstLine="425"/>
        <w:jc w:val="both"/>
        <w:rPr>
          <w:rFonts w:ascii="Times New Roman" w:hAnsi="Times New Roman" w:cs="Times New Roman"/>
          <w:szCs w:val="21"/>
        </w:rPr>
      </w:pPr>
      <w:r w:rsidRPr="00C06E78">
        <w:rPr>
          <w:rFonts w:ascii="Times New Roman" w:hAnsi="Times New Roman" w:cs="Times New Roman"/>
          <w:szCs w:val="21"/>
        </w:rPr>
        <w:t xml:space="preserve">The time is from 2000-01-01 to 2024-12-31. The meta data of the stocks includes daily percentage changes using </w:t>
      </w:r>
      <w:proofErr w:type="spellStart"/>
      <w:proofErr w:type="gramStart"/>
      <w:r w:rsidRPr="00C06E78">
        <w:rPr>
          <w:rFonts w:ascii="Times New Roman" w:hAnsi="Times New Roman" w:cs="Times New Roman"/>
          <w:szCs w:val="21"/>
        </w:rPr>
        <w:t>pro.daily</w:t>
      </w:r>
      <w:proofErr w:type="spellEnd"/>
      <w:proofErr w:type="gramEnd"/>
      <w:r w:rsidRPr="00C06E78">
        <w:rPr>
          <w:rFonts w:ascii="Times New Roman" w:hAnsi="Times New Roman" w:cs="Times New Roman"/>
          <w:szCs w:val="21"/>
        </w:rPr>
        <w:t xml:space="preserve">(), and their financial indicators using </w:t>
      </w:r>
      <w:proofErr w:type="spellStart"/>
      <w:r w:rsidRPr="00C06E78">
        <w:rPr>
          <w:rFonts w:ascii="Times New Roman" w:hAnsi="Times New Roman" w:cs="Times New Roman"/>
          <w:szCs w:val="21"/>
        </w:rPr>
        <w:t>pro.fina_indicator</w:t>
      </w:r>
      <w:proofErr w:type="spellEnd"/>
      <w:r w:rsidRPr="00C06E78">
        <w:rPr>
          <w:rFonts w:ascii="Times New Roman" w:hAnsi="Times New Roman" w:cs="Times New Roman"/>
          <w:szCs w:val="21"/>
        </w:rPr>
        <w:t xml:space="preserve">() for each year. For each stock, </w:t>
      </w:r>
      <w:proofErr w:type="gramStart"/>
      <w:r w:rsidRPr="00C06E78">
        <w:rPr>
          <w:rFonts w:ascii="Times New Roman" w:hAnsi="Times New Roman" w:cs="Times New Roman"/>
          <w:szCs w:val="21"/>
        </w:rPr>
        <w:t>in order to</w:t>
      </w:r>
      <w:proofErr w:type="gramEnd"/>
      <w:r w:rsidRPr="00C06E78">
        <w:rPr>
          <w:rFonts w:ascii="Times New Roman" w:hAnsi="Times New Roman" w:cs="Times New Roman"/>
          <w:szCs w:val="21"/>
        </w:rPr>
        <w:t xml:space="preserve"> calculate the above factors, we fetch the indicators </w:t>
      </w:r>
      <w:r w:rsidRPr="00C06E78">
        <w:rPr>
          <w:rFonts w:ascii="Times New Roman" w:hAnsi="Times New Roman" w:cs="Times New Roman"/>
          <w:szCs w:val="21"/>
        </w:rPr>
        <w:lastRenderedPageBreak/>
        <w:t>including market value (</w:t>
      </w:r>
      <w:proofErr w:type="spellStart"/>
      <w:r w:rsidRPr="00C06E78">
        <w:rPr>
          <w:rFonts w:ascii="Times New Roman" w:hAnsi="Times New Roman" w:cs="Times New Roman"/>
          <w:szCs w:val="21"/>
        </w:rPr>
        <w:t>t_mv</w:t>
      </w:r>
      <w:proofErr w:type="spellEnd"/>
      <w:r w:rsidRPr="00C06E78">
        <w:rPr>
          <w:rFonts w:ascii="Times New Roman" w:hAnsi="Times New Roman" w:cs="Times New Roman"/>
          <w:szCs w:val="21"/>
        </w:rPr>
        <w:t>), asset growth over the previous year(</w:t>
      </w:r>
      <w:proofErr w:type="spellStart"/>
      <w:r w:rsidRPr="00C06E78">
        <w:rPr>
          <w:rFonts w:ascii="Times New Roman" w:hAnsi="Times New Roman" w:cs="Times New Roman"/>
          <w:szCs w:val="21"/>
        </w:rPr>
        <w:t>assets_yoy</w:t>
      </w:r>
      <w:proofErr w:type="spellEnd"/>
      <w:r w:rsidRPr="00C06E78">
        <w:rPr>
          <w:rFonts w:ascii="Times New Roman" w:hAnsi="Times New Roman" w:cs="Times New Roman"/>
          <w:szCs w:val="21"/>
        </w:rPr>
        <w:t>), net profit to total assets (</w:t>
      </w:r>
      <w:proofErr w:type="spellStart"/>
      <w:r w:rsidRPr="00C06E78">
        <w:rPr>
          <w:rFonts w:ascii="Times New Roman" w:hAnsi="Times New Roman" w:cs="Times New Roman"/>
          <w:szCs w:val="21"/>
        </w:rPr>
        <w:t>npta</w:t>
      </w:r>
      <w:proofErr w:type="spellEnd"/>
      <w:r w:rsidRPr="00C06E78">
        <w:rPr>
          <w:rFonts w:ascii="Times New Roman" w:hAnsi="Times New Roman" w:cs="Times New Roman"/>
          <w:szCs w:val="21"/>
        </w:rPr>
        <w:t>), PB value(</w:t>
      </w:r>
      <w:proofErr w:type="spellStart"/>
      <w:r w:rsidRPr="00C06E78">
        <w:rPr>
          <w:rFonts w:ascii="Times New Roman" w:hAnsi="Times New Roman" w:cs="Times New Roman"/>
          <w:szCs w:val="21"/>
        </w:rPr>
        <w:t>t_pb</w:t>
      </w:r>
      <w:proofErr w:type="spellEnd"/>
      <w:r w:rsidRPr="00C06E78">
        <w:rPr>
          <w:rFonts w:ascii="Times New Roman" w:hAnsi="Times New Roman" w:cs="Times New Roman"/>
          <w:szCs w:val="21"/>
        </w:rPr>
        <w:t xml:space="preserve">).  Normally the annual financial report is announced before 31st Mar, so we update the portfolio for each factor every year on 1st April. Accordingly, we use the same strategy to get the index data by using the </w:t>
      </w:r>
      <w:proofErr w:type="spellStart"/>
      <w:r w:rsidRPr="00C06E78">
        <w:rPr>
          <w:rFonts w:ascii="Times New Roman" w:hAnsi="Times New Roman" w:cs="Times New Roman"/>
          <w:szCs w:val="21"/>
        </w:rPr>
        <w:t>api</w:t>
      </w:r>
      <w:proofErr w:type="spellEnd"/>
      <w:r w:rsidRPr="00C06E78">
        <w:rPr>
          <w:rFonts w:ascii="Times New Roman" w:hAnsi="Times New Roman" w:cs="Times New Roman"/>
          <w:szCs w:val="21"/>
        </w:rPr>
        <w:t xml:space="preserve"> </w:t>
      </w:r>
      <w:proofErr w:type="spellStart"/>
      <w:proofErr w:type="gramStart"/>
      <w:r w:rsidRPr="00C06E78">
        <w:rPr>
          <w:rFonts w:ascii="Times New Roman" w:hAnsi="Times New Roman" w:cs="Times New Roman"/>
          <w:szCs w:val="21"/>
        </w:rPr>
        <w:t>pro.index</w:t>
      </w:r>
      <w:proofErr w:type="gramEnd"/>
      <w:r w:rsidRPr="00C06E78">
        <w:rPr>
          <w:rFonts w:ascii="Times New Roman" w:hAnsi="Times New Roman" w:cs="Times New Roman"/>
          <w:szCs w:val="21"/>
        </w:rPr>
        <w:t>_daily</w:t>
      </w:r>
      <w:proofErr w:type="spellEnd"/>
      <w:r w:rsidRPr="00C06E78">
        <w:rPr>
          <w:rFonts w:ascii="Times New Roman" w:hAnsi="Times New Roman" w:cs="Times New Roman"/>
          <w:szCs w:val="21"/>
        </w:rPr>
        <w:t>() to get the daily returns for index 399300.SZ.</w:t>
      </w:r>
    </w:p>
    <w:p w14:paraId="45CACE3E" w14:textId="77777777" w:rsidR="007F3D15" w:rsidRPr="00C06E78" w:rsidRDefault="007F3D15" w:rsidP="0051756F">
      <w:pPr>
        <w:ind w:firstLineChars="200" w:firstLine="440"/>
        <w:jc w:val="both"/>
        <w:rPr>
          <w:rFonts w:ascii="Times New Roman" w:hAnsi="Times New Roman" w:cs="Times New Roman"/>
          <w:szCs w:val="21"/>
        </w:rPr>
      </w:pPr>
      <w:r w:rsidRPr="00C06E78">
        <w:rPr>
          <w:rFonts w:ascii="Times New Roman" w:hAnsi="Times New Roman" w:cs="Times New Roman"/>
          <w:szCs w:val="21"/>
        </w:rPr>
        <w:t xml:space="preserve">The risk-free rate is fetched using the </w:t>
      </w:r>
      <w:proofErr w:type="spellStart"/>
      <w:r w:rsidRPr="00C06E78">
        <w:rPr>
          <w:rFonts w:ascii="Times New Roman" w:hAnsi="Times New Roman" w:cs="Times New Roman"/>
          <w:szCs w:val="21"/>
        </w:rPr>
        <w:t>api</w:t>
      </w:r>
      <w:proofErr w:type="spellEnd"/>
      <w:r w:rsidRPr="00C06E78">
        <w:rPr>
          <w:rFonts w:ascii="Times New Roman" w:hAnsi="Times New Roman" w:cs="Times New Roman"/>
          <w:szCs w:val="21"/>
        </w:rPr>
        <w:t xml:space="preserve"> </w:t>
      </w:r>
      <w:proofErr w:type="spellStart"/>
      <w:proofErr w:type="gramStart"/>
      <w:r w:rsidRPr="00C06E78">
        <w:rPr>
          <w:rFonts w:ascii="Times New Roman" w:hAnsi="Times New Roman" w:cs="Times New Roman"/>
          <w:szCs w:val="21"/>
        </w:rPr>
        <w:t>pro.shibor</w:t>
      </w:r>
      <w:proofErr w:type="spellEnd"/>
      <w:proofErr w:type="gramEnd"/>
      <w:r w:rsidRPr="00C06E78">
        <w:rPr>
          <w:rFonts w:ascii="Times New Roman" w:hAnsi="Times New Roman" w:cs="Times New Roman"/>
          <w:szCs w:val="21"/>
        </w:rPr>
        <w:t>() to get the Shanghai Interbank Offered Rate (</w:t>
      </w:r>
      <w:proofErr w:type="spellStart"/>
      <w:r w:rsidRPr="00C06E78">
        <w:rPr>
          <w:rFonts w:ascii="Times New Roman" w:hAnsi="Times New Roman" w:cs="Times New Roman"/>
          <w:szCs w:val="21"/>
        </w:rPr>
        <w:t>Shibor</w:t>
      </w:r>
      <w:proofErr w:type="spellEnd"/>
      <w:r w:rsidRPr="00C06E78">
        <w:rPr>
          <w:rFonts w:ascii="Times New Roman" w:hAnsi="Times New Roman" w:cs="Times New Roman"/>
          <w:szCs w:val="21"/>
        </w:rPr>
        <w:t xml:space="preserve">) daily  one-year rate. The monthly rate is the average of the daily rate for each month. For the missing data, we use 3.5% as default rate. </w:t>
      </w:r>
    </w:p>
    <w:p w14:paraId="1056FA5E" w14:textId="68BE6625" w:rsidR="007F3D15" w:rsidRPr="00C06E78" w:rsidRDefault="007F3D15" w:rsidP="009D748C">
      <w:pPr>
        <w:pStyle w:val="ae"/>
        <w:numPr>
          <w:ilvl w:val="1"/>
          <w:numId w:val="6"/>
        </w:numPr>
        <w:ind w:hanging="654"/>
        <w:jc w:val="both"/>
        <w:rPr>
          <w:rFonts w:ascii="Times New Roman" w:hAnsi="Times New Roman" w:cs="Times New Roman"/>
          <w:b/>
          <w:bCs/>
          <w:sz w:val="32"/>
          <w:szCs w:val="32"/>
        </w:rPr>
      </w:pPr>
      <w:r w:rsidRPr="00C06E78">
        <w:rPr>
          <w:rFonts w:ascii="Times New Roman" w:hAnsi="Times New Roman" w:cs="Times New Roman"/>
          <w:b/>
          <w:bCs/>
          <w:sz w:val="32"/>
          <w:szCs w:val="32"/>
        </w:rPr>
        <w:t>Data Processing</w:t>
      </w:r>
    </w:p>
    <w:p w14:paraId="73CF9374" w14:textId="77777777" w:rsidR="007F3D15" w:rsidRPr="00C06E78" w:rsidRDefault="007F3D15" w:rsidP="0051756F">
      <w:pPr>
        <w:ind w:firstLineChars="200" w:firstLine="440"/>
        <w:jc w:val="both"/>
        <w:rPr>
          <w:rFonts w:ascii="Times New Roman" w:hAnsi="Times New Roman" w:cs="Times New Roman"/>
          <w:szCs w:val="21"/>
        </w:rPr>
      </w:pPr>
      <w:r w:rsidRPr="00C06E78">
        <w:rPr>
          <w:rFonts w:ascii="Times New Roman" w:hAnsi="Times New Roman" w:cs="Times New Roman"/>
          <w:szCs w:val="21"/>
        </w:rPr>
        <w:t>To calculate the factors, we use the following formulas:</w:t>
      </w:r>
    </w:p>
    <w:p w14:paraId="7D58C8E4" w14:textId="77777777" w:rsidR="007F3D15" w:rsidRPr="00C06E78" w:rsidRDefault="007F3D15" w:rsidP="0051756F">
      <w:pPr>
        <w:jc w:val="both"/>
        <w:rPr>
          <w:rFonts w:ascii="Times New Roman" w:hAnsi="Times New Roman" w:cs="Times New Roman"/>
          <w:szCs w:val="21"/>
        </w:rPr>
      </w:pPr>
      <m:oMath>
        <m:r>
          <m:rPr>
            <m:sty m:val="p"/>
          </m:rPr>
          <w:rPr>
            <w:rFonts w:ascii="Cambria Math" w:hAnsi="Cambria Math" w:cs="Times New Roman"/>
            <w:szCs w:val="21"/>
          </w:rPr>
          <m:t>size=t_mv</m:t>
        </m:r>
      </m:oMath>
      <w:r w:rsidRPr="00C06E78">
        <w:rPr>
          <w:rFonts w:ascii="Times New Roman" w:hAnsi="Times New Roman" w:cs="Times New Roman"/>
          <w:szCs w:val="21"/>
        </w:rPr>
        <w:t xml:space="preserve">, </w:t>
      </w:r>
      <m:oMath>
        <m:r>
          <m:rPr>
            <m:sty m:val="p"/>
          </m:rPr>
          <w:rPr>
            <w:rFonts w:ascii="Cambria Math" w:hAnsi="Cambria Math" w:cs="Times New Roman"/>
            <w:szCs w:val="21"/>
          </w:rPr>
          <m:t>value=</m:t>
        </m:r>
        <m:f>
          <m:fPr>
            <m:ctrlPr>
              <w:rPr>
                <w:rFonts w:ascii="Cambria Math" w:hAnsi="Cambria Math" w:cs="Times New Roman"/>
                <w:szCs w:val="21"/>
              </w:rPr>
            </m:ctrlPr>
          </m:fPr>
          <m:num>
            <m:r>
              <m:rPr>
                <m:sty m:val="p"/>
              </m:rPr>
              <w:rPr>
                <w:rFonts w:ascii="Cambria Math" w:hAnsi="Cambria Math" w:cs="Times New Roman"/>
                <w:szCs w:val="21"/>
              </w:rPr>
              <m:t>1</m:t>
            </m:r>
          </m:num>
          <m:den>
            <m:r>
              <m:rPr>
                <m:sty m:val="p"/>
              </m:rPr>
              <w:rPr>
                <w:rFonts w:ascii="Cambria Math" w:hAnsi="Cambria Math" w:cs="Times New Roman"/>
                <w:szCs w:val="21"/>
              </w:rPr>
              <m:t>t_pb</m:t>
            </m:r>
          </m:den>
        </m:f>
      </m:oMath>
      <w:r w:rsidRPr="00C06E78">
        <w:rPr>
          <w:rFonts w:ascii="Times New Roman" w:hAnsi="Times New Roman" w:cs="Times New Roman"/>
          <w:szCs w:val="21"/>
        </w:rPr>
        <w:t xml:space="preserve">, </w:t>
      </w:r>
      <m:oMath>
        <m:r>
          <m:rPr>
            <m:sty m:val="p"/>
          </m:rPr>
          <w:rPr>
            <w:rFonts w:ascii="Cambria Math" w:hAnsi="Cambria Math" w:cs="Times New Roman"/>
            <w:szCs w:val="21"/>
          </w:rPr>
          <m:t>profitability=npta</m:t>
        </m:r>
      </m:oMath>
      <w:r w:rsidRPr="00C06E78">
        <w:rPr>
          <w:rFonts w:ascii="Times New Roman" w:hAnsi="Times New Roman" w:cs="Times New Roman"/>
          <w:szCs w:val="21"/>
        </w:rPr>
        <w:t xml:space="preserve">, </w:t>
      </w:r>
      <m:oMath>
        <m:r>
          <m:rPr>
            <m:sty m:val="p"/>
          </m:rPr>
          <w:rPr>
            <w:rFonts w:ascii="Cambria Math" w:hAnsi="Cambria Math" w:cs="Times New Roman"/>
            <w:szCs w:val="21"/>
          </w:rPr>
          <m:t>investment=assets_yoy</m:t>
        </m:r>
      </m:oMath>
      <w:r w:rsidRPr="00C06E78">
        <w:rPr>
          <w:rFonts w:ascii="Times New Roman" w:hAnsi="Times New Roman" w:cs="Times New Roman"/>
          <w:szCs w:val="21"/>
        </w:rPr>
        <w:t xml:space="preserve">, </w:t>
      </w:r>
      <m:oMath>
        <m:r>
          <m:rPr>
            <m:sty m:val="p"/>
          </m:rPr>
          <w:rPr>
            <w:rFonts w:ascii="Cambria Math" w:hAnsi="Cambria Math" w:cs="Times New Roman"/>
            <w:szCs w:val="21"/>
          </w:rPr>
          <m:t>momentum=</m:t>
        </m:r>
        <m:f>
          <m:fPr>
            <m:ctrlPr>
              <w:rPr>
                <w:rFonts w:ascii="Cambria Math" w:hAnsi="Cambria Math" w:cs="Times New Roman"/>
                <w:szCs w:val="21"/>
              </w:rPr>
            </m:ctrlPr>
          </m:fPr>
          <m:num>
            <m:r>
              <m:rPr>
                <m:sty m:val="p"/>
              </m:rPr>
              <w:rPr>
                <w:rFonts w:ascii="Cambria Math" w:hAnsi="Cambria Math" w:cs="Times New Roman"/>
                <w:szCs w:val="21"/>
              </w:rPr>
              <m:t>1</m:t>
            </m:r>
          </m:num>
          <m:den>
            <m:nary>
              <m:naryPr>
                <m:chr m:val="∑"/>
                <m:limLoc m:val="undOvr"/>
                <m:ctrlPr>
                  <w:rPr>
                    <w:rFonts w:ascii="Cambria Math" w:hAnsi="Cambria Math" w:cs="Times New Roman"/>
                    <w:szCs w:val="21"/>
                  </w:rPr>
                </m:ctrlPr>
              </m:naryPr>
              <m:sub>
                <m:r>
                  <m:rPr>
                    <m:sty m:val="p"/>
                  </m:rPr>
                  <w:rPr>
                    <w:rFonts w:ascii="Cambria Math" w:hAnsi="Cambria Math" w:cs="Times New Roman"/>
                    <w:szCs w:val="21"/>
                  </w:rPr>
                  <m:t>j=m-6</m:t>
                </m:r>
              </m:sub>
              <m:sup>
                <m:r>
                  <m:rPr>
                    <m:sty m:val="p"/>
                  </m:rPr>
                  <w:rPr>
                    <w:rFonts w:ascii="Cambria Math" w:hAnsi="Cambria Math" w:cs="Times New Roman"/>
                    <w:szCs w:val="21"/>
                  </w:rPr>
                  <m:t>m-1</m:t>
                </m:r>
              </m:sup>
              <m:e>
                <m:sSub>
                  <m:sSubPr>
                    <m:ctrlPr>
                      <w:rPr>
                        <w:rFonts w:ascii="Cambria Math" w:hAnsi="Cambria Math" w:cs="Times New Roman"/>
                        <w:szCs w:val="21"/>
                      </w:rPr>
                    </m:ctrlPr>
                  </m:sSubPr>
                  <m:e>
                    <m:r>
                      <m:rPr>
                        <m:sty m:val="p"/>
                      </m:rPr>
                      <w:rPr>
                        <w:rFonts w:ascii="Cambria Math" w:hAnsi="Cambria Math" w:cs="Times New Roman"/>
                        <w:szCs w:val="21"/>
                      </w:rPr>
                      <m:t>r</m:t>
                    </m:r>
                  </m:e>
                  <m:sub>
                    <m:r>
                      <m:rPr>
                        <m:sty m:val="p"/>
                      </m:rPr>
                      <w:rPr>
                        <w:rFonts w:ascii="Cambria Math" w:hAnsi="Cambria Math" w:cs="Times New Roman"/>
                        <w:szCs w:val="21"/>
                      </w:rPr>
                      <m:t>j</m:t>
                    </m:r>
                  </m:sub>
                </m:sSub>
              </m:e>
            </m:nary>
          </m:den>
        </m:f>
      </m:oMath>
      <w:r w:rsidRPr="00C06E78">
        <w:rPr>
          <w:rFonts w:ascii="Times New Roman" w:hAnsi="Times New Roman" w:cs="Times New Roman"/>
          <w:szCs w:val="21"/>
        </w:rPr>
        <w:t xml:space="preserve">, where </w:t>
      </w:r>
      <m:oMath>
        <m:r>
          <m:rPr>
            <m:sty m:val="p"/>
          </m:rPr>
          <w:rPr>
            <w:rFonts w:ascii="Cambria Math" w:hAnsi="Cambria Math" w:cs="Times New Roman"/>
            <w:szCs w:val="21"/>
          </w:rPr>
          <m:t>m</m:t>
        </m:r>
      </m:oMath>
      <w:r w:rsidRPr="00C06E78">
        <w:rPr>
          <w:rFonts w:ascii="Times New Roman" w:hAnsi="Times New Roman" w:cs="Times New Roman"/>
          <w:szCs w:val="21"/>
        </w:rPr>
        <w:t xml:space="preserve"> is the current month. To get the monthly return, we accumulate the daily returns using the following equation:</w:t>
      </w:r>
    </w:p>
    <w:p w14:paraId="521FC77E" w14:textId="77777777" w:rsidR="007F3D15" w:rsidRPr="00C06E78" w:rsidRDefault="00BB52E4" w:rsidP="0051756F">
      <w:pPr>
        <w:jc w:val="both"/>
        <w:rPr>
          <w:rFonts w:ascii="Times New Roman" w:hAnsi="Times New Roman" w:cs="Times New Roman"/>
          <w:szCs w:val="21"/>
        </w:rPr>
      </w:pPr>
      <m:oMath>
        <m:sSub>
          <m:sSubPr>
            <m:ctrlPr>
              <w:rPr>
                <w:rFonts w:ascii="Cambria Math" w:hAnsi="Cambria Math" w:cs="Times New Roman"/>
                <w:szCs w:val="21"/>
              </w:rPr>
            </m:ctrlPr>
          </m:sSubPr>
          <m:e>
            <m:r>
              <m:rPr>
                <m:sty m:val="p"/>
              </m:rPr>
              <w:rPr>
                <w:rFonts w:ascii="Cambria Math" w:hAnsi="Cambria Math" w:cs="Times New Roman"/>
                <w:szCs w:val="21"/>
              </w:rPr>
              <m:t>r</m:t>
            </m:r>
          </m:e>
          <m:sub>
            <m:r>
              <m:rPr>
                <m:sty m:val="p"/>
              </m:rPr>
              <w:rPr>
                <w:rFonts w:ascii="Cambria Math" w:hAnsi="Cambria Math" w:cs="Times New Roman"/>
                <w:szCs w:val="21"/>
              </w:rPr>
              <m:t>m</m:t>
            </m:r>
          </m:sub>
        </m:sSub>
        <m:r>
          <m:rPr>
            <m:sty m:val="p"/>
          </m:rPr>
          <w:rPr>
            <w:rFonts w:ascii="Cambria Math" w:hAnsi="Cambria Math" w:cs="Times New Roman"/>
            <w:szCs w:val="21"/>
          </w:rPr>
          <m:t>=</m:t>
        </m:r>
        <m:func>
          <m:funcPr>
            <m:ctrlPr>
              <w:rPr>
                <w:rFonts w:ascii="Cambria Math" w:hAnsi="Cambria Math" w:cs="Times New Roman"/>
                <w:szCs w:val="21"/>
              </w:rPr>
            </m:ctrlPr>
          </m:funcPr>
          <m:fName>
            <m:r>
              <m:rPr>
                <m:sty m:val="p"/>
              </m:rPr>
              <w:rPr>
                <w:rFonts w:ascii="Cambria Math" w:hAnsi="Cambria Math" w:cs="Times New Roman"/>
                <w:szCs w:val="21"/>
              </w:rPr>
              <m:t>exp</m:t>
            </m:r>
          </m:fName>
          <m:e>
            <m:d>
              <m:dPr>
                <m:begChr m:val="{"/>
                <m:endChr m:val="}"/>
                <m:ctrlPr>
                  <w:rPr>
                    <w:rFonts w:ascii="Cambria Math" w:hAnsi="Cambria Math" w:cs="Times New Roman"/>
                    <w:szCs w:val="21"/>
                  </w:rPr>
                </m:ctrlPr>
              </m:dPr>
              <m:e>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sub>
                  <m:sup>
                    <m:sSub>
                      <m:sSubPr>
                        <m:ctrlPr>
                          <w:rPr>
                            <w:rFonts w:ascii="Cambria Math" w:hAnsi="Cambria Math" w:cs="Times New Roman"/>
                            <w:szCs w:val="21"/>
                          </w:rPr>
                        </m:ctrlPr>
                      </m:sSubPr>
                      <m:e>
                        <m:r>
                          <m:rPr>
                            <m:sty m:val="p"/>
                          </m:rPr>
                          <w:rPr>
                            <w:rFonts w:ascii="Cambria Math" w:hAnsi="Cambria Math" w:cs="Times New Roman"/>
                            <w:szCs w:val="21"/>
                          </w:rPr>
                          <m:t>m</m:t>
                        </m:r>
                      </m:e>
                      <m:sub>
                        <m:r>
                          <m:rPr>
                            <m:sty m:val="p"/>
                          </m:rPr>
                          <w:rPr>
                            <w:rFonts w:ascii="Cambria Math" w:hAnsi="Cambria Math" w:cs="Times New Roman"/>
                            <w:szCs w:val="21"/>
                          </w:rPr>
                          <m:t>days</m:t>
                        </m:r>
                      </m:sub>
                    </m:sSub>
                  </m:sup>
                  <m:e>
                    <m:func>
                      <m:funcPr>
                        <m:ctrlPr>
                          <w:rPr>
                            <w:rFonts w:ascii="Cambria Math" w:hAnsi="Cambria Math" w:cs="Times New Roman"/>
                            <w:szCs w:val="21"/>
                          </w:rPr>
                        </m:ctrlPr>
                      </m:funcPr>
                      <m:fName>
                        <m:r>
                          <m:rPr>
                            <m:sty m:val="p"/>
                          </m:rPr>
                          <w:rPr>
                            <w:rFonts w:ascii="Cambria Math" w:hAnsi="Cambria Math" w:cs="Times New Roman"/>
                            <w:szCs w:val="21"/>
                          </w:rPr>
                          <m:t>log</m:t>
                        </m:r>
                      </m:fName>
                      <m:e>
                        <m:d>
                          <m:dPr>
                            <m:ctrlPr>
                              <w:rPr>
                                <w:rFonts w:ascii="Cambria Math" w:hAnsi="Cambria Math" w:cs="Times New Roman"/>
                                <w:szCs w:val="21"/>
                              </w:rPr>
                            </m:ctrlPr>
                          </m:dPr>
                          <m:e>
                            <m:r>
                              <m:rPr>
                                <m:sty m:val="p"/>
                              </m:rPr>
                              <w:rPr>
                                <w:rFonts w:ascii="Cambria Math" w:hAnsi="Cambria Math" w:cs="Times New Roman"/>
                                <w:szCs w:val="21"/>
                              </w:rPr>
                              <m:t>1+</m:t>
                            </m:r>
                            <m:sSub>
                              <m:sSubPr>
                                <m:ctrlPr>
                                  <w:rPr>
                                    <w:rFonts w:ascii="Cambria Math" w:hAnsi="Cambria Math" w:cs="Times New Roman"/>
                                    <w:szCs w:val="21"/>
                                  </w:rPr>
                                </m:ctrlPr>
                              </m:sSubPr>
                              <m:e>
                                <m:r>
                                  <m:rPr>
                                    <m:sty m:val="p"/>
                                  </m:rPr>
                                  <w:rPr>
                                    <w:rFonts w:ascii="Cambria Math" w:hAnsi="Cambria Math" w:cs="Times New Roman"/>
                                    <w:szCs w:val="21"/>
                                  </w:rPr>
                                  <m:t>r</m:t>
                                </m:r>
                              </m:e>
                              <m:sub>
                                <m:r>
                                  <m:rPr>
                                    <m:sty m:val="p"/>
                                  </m:rPr>
                                  <w:rPr>
                                    <w:rFonts w:ascii="Cambria Math" w:hAnsi="Cambria Math" w:cs="Times New Roman"/>
                                    <w:szCs w:val="21"/>
                                  </w:rPr>
                                  <m:t>m,i</m:t>
                                </m:r>
                              </m:sub>
                            </m:sSub>
                          </m:e>
                        </m:d>
                      </m:e>
                    </m:func>
                  </m:e>
                </m:nary>
              </m:e>
            </m:d>
          </m:e>
        </m:func>
        <m:r>
          <m:rPr>
            <m:sty m:val="p"/>
          </m:rPr>
          <w:rPr>
            <w:rFonts w:ascii="Cambria Math" w:hAnsi="Cambria Math" w:cs="Times New Roman"/>
            <w:szCs w:val="21"/>
          </w:rPr>
          <m:t>-1</m:t>
        </m:r>
      </m:oMath>
      <w:r w:rsidR="007F3D15" w:rsidRPr="00C06E78">
        <w:rPr>
          <w:rFonts w:ascii="Times New Roman" w:hAnsi="Times New Roman" w:cs="Times New Roman"/>
          <w:szCs w:val="21"/>
        </w:rPr>
        <w:t xml:space="preserve">, where </w:t>
      </w:r>
      <m:oMath>
        <m:sSub>
          <m:sSubPr>
            <m:ctrlPr>
              <w:rPr>
                <w:rFonts w:ascii="Cambria Math" w:hAnsi="Cambria Math" w:cs="Times New Roman"/>
                <w:szCs w:val="21"/>
              </w:rPr>
            </m:ctrlPr>
          </m:sSubPr>
          <m:e>
            <m:r>
              <m:rPr>
                <m:sty m:val="p"/>
              </m:rPr>
              <w:rPr>
                <w:rFonts w:ascii="Cambria Math" w:hAnsi="Cambria Math" w:cs="Times New Roman"/>
                <w:szCs w:val="21"/>
              </w:rPr>
              <m:t>m</m:t>
            </m:r>
          </m:e>
          <m:sub>
            <m:r>
              <m:rPr>
                <m:sty m:val="p"/>
              </m:rPr>
              <w:rPr>
                <w:rFonts w:ascii="Cambria Math" w:hAnsi="Cambria Math" w:cs="Times New Roman"/>
                <w:szCs w:val="21"/>
              </w:rPr>
              <m:t>days</m:t>
            </m:r>
          </m:sub>
        </m:sSub>
      </m:oMath>
      <w:r w:rsidR="007F3D15" w:rsidRPr="00C06E78">
        <w:rPr>
          <w:rFonts w:ascii="Times New Roman" w:hAnsi="Times New Roman" w:cs="Times New Roman"/>
          <w:szCs w:val="21"/>
        </w:rPr>
        <w:t xml:space="preserve"> is the trading days in the month $m$.</w:t>
      </w:r>
    </w:p>
    <w:p w14:paraId="2834FF92" w14:textId="77777777" w:rsidR="007F3D15" w:rsidRPr="00C06E78" w:rsidRDefault="007F3D15" w:rsidP="0051756F">
      <w:pPr>
        <w:ind w:firstLineChars="200" w:firstLine="440"/>
        <w:jc w:val="both"/>
        <w:rPr>
          <w:rFonts w:ascii="Times New Roman" w:hAnsi="Times New Roman" w:cs="Times New Roman"/>
          <w:szCs w:val="21"/>
        </w:rPr>
      </w:pPr>
      <w:r w:rsidRPr="00C06E78">
        <w:rPr>
          <w:rFonts w:ascii="Times New Roman" w:hAnsi="Times New Roman" w:cs="Times New Roman"/>
          <w:szCs w:val="21"/>
        </w:rPr>
        <w:t xml:space="preserve">Similarly, we get the monthly returns for the index using the same strategy. </w:t>
      </w:r>
    </w:p>
    <w:p w14:paraId="143D52DE" w14:textId="48C32433" w:rsidR="007F3D15" w:rsidRPr="00C06E78" w:rsidRDefault="007F3D15" w:rsidP="009D748C">
      <w:pPr>
        <w:pStyle w:val="ae"/>
        <w:numPr>
          <w:ilvl w:val="1"/>
          <w:numId w:val="6"/>
        </w:numPr>
        <w:ind w:hanging="654"/>
        <w:jc w:val="both"/>
        <w:rPr>
          <w:rFonts w:ascii="Times New Roman" w:hAnsi="Times New Roman" w:cs="Times New Roman"/>
          <w:b/>
          <w:bCs/>
          <w:sz w:val="32"/>
          <w:szCs w:val="32"/>
        </w:rPr>
      </w:pPr>
      <w:r w:rsidRPr="00C06E78">
        <w:rPr>
          <w:rFonts w:ascii="Times New Roman" w:hAnsi="Times New Roman" w:cs="Times New Roman"/>
          <w:b/>
          <w:bCs/>
          <w:sz w:val="32"/>
          <w:szCs w:val="32"/>
        </w:rPr>
        <w:t>Factor Constructing</w:t>
      </w:r>
    </w:p>
    <w:p w14:paraId="0FA0C56D" w14:textId="77777777" w:rsidR="007F3D15" w:rsidRPr="00C06E78" w:rsidRDefault="007F3D15" w:rsidP="0051756F">
      <w:pPr>
        <w:ind w:firstLineChars="200" w:firstLine="440"/>
        <w:jc w:val="both"/>
        <w:rPr>
          <w:rFonts w:ascii="Times New Roman" w:hAnsi="Times New Roman" w:cs="Times New Roman"/>
          <w:szCs w:val="21"/>
        </w:rPr>
      </w:pPr>
      <w:r w:rsidRPr="00C06E78">
        <w:rPr>
          <w:rFonts w:ascii="Times New Roman" w:hAnsi="Times New Roman" w:cs="Times New Roman"/>
          <w:szCs w:val="21"/>
        </w:rPr>
        <w:t xml:space="preserve">Our data period is from 2000-01-01 to 2024-12-31 and the new financial indicators are available on each April. Thus, we build the factor portfolios at every April starting from year 2001. To make the procedure clear, we use size as an example to describe the steps for building the SMB factor each month. </w:t>
      </w:r>
    </w:p>
    <w:p w14:paraId="25C2919C" w14:textId="77777777" w:rsidR="007F3D15" w:rsidRPr="00C06E78" w:rsidRDefault="007F3D15" w:rsidP="0051756F">
      <w:pPr>
        <w:ind w:firstLineChars="200" w:firstLine="440"/>
        <w:jc w:val="both"/>
        <w:rPr>
          <w:rFonts w:ascii="Times New Roman" w:hAnsi="Times New Roman" w:cs="Times New Roman"/>
          <w:szCs w:val="21"/>
        </w:rPr>
      </w:pPr>
      <w:r w:rsidRPr="00C06E78">
        <w:rPr>
          <w:rFonts w:ascii="Times New Roman" w:hAnsi="Times New Roman" w:cs="Times New Roman"/>
          <w:szCs w:val="21"/>
        </w:rPr>
        <w:t>1) If the month is April, we update the factor portfolio for size and rank the stocks for April according to size from small to large, then divide the stocks into small-cap (top50%) and large-cap (bottom 50%) to build the size portfolios.</w:t>
      </w:r>
    </w:p>
    <w:p w14:paraId="3458CB30" w14:textId="77777777" w:rsidR="007F3D15" w:rsidRPr="00C06E78" w:rsidRDefault="007F3D15" w:rsidP="0051756F">
      <w:pPr>
        <w:ind w:firstLineChars="200" w:firstLine="440"/>
        <w:jc w:val="both"/>
        <w:rPr>
          <w:rFonts w:ascii="Times New Roman" w:hAnsi="Times New Roman" w:cs="Times New Roman"/>
          <w:szCs w:val="21"/>
        </w:rPr>
      </w:pPr>
      <w:r w:rsidRPr="00C06E78">
        <w:rPr>
          <w:rFonts w:ascii="Times New Roman" w:hAnsi="Times New Roman" w:cs="Times New Roman"/>
          <w:szCs w:val="21"/>
        </w:rPr>
        <w:t xml:space="preserve">2) For every month, we calculate the average monthly returns of the latest factor portfolios, namely </w:t>
      </w:r>
      <m:oMath>
        <m:sSubSup>
          <m:sSubSupPr>
            <m:ctrlPr>
              <w:rPr>
                <w:rFonts w:ascii="Cambria Math" w:hAnsi="Cambria Math" w:cs="Times New Roman"/>
                <w:szCs w:val="21"/>
              </w:rPr>
            </m:ctrlPr>
          </m:sSubSupPr>
          <m:e>
            <m:r>
              <m:rPr>
                <m:sty m:val="p"/>
              </m:rPr>
              <w:rPr>
                <w:rFonts w:ascii="Cambria Math" w:hAnsi="Cambria Math" w:cs="Times New Roman"/>
                <w:szCs w:val="21"/>
              </w:rPr>
              <m:t>r</m:t>
            </m:r>
          </m:e>
          <m:sub>
            <m:r>
              <m:rPr>
                <m:sty m:val="p"/>
              </m:rPr>
              <w:rPr>
                <w:rFonts w:ascii="Cambria Math" w:hAnsi="Cambria Math" w:cs="Times New Roman"/>
                <w:szCs w:val="21"/>
              </w:rPr>
              <m:t>m</m:t>
            </m:r>
          </m:sub>
          <m:sup>
            <m:r>
              <m:rPr>
                <m:sty m:val="p"/>
              </m:rPr>
              <w:rPr>
                <w:rFonts w:ascii="Cambria Math" w:hAnsi="Cambria Math" w:cs="Times New Roman"/>
                <w:szCs w:val="21"/>
              </w:rPr>
              <m:t>pt</m:t>
            </m:r>
          </m:sup>
        </m:sSubSup>
      </m:oMath>
      <w:r w:rsidRPr="00C06E78">
        <w:rPr>
          <w:rFonts w:ascii="Times New Roman" w:hAnsi="Times New Roman" w:cs="Times New Roman"/>
          <w:szCs w:val="21"/>
        </w:rPr>
        <w:t xml:space="preserve"> and </w:t>
      </w:r>
      <m:oMath>
        <m:sSubSup>
          <m:sSubSupPr>
            <m:ctrlPr>
              <w:rPr>
                <w:rFonts w:ascii="Cambria Math" w:hAnsi="Cambria Math" w:cs="Times New Roman"/>
                <w:szCs w:val="21"/>
              </w:rPr>
            </m:ctrlPr>
          </m:sSubSupPr>
          <m:e>
            <m:r>
              <m:rPr>
                <m:sty m:val="p"/>
              </m:rPr>
              <w:rPr>
                <w:rFonts w:ascii="Cambria Math" w:hAnsi="Cambria Math" w:cs="Times New Roman"/>
                <w:szCs w:val="21"/>
              </w:rPr>
              <m:t>r</m:t>
            </m:r>
          </m:e>
          <m:sub>
            <m:r>
              <m:rPr>
                <m:sty m:val="p"/>
              </m:rPr>
              <w:rPr>
                <w:rFonts w:ascii="Cambria Math" w:hAnsi="Cambria Math" w:cs="Times New Roman"/>
                <w:szCs w:val="21"/>
              </w:rPr>
              <m:t>m</m:t>
            </m:r>
          </m:sub>
          <m:sup>
            <m:r>
              <m:rPr>
                <m:sty m:val="p"/>
              </m:rPr>
              <w:rPr>
                <w:rFonts w:ascii="Cambria Math" w:hAnsi="Cambria Math" w:cs="Times New Roman"/>
                <w:szCs w:val="21"/>
              </w:rPr>
              <m:t>pb</m:t>
            </m:r>
          </m:sup>
        </m:sSubSup>
      </m:oMath>
      <w:r w:rsidRPr="00C06E78">
        <w:rPr>
          <w:rFonts w:ascii="Times New Roman" w:hAnsi="Times New Roman" w:cs="Times New Roman"/>
          <w:szCs w:val="21"/>
        </w:rPr>
        <w:t>, as the top-portfolio monthly return and the bottom-portfolio monthly return.</w:t>
      </w:r>
    </w:p>
    <w:p w14:paraId="4D77CF25" w14:textId="77777777" w:rsidR="007F3D15" w:rsidRPr="00C06E78" w:rsidRDefault="007F3D15" w:rsidP="0051756F">
      <w:pPr>
        <w:ind w:firstLineChars="200" w:firstLine="440"/>
        <w:jc w:val="both"/>
        <w:rPr>
          <w:rFonts w:ascii="Times New Roman" w:hAnsi="Times New Roman" w:cs="Times New Roman"/>
          <w:szCs w:val="21"/>
        </w:rPr>
      </w:pPr>
      <w:r w:rsidRPr="00C06E78">
        <w:rPr>
          <w:rFonts w:ascii="Times New Roman" w:hAnsi="Times New Roman" w:cs="Times New Roman"/>
          <w:szCs w:val="21"/>
        </w:rPr>
        <w:t xml:space="preserve">3) The SMB is calculated just simply using </w:t>
      </w:r>
      <m:oMath>
        <m:r>
          <m:rPr>
            <m:sty m:val="p"/>
          </m:rPr>
          <w:rPr>
            <w:rFonts w:ascii="Cambria Math" w:hAnsi="Cambria Math" w:cs="Times New Roman"/>
            <w:szCs w:val="21"/>
          </w:rPr>
          <m:t>SMB=</m:t>
        </m:r>
        <m:sSubSup>
          <m:sSubSupPr>
            <m:ctrlPr>
              <w:rPr>
                <w:rFonts w:ascii="Cambria Math" w:hAnsi="Cambria Math" w:cs="Times New Roman"/>
                <w:szCs w:val="21"/>
              </w:rPr>
            </m:ctrlPr>
          </m:sSubSupPr>
          <m:e>
            <m:r>
              <m:rPr>
                <m:sty m:val="p"/>
              </m:rPr>
              <w:rPr>
                <w:rFonts w:ascii="Cambria Math" w:hAnsi="Cambria Math" w:cs="Times New Roman"/>
                <w:szCs w:val="21"/>
              </w:rPr>
              <m:t>r</m:t>
            </m:r>
          </m:e>
          <m:sub>
            <m:r>
              <m:rPr>
                <m:sty m:val="p"/>
              </m:rPr>
              <w:rPr>
                <w:rFonts w:ascii="Cambria Math" w:hAnsi="Cambria Math" w:cs="Times New Roman"/>
                <w:szCs w:val="21"/>
              </w:rPr>
              <m:t>m</m:t>
            </m:r>
          </m:sub>
          <m:sup>
            <m:r>
              <m:rPr>
                <m:sty m:val="p"/>
              </m:rPr>
              <w:rPr>
                <w:rFonts w:ascii="Cambria Math" w:hAnsi="Cambria Math" w:cs="Times New Roman"/>
                <w:szCs w:val="21"/>
              </w:rPr>
              <m:t>pt</m:t>
            </m:r>
          </m:sup>
        </m:sSubSup>
        <m:r>
          <m:rPr>
            <m:sty m:val="p"/>
          </m:rPr>
          <w:rPr>
            <w:rFonts w:ascii="Cambria Math" w:hAnsi="Cambria Math" w:cs="Times New Roman"/>
            <w:szCs w:val="21"/>
          </w:rPr>
          <m:t>-</m:t>
        </m:r>
        <m:sSubSup>
          <m:sSubSupPr>
            <m:ctrlPr>
              <w:rPr>
                <w:rFonts w:ascii="Cambria Math" w:hAnsi="Cambria Math" w:cs="Times New Roman"/>
                <w:szCs w:val="21"/>
              </w:rPr>
            </m:ctrlPr>
          </m:sSubSupPr>
          <m:e>
            <m:r>
              <m:rPr>
                <m:sty m:val="p"/>
              </m:rPr>
              <w:rPr>
                <w:rFonts w:ascii="Cambria Math" w:hAnsi="Cambria Math" w:cs="Times New Roman"/>
                <w:szCs w:val="21"/>
              </w:rPr>
              <m:t>r</m:t>
            </m:r>
          </m:e>
          <m:sub>
            <m:r>
              <m:rPr>
                <m:sty m:val="p"/>
              </m:rPr>
              <w:rPr>
                <w:rFonts w:ascii="Cambria Math" w:hAnsi="Cambria Math" w:cs="Times New Roman"/>
                <w:szCs w:val="21"/>
              </w:rPr>
              <m:t>m</m:t>
            </m:r>
          </m:sub>
          <m:sup>
            <m:r>
              <m:rPr>
                <m:sty m:val="p"/>
              </m:rPr>
              <w:rPr>
                <w:rFonts w:ascii="Cambria Math" w:hAnsi="Cambria Math" w:cs="Times New Roman"/>
                <w:szCs w:val="21"/>
              </w:rPr>
              <m:t>pb</m:t>
            </m:r>
          </m:sup>
        </m:sSubSup>
      </m:oMath>
      <w:r w:rsidRPr="00C06E78">
        <w:rPr>
          <w:rFonts w:ascii="Times New Roman" w:hAnsi="Times New Roman" w:cs="Times New Roman"/>
          <w:szCs w:val="21"/>
        </w:rPr>
        <w:t>.</w:t>
      </w:r>
    </w:p>
    <w:p w14:paraId="0852AF10" w14:textId="77777777" w:rsidR="007F3D15" w:rsidRPr="00C06E78" w:rsidRDefault="007F3D15" w:rsidP="0051756F">
      <w:pPr>
        <w:ind w:firstLineChars="200" w:firstLine="440"/>
        <w:jc w:val="both"/>
        <w:rPr>
          <w:rFonts w:ascii="Times New Roman" w:hAnsi="Times New Roman" w:cs="Times New Roman"/>
          <w:szCs w:val="21"/>
        </w:rPr>
      </w:pPr>
      <w:r w:rsidRPr="00C06E78">
        <w:rPr>
          <w:rFonts w:ascii="Times New Roman" w:hAnsi="Times New Roman" w:cs="Times New Roman"/>
          <w:szCs w:val="21"/>
        </w:rPr>
        <w:t xml:space="preserve">For other factors, we use the same strategy but with minor adjustments, such as ranking </w:t>
      </w:r>
      <w:r w:rsidRPr="00C06E78">
        <w:rPr>
          <w:rFonts w:ascii="Times New Roman" w:hAnsi="Times New Roman" w:cs="Times New Roman"/>
          <w:szCs w:val="21"/>
        </w:rPr>
        <w:lastRenderedPageBreak/>
        <w:t xml:space="preserve">order, top-bottom ratio, </w:t>
      </w:r>
      <w:proofErr w:type="spellStart"/>
      <w:r w:rsidRPr="00C06E78">
        <w:rPr>
          <w:rFonts w:ascii="Times New Roman" w:hAnsi="Times New Roman" w:cs="Times New Roman"/>
          <w:szCs w:val="21"/>
        </w:rPr>
        <w:t>etc</w:t>
      </w:r>
      <w:proofErr w:type="spellEnd"/>
      <w:r w:rsidRPr="00C06E78">
        <w:rPr>
          <w:rFonts w:ascii="Times New Roman" w:hAnsi="Times New Roman" w:cs="Times New Roman"/>
          <w:szCs w:val="21"/>
        </w:rPr>
        <w:t>, separately. The following table shows the details of those parameters.</w:t>
      </w:r>
    </w:p>
    <w:tbl>
      <w:tblPr>
        <w:tblStyle w:val="a7"/>
        <w:tblW w:w="0" w:type="auto"/>
        <w:tblLook w:val="04A0" w:firstRow="1" w:lastRow="0" w:firstColumn="1" w:lastColumn="0" w:noHBand="0" w:noVBand="1"/>
      </w:tblPr>
      <w:tblGrid>
        <w:gridCol w:w="2868"/>
        <w:gridCol w:w="2865"/>
        <w:gridCol w:w="2789"/>
      </w:tblGrid>
      <w:tr w:rsidR="007F3D15" w:rsidRPr="00C06E78" w14:paraId="730759A7" w14:textId="77777777" w:rsidTr="007F3D15">
        <w:tc>
          <w:tcPr>
            <w:tcW w:w="3116" w:type="dxa"/>
            <w:tcBorders>
              <w:top w:val="single" w:sz="4" w:space="0" w:color="auto"/>
              <w:left w:val="single" w:sz="4" w:space="0" w:color="auto"/>
              <w:bottom w:val="single" w:sz="4" w:space="0" w:color="auto"/>
              <w:right w:val="single" w:sz="4" w:space="0" w:color="auto"/>
            </w:tcBorders>
            <w:hideMark/>
          </w:tcPr>
          <w:p w14:paraId="6712AC83" w14:textId="77777777" w:rsidR="007F3D15" w:rsidRPr="00C06E78" w:rsidRDefault="007F3D15" w:rsidP="0051756F">
            <w:pPr>
              <w:spacing w:after="0"/>
              <w:jc w:val="both"/>
              <w:rPr>
                <w:rFonts w:ascii="Times New Roman" w:hAnsi="Times New Roman" w:cs="Times New Roman"/>
                <w:sz w:val="24"/>
              </w:rPr>
            </w:pPr>
            <w:r w:rsidRPr="00C06E78">
              <w:rPr>
                <w:rFonts w:ascii="Times New Roman" w:hAnsi="Times New Roman" w:cs="Times New Roman"/>
              </w:rPr>
              <w:t xml:space="preserve">Factor             </w:t>
            </w:r>
          </w:p>
        </w:tc>
        <w:tc>
          <w:tcPr>
            <w:tcW w:w="3117" w:type="dxa"/>
            <w:tcBorders>
              <w:top w:val="single" w:sz="4" w:space="0" w:color="auto"/>
              <w:left w:val="single" w:sz="4" w:space="0" w:color="auto"/>
              <w:bottom w:val="single" w:sz="4" w:space="0" w:color="auto"/>
              <w:right w:val="single" w:sz="4" w:space="0" w:color="auto"/>
            </w:tcBorders>
            <w:hideMark/>
          </w:tcPr>
          <w:p w14:paraId="5271042A" w14:textId="77777777" w:rsidR="007F3D15" w:rsidRPr="00C06E78" w:rsidRDefault="007F3D15" w:rsidP="0051756F">
            <w:pPr>
              <w:spacing w:after="0"/>
              <w:jc w:val="both"/>
              <w:rPr>
                <w:rFonts w:ascii="Times New Roman" w:hAnsi="Times New Roman" w:cs="Times New Roman"/>
                <w:sz w:val="24"/>
              </w:rPr>
            </w:pPr>
            <w:r w:rsidRPr="00C06E78">
              <w:rPr>
                <w:rFonts w:ascii="Times New Roman" w:hAnsi="Times New Roman" w:cs="Times New Roman"/>
              </w:rPr>
              <w:t xml:space="preserve">Order      </w:t>
            </w:r>
          </w:p>
        </w:tc>
        <w:tc>
          <w:tcPr>
            <w:tcW w:w="3117" w:type="dxa"/>
            <w:tcBorders>
              <w:top w:val="single" w:sz="4" w:space="0" w:color="auto"/>
              <w:left w:val="single" w:sz="4" w:space="0" w:color="auto"/>
              <w:bottom w:val="single" w:sz="4" w:space="0" w:color="auto"/>
              <w:right w:val="single" w:sz="4" w:space="0" w:color="auto"/>
            </w:tcBorders>
            <w:hideMark/>
          </w:tcPr>
          <w:p w14:paraId="54B9B2A5" w14:textId="77777777" w:rsidR="007F3D15" w:rsidRPr="00C06E78" w:rsidRDefault="007F3D15" w:rsidP="0051756F">
            <w:pPr>
              <w:spacing w:after="0"/>
              <w:jc w:val="both"/>
              <w:rPr>
                <w:rFonts w:ascii="Times New Roman" w:hAnsi="Times New Roman" w:cs="Times New Roman"/>
                <w:sz w:val="24"/>
              </w:rPr>
            </w:pPr>
            <w:r w:rsidRPr="00C06E78">
              <w:rPr>
                <w:rFonts w:ascii="Times New Roman" w:hAnsi="Times New Roman" w:cs="Times New Roman"/>
              </w:rPr>
              <w:t>Ratio</w:t>
            </w:r>
          </w:p>
        </w:tc>
      </w:tr>
      <w:tr w:rsidR="007F3D15" w:rsidRPr="00C06E78" w14:paraId="4E61DFE6" w14:textId="77777777" w:rsidTr="007F3D15">
        <w:tc>
          <w:tcPr>
            <w:tcW w:w="3116" w:type="dxa"/>
            <w:tcBorders>
              <w:top w:val="single" w:sz="4" w:space="0" w:color="auto"/>
              <w:left w:val="single" w:sz="4" w:space="0" w:color="auto"/>
              <w:bottom w:val="single" w:sz="4" w:space="0" w:color="auto"/>
              <w:right w:val="single" w:sz="4" w:space="0" w:color="auto"/>
            </w:tcBorders>
            <w:hideMark/>
          </w:tcPr>
          <w:p w14:paraId="7C074337" w14:textId="77777777" w:rsidR="007F3D15" w:rsidRPr="00C06E78" w:rsidRDefault="007F3D15" w:rsidP="0051756F">
            <w:pPr>
              <w:spacing w:after="0"/>
              <w:jc w:val="both"/>
              <w:rPr>
                <w:rFonts w:ascii="Times New Roman" w:hAnsi="Times New Roman" w:cs="Times New Roman"/>
                <w:sz w:val="24"/>
              </w:rPr>
            </w:pPr>
            <w:r w:rsidRPr="00C06E78">
              <w:rPr>
                <w:rFonts w:ascii="Times New Roman" w:hAnsi="Times New Roman" w:cs="Times New Roman"/>
              </w:rPr>
              <w:t xml:space="preserve">Size (SMB) </w:t>
            </w:r>
          </w:p>
        </w:tc>
        <w:tc>
          <w:tcPr>
            <w:tcW w:w="3117" w:type="dxa"/>
            <w:tcBorders>
              <w:top w:val="single" w:sz="4" w:space="0" w:color="auto"/>
              <w:left w:val="single" w:sz="4" w:space="0" w:color="auto"/>
              <w:bottom w:val="single" w:sz="4" w:space="0" w:color="auto"/>
              <w:right w:val="single" w:sz="4" w:space="0" w:color="auto"/>
            </w:tcBorders>
            <w:hideMark/>
          </w:tcPr>
          <w:p w14:paraId="3DAA9662" w14:textId="77777777" w:rsidR="007F3D15" w:rsidRPr="00C06E78" w:rsidRDefault="007F3D15" w:rsidP="0051756F">
            <w:pPr>
              <w:spacing w:after="0"/>
              <w:jc w:val="both"/>
              <w:rPr>
                <w:rFonts w:ascii="Times New Roman" w:hAnsi="Times New Roman" w:cs="Times New Roman"/>
                <w:sz w:val="24"/>
              </w:rPr>
            </w:pPr>
            <w:r w:rsidRPr="00C06E78">
              <w:rPr>
                <w:rFonts w:ascii="Times New Roman" w:hAnsi="Times New Roman" w:cs="Times New Roman"/>
              </w:rPr>
              <w:t xml:space="preserve">Ascending  </w:t>
            </w:r>
          </w:p>
        </w:tc>
        <w:tc>
          <w:tcPr>
            <w:tcW w:w="3117" w:type="dxa"/>
            <w:tcBorders>
              <w:top w:val="single" w:sz="4" w:space="0" w:color="auto"/>
              <w:left w:val="single" w:sz="4" w:space="0" w:color="auto"/>
              <w:bottom w:val="single" w:sz="4" w:space="0" w:color="auto"/>
              <w:right w:val="single" w:sz="4" w:space="0" w:color="auto"/>
            </w:tcBorders>
            <w:hideMark/>
          </w:tcPr>
          <w:p w14:paraId="5457FBC0" w14:textId="77777777" w:rsidR="007F3D15" w:rsidRPr="00C06E78" w:rsidRDefault="007F3D15" w:rsidP="0051756F">
            <w:pPr>
              <w:spacing w:after="0"/>
              <w:jc w:val="both"/>
              <w:rPr>
                <w:rFonts w:ascii="Times New Roman" w:hAnsi="Times New Roman" w:cs="Times New Roman"/>
                <w:sz w:val="24"/>
              </w:rPr>
            </w:pPr>
            <w:r w:rsidRPr="00C06E78">
              <w:rPr>
                <w:rFonts w:ascii="Times New Roman" w:hAnsi="Times New Roman" w:cs="Times New Roman"/>
              </w:rPr>
              <w:t xml:space="preserve">50%   </w:t>
            </w:r>
          </w:p>
        </w:tc>
      </w:tr>
      <w:tr w:rsidR="007F3D15" w:rsidRPr="00C06E78" w14:paraId="39CF0F37" w14:textId="77777777" w:rsidTr="007F3D15">
        <w:tc>
          <w:tcPr>
            <w:tcW w:w="3116" w:type="dxa"/>
            <w:tcBorders>
              <w:top w:val="single" w:sz="4" w:space="0" w:color="auto"/>
              <w:left w:val="single" w:sz="4" w:space="0" w:color="auto"/>
              <w:bottom w:val="single" w:sz="4" w:space="0" w:color="auto"/>
              <w:right w:val="single" w:sz="4" w:space="0" w:color="auto"/>
            </w:tcBorders>
            <w:hideMark/>
          </w:tcPr>
          <w:p w14:paraId="1BD74AA8" w14:textId="77777777" w:rsidR="007F3D15" w:rsidRPr="00C06E78" w:rsidRDefault="007F3D15" w:rsidP="0051756F">
            <w:pPr>
              <w:spacing w:after="0"/>
              <w:jc w:val="both"/>
              <w:rPr>
                <w:rFonts w:ascii="Times New Roman" w:hAnsi="Times New Roman" w:cs="Times New Roman"/>
                <w:sz w:val="24"/>
              </w:rPr>
            </w:pPr>
            <w:r w:rsidRPr="00C06E78">
              <w:rPr>
                <w:rFonts w:ascii="Times New Roman" w:hAnsi="Times New Roman" w:cs="Times New Roman"/>
              </w:rPr>
              <w:t>Value (HML)</w:t>
            </w:r>
          </w:p>
        </w:tc>
        <w:tc>
          <w:tcPr>
            <w:tcW w:w="3117" w:type="dxa"/>
            <w:tcBorders>
              <w:top w:val="single" w:sz="4" w:space="0" w:color="auto"/>
              <w:left w:val="single" w:sz="4" w:space="0" w:color="auto"/>
              <w:bottom w:val="single" w:sz="4" w:space="0" w:color="auto"/>
              <w:right w:val="single" w:sz="4" w:space="0" w:color="auto"/>
            </w:tcBorders>
            <w:hideMark/>
          </w:tcPr>
          <w:p w14:paraId="2D57C92D" w14:textId="77777777" w:rsidR="007F3D15" w:rsidRPr="00C06E78" w:rsidRDefault="007F3D15" w:rsidP="0051756F">
            <w:pPr>
              <w:spacing w:after="0"/>
              <w:jc w:val="both"/>
              <w:rPr>
                <w:rFonts w:ascii="Times New Roman" w:hAnsi="Times New Roman" w:cs="Times New Roman"/>
                <w:sz w:val="24"/>
              </w:rPr>
            </w:pPr>
            <w:r w:rsidRPr="00C06E78">
              <w:rPr>
                <w:rFonts w:ascii="Times New Roman" w:hAnsi="Times New Roman" w:cs="Times New Roman"/>
              </w:rPr>
              <w:t>Descending</w:t>
            </w:r>
          </w:p>
        </w:tc>
        <w:tc>
          <w:tcPr>
            <w:tcW w:w="3117" w:type="dxa"/>
            <w:tcBorders>
              <w:top w:val="single" w:sz="4" w:space="0" w:color="auto"/>
              <w:left w:val="single" w:sz="4" w:space="0" w:color="auto"/>
              <w:bottom w:val="single" w:sz="4" w:space="0" w:color="auto"/>
              <w:right w:val="single" w:sz="4" w:space="0" w:color="auto"/>
            </w:tcBorders>
            <w:hideMark/>
          </w:tcPr>
          <w:p w14:paraId="1BCD9B64" w14:textId="77777777" w:rsidR="007F3D15" w:rsidRPr="00C06E78" w:rsidRDefault="007F3D15" w:rsidP="0051756F">
            <w:pPr>
              <w:spacing w:after="0"/>
              <w:jc w:val="both"/>
              <w:rPr>
                <w:rFonts w:ascii="Times New Roman" w:hAnsi="Times New Roman" w:cs="Times New Roman"/>
                <w:sz w:val="24"/>
              </w:rPr>
            </w:pPr>
            <w:r w:rsidRPr="00C06E78">
              <w:rPr>
                <w:rFonts w:ascii="Times New Roman" w:hAnsi="Times New Roman" w:cs="Times New Roman"/>
              </w:rPr>
              <w:t xml:space="preserve">30%   </w:t>
            </w:r>
          </w:p>
        </w:tc>
      </w:tr>
      <w:tr w:rsidR="007F3D15" w:rsidRPr="00C06E78" w14:paraId="572F74B0" w14:textId="77777777" w:rsidTr="007F3D15">
        <w:tc>
          <w:tcPr>
            <w:tcW w:w="3116" w:type="dxa"/>
            <w:tcBorders>
              <w:top w:val="single" w:sz="4" w:space="0" w:color="auto"/>
              <w:left w:val="single" w:sz="4" w:space="0" w:color="auto"/>
              <w:bottom w:val="single" w:sz="4" w:space="0" w:color="auto"/>
              <w:right w:val="single" w:sz="4" w:space="0" w:color="auto"/>
            </w:tcBorders>
            <w:hideMark/>
          </w:tcPr>
          <w:p w14:paraId="57877A2F" w14:textId="77777777" w:rsidR="007F3D15" w:rsidRPr="00C06E78" w:rsidRDefault="007F3D15" w:rsidP="0051756F">
            <w:pPr>
              <w:spacing w:after="0"/>
              <w:jc w:val="both"/>
              <w:rPr>
                <w:rFonts w:ascii="Times New Roman" w:hAnsi="Times New Roman" w:cs="Times New Roman"/>
                <w:sz w:val="24"/>
              </w:rPr>
            </w:pPr>
            <w:r w:rsidRPr="00C06E78">
              <w:rPr>
                <w:rFonts w:ascii="Times New Roman" w:hAnsi="Times New Roman" w:cs="Times New Roman"/>
              </w:rPr>
              <w:t>Profitability (RMW)</w:t>
            </w:r>
          </w:p>
        </w:tc>
        <w:tc>
          <w:tcPr>
            <w:tcW w:w="3117" w:type="dxa"/>
            <w:tcBorders>
              <w:top w:val="single" w:sz="4" w:space="0" w:color="auto"/>
              <w:left w:val="single" w:sz="4" w:space="0" w:color="auto"/>
              <w:bottom w:val="single" w:sz="4" w:space="0" w:color="auto"/>
              <w:right w:val="single" w:sz="4" w:space="0" w:color="auto"/>
            </w:tcBorders>
            <w:hideMark/>
          </w:tcPr>
          <w:p w14:paraId="036748AD" w14:textId="77777777" w:rsidR="007F3D15" w:rsidRPr="00C06E78" w:rsidRDefault="007F3D15" w:rsidP="0051756F">
            <w:pPr>
              <w:spacing w:after="0"/>
              <w:jc w:val="both"/>
              <w:rPr>
                <w:rFonts w:ascii="Times New Roman" w:hAnsi="Times New Roman" w:cs="Times New Roman"/>
                <w:sz w:val="24"/>
              </w:rPr>
            </w:pPr>
            <w:r w:rsidRPr="00C06E78">
              <w:rPr>
                <w:rFonts w:ascii="Times New Roman" w:hAnsi="Times New Roman" w:cs="Times New Roman"/>
              </w:rPr>
              <w:t>Descending</w:t>
            </w:r>
          </w:p>
        </w:tc>
        <w:tc>
          <w:tcPr>
            <w:tcW w:w="3117" w:type="dxa"/>
            <w:tcBorders>
              <w:top w:val="single" w:sz="4" w:space="0" w:color="auto"/>
              <w:left w:val="single" w:sz="4" w:space="0" w:color="auto"/>
              <w:bottom w:val="single" w:sz="4" w:space="0" w:color="auto"/>
              <w:right w:val="single" w:sz="4" w:space="0" w:color="auto"/>
            </w:tcBorders>
            <w:hideMark/>
          </w:tcPr>
          <w:p w14:paraId="2C5BC208" w14:textId="77777777" w:rsidR="007F3D15" w:rsidRPr="00C06E78" w:rsidRDefault="007F3D15" w:rsidP="0051756F">
            <w:pPr>
              <w:spacing w:after="0"/>
              <w:jc w:val="both"/>
              <w:rPr>
                <w:rFonts w:ascii="Times New Roman" w:hAnsi="Times New Roman" w:cs="Times New Roman"/>
                <w:sz w:val="24"/>
              </w:rPr>
            </w:pPr>
            <w:r w:rsidRPr="00C06E78">
              <w:rPr>
                <w:rFonts w:ascii="Times New Roman" w:hAnsi="Times New Roman" w:cs="Times New Roman"/>
              </w:rPr>
              <w:t xml:space="preserve">30%   </w:t>
            </w:r>
          </w:p>
        </w:tc>
      </w:tr>
      <w:tr w:rsidR="007F3D15" w:rsidRPr="00C06E78" w14:paraId="4F4D69B4" w14:textId="77777777" w:rsidTr="007F3D15">
        <w:tc>
          <w:tcPr>
            <w:tcW w:w="3116" w:type="dxa"/>
            <w:tcBorders>
              <w:top w:val="single" w:sz="4" w:space="0" w:color="auto"/>
              <w:left w:val="single" w:sz="4" w:space="0" w:color="auto"/>
              <w:bottom w:val="single" w:sz="4" w:space="0" w:color="auto"/>
              <w:right w:val="single" w:sz="4" w:space="0" w:color="auto"/>
            </w:tcBorders>
            <w:hideMark/>
          </w:tcPr>
          <w:p w14:paraId="529C5E3A" w14:textId="77777777" w:rsidR="007F3D15" w:rsidRPr="00C06E78" w:rsidRDefault="007F3D15" w:rsidP="0051756F">
            <w:pPr>
              <w:spacing w:after="0"/>
              <w:jc w:val="both"/>
              <w:rPr>
                <w:rFonts w:ascii="Times New Roman" w:hAnsi="Times New Roman" w:cs="Times New Roman"/>
                <w:sz w:val="24"/>
              </w:rPr>
            </w:pPr>
            <w:r w:rsidRPr="00C06E78">
              <w:rPr>
                <w:rFonts w:ascii="Times New Roman" w:hAnsi="Times New Roman" w:cs="Times New Roman"/>
              </w:rPr>
              <w:t>Investment (CMA)</w:t>
            </w:r>
          </w:p>
        </w:tc>
        <w:tc>
          <w:tcPr>
            <w:tcW w:w="3117" w:type="dxa"/>
            <w:tcBorders>
              <w:top w:val="single" w:sz="4" w:space="0" w:color="auto"/>
              <w:left w:val="single" w:sz="4" w:space="0" w:color="auto"/>
              <w:bottom w:val="single" w:sz="4" w:space="0" w:color="auto"/>
              <w:right w:val="single" w:sz="4" w:space="0" w:color="auto"/>
            </w:tcBorders>
            <w:hideMark/>
          </w:tcPr>
          <w:p w14:paraId="53D7AC30" w14:textId="77777777" w:rsidR="007F3D15" w:rsidRPr="00C06E78" w:rsidRDefault="007F3D15" w:rsidP="0051756F">
            <w:pPr>
              <w:spacing w:after="0"/>
              <w:jc w:val="both"/>
              <w:rPr>
                <w:rFonts w:ascii="Times New Roman" w:hAnsi="Times New Roman" w:cs="Times New Roman"/>
                <w:sz w:val="24"/>
              </w:rPr>
            </w:pPr>
            <w:r w:rsidRPr="00C06E78">
              <w:rPr>
                <w:rFonts w:ascii="Times New Roman" w:hAnsi="Times New Roman" w:cs="Times New Roman"/>
              </w:rPr>
              <w:t>Descending</w:t>
            </w:r>
          </w:p>
        </w:tc>
        <w:tc>
          <w:tcPr>
            <w:tcW w:w="3117" w:type="dxa"/>
            <w:tcBorders>
              <w:top w:val="single" w:sz="4" w:space="0" w:color="auto"/>
              <w:left w:val="single" w:sz="4" w:space="0" w:color="auto"/>
              <w:bottom w:val="single" w:sz="4" w:space="0" w:color="auto"/>
              <w:right w:val="single" w:sz="4" w:space="0" w:color="auto"/>
            </w:tcBorders>
            <w:hideMark/>
          </w:tcPr>
          <w:p w14:paraId="13F59478" w14:textId="77777777" w:rsidR="007F3D15" w:rsidRPr="00C06E78" w:rsidRDefault="007F3D15" w:rsidP="0051756F">
            <w:pPr>
              <w:spacing w:after="0"/>
              <w:jc w:val="both"/>
              <w:rPr>
                <w:rFonts w:ascii="Times New Roman" w:hAnsi="Times New Roman" w:cs="Times New Roman"/>
                <w:sz w:val="24"/>
              </w:rPr>
            </w:pPr>
            <w:r w:rsidRPr="00C06E78">
              <w:rPr>
                <w:rFonts w:ascii="Times New Roman" w:hAnsi="Times New Roman" w:cs="Times New Roman"/>
              </w:rPr>
              <w:t xml:space="preserve">30%   </w:t>
            </w:r>
          </w:p>
        </w:tc>
      </w:tr>
      <w:tr w:rsidR="007F3D15" w:rsidRPr="00C06E78" w14:paraId="66925544" w14:textId="77777777" w:rsidTr="007F3D15">
        <w:tc>
          <w:tcPr>
            <w:tcW w:w="3116" w:type="dxa"/>
            <w:tcBorders>
              <w:top w:val="single" w:sz="4" w:space="0" w:color="auto"/>
              <w:left w:val="single" w:sz="4" w:space="0" w:color="auto"/>
              <w:bottom w:val="single" w:sz="4" w:space="0" w:color="auto"/>
              <w:right w:val="single" w:sz="4" w:space="0" w:color="auto"/>
            </w:tcBorders>
            <w:hideMark/>
          </w:tcPr>
          <w:p w14:paraId="67DCFB60" w14:textId="77777777" w:rsidR="007F3D15" w:rsidRPr="00C06E78" w:rsidRDefault="007F3D15" w:rsidP="0051756F">
            <w:pPr>
              <w:spacing w:after="0"/>
              <w:jc w:val="both"/>
              <w:rPr>
                <w:rFonts w:ascii="Times New Roman" w:hAnsi="Times New Roman" w:cs="Times New Roman"/>
                <w:sz w:val="24"/>
              </w:rPr>
            </w:pPr>
            <w:r w:rsidRPr="00C06E78">
              <w:rPr>
                <w:rFonts w:ascii="Times New Roman" w:hAnsi="Times New Roman" w:cs="Times New Roman"/>
              </w:rPr>
              <w:t>Momentum (UMD)</w:t>
            </w:r>
          </w:p>
        </w:tc>
        <w:tc>
          <w:tcPr>
            <w:tcW w:w="3117" w:type="dxa"/>
            <w:tcBorders>
              <w:top w:val="single" w:sz="4" w:space="0" w:color="auto"/>
              <w:left w:val="single" w:sz="4" w:space="0" w:color="auto"/>
              <w:bottom w:val="single" w:sz="4" w:space="0" w:color="auto"/>
              <w:right w:val="single" w:sz="4" w:space="0" w:color="auto"/>
            </w:tcBorders>
            <w:hideMark/>
          </w:tcPr>
          <w:p w14:paraId="23A47BAD" w14:textId="77777777" w:rsidR="007F3D15" w:rsidRPr="00C06E78" w:rsidRDefault="007F3D15" w:rsidP="0051756F">
            <w:pPr>
              <w:spacing w:after="0"/>
              <w:jc w:val="both"/>
              <w:rPr>
                <w:rFonts w:ascii="Times New Roman" w:hAnsi="Times New Roman" w:cs="Times New Roman"/>
                <w:sz w:val="24"/>
              </w:rPr>
            </w:pPr>
            <w:r w:rsidRPr="00C06E78">
              <w:rPr>
                <w:rFonts w:ascii="Times New Roman" w:hAnsi="Times New Roman" w:cs="Times New Roman"/>
              </w:rPr>
              <w:t>Descending</w:t>
            </w:r>
          </w:p>
        </w:tc>
        <w:tc>
          <w:tcPr>
            <w:tcW w:w="3117" w:type="dxa"/>
            <w:tcBorders>
              <w:top w:val="single" w:sz="4" w:space="0" w:color="auto"/>
              <w:left w:val="single" w:sz="4" w:space="0" w:color="auto"/>
              <w:bottom w:val="single" w:sz="4" w:space="0" w:color="auto"/>
              <w:right w:val="single" w:sz="4" w:space="0" w:color="auto"/>
            </w:tcBorders>
            <w:hideMark/>
          </w:tcPr>
          <w:p w14:paraId="7829619A" w14:textId="77777777" w:rsidR="007F3D15" w:rsidRPr="00C06E78" w:rsidRDefault="007F3D15" w:rsidP="0051756F">
            <w:pPr>
              <w:spacing w:after="0"/>
              <w:jc w:val="both"/>
              <w:rPr>
                <w:rFonts w:ascii="Times New Roman" w:hAnsi="Times New Roman" w:cs="Times New Roman"/>
                <w:sz w:val="24"/>
              </w:rPr>
            </w:pPr>
            <w:r w:rsidRPr="00C06E78">
              <w:rPr>
                <w:rFonts w:ascii="Times New Roman" w:hAnsi="Times New Roman" w:cs="Times New Roman"/>
              </w:rPr>
              <w:t>50%</w:t>
            </w:r>
          </w:p>
        </w:tc>
      </w:tr>
    </w:tbl>
    <w:p w14:paraId="16DE0984" w14:textId="77777777" w:rsidR="007F3D15" w:rsidRPr="00C06E78" w:rsidRDefault="007F3D15" w:rsidP="0051756F">
      <w:pPr>
        <w:jc w:val="both"/>
        <w:rPr>
          <w:rFonts w:ascii="Times New Roman" w:hAnsi="Times New Roman" w:cs="Times New Roman"/>
        </w:rPr>
      </w:pPr>
    </w:p>
    <w:p w14:paraId="5F1FD170" w14:textId="77777777" w:rsidR="007F3D15" w:rsidRPr="00C06E78" w:rsidRDefault="007F3D15" w:rsidP="0051756F">
      <w:pPr>
        <w:jc w:val="both"/>
        <w:rPr>
          <w:rFonts w:ascii="Times New Roman" w:hAnsi="Times New Roman" w:cs="Times New Roman"/>
        </w:rPr>
      </w:pPr>
      <w:r w:rsidRPr="00C06E78">
        <w:rPr>
          <w:rFonts w:ascii="Times New Roman" w:hAnsi="Times New Roman" w:cs="Times New Roman"/>
        </w:rPr>
        <w:t>After the factor construction, for each stock at each month, we have the 6 factors including market, Size (SMB), Value (HML), Profitability (RMW), Investment (CMA), and Momentum (UMD).  Finally, we generate a file includes about 272 stocks monthly data from April 2001 to Dec. 2024. In addition to the stock name and month date, each row of the file consists of the above 6 factors and the risk-free rate.</w:t>
      </w:r>
    </w:p>
    <w:p w14:paraId="62B29046" w14:textId="77777777" w:rsidR="00796644" w:rsidRPr="00C06E78" w:rsidRDefault="00796644" w:rsidP="0051756F">
      <w:pPr>
        <w:pStyle w:val="ae"/>
        <w:numPr>
          <w:ilvl w:val="0"/>
          <w:numId w:val="6"/>
        </w:numPr>
        <w:jc w:val="both"/>
        <w:rPr>
          <w:rFonts w:ascii="Times New Roman" w:hAnsi="Times New Roman" w:cs="Times New Roman"/>
          <w:b/>
          <w:sz w:val="32"/>
          <w:szCs w:val="32"/>
        </w:rPr>
      </w:pPr>
      <w:r w:rsidRPr="00C06E78">
        <w:rPr>
          <w:rFonts w:ascii="Times New Roman" w:hAnsi="Times New Roman" w:cs="Times New Roman"/>
          <w:b/>
          <w:sz w:val="32"/>
          <w:szCs w:val="32"/>
        </w:rPr>
        <w:t>Empirical Analysis</w:t>
      </w:r>
    </w:p>
    <w:p w14:paraId="7755BE6B" w14:textId="77777777" w:rsidR="00796644" w:rsidRPr="00C06E78" w:rsidRDefault="00796644" w:rsidP="009D748C">
      <w:pPr>
        <w:pStyle w:val="ae"/>
        <w:numPr>
          <w:ilvl w:val="1"/>
          <w:numId w:val="6"/>
        </w:numPr>
        <w:ind w:hanging="654"/>
        <w:jc w:val="both"/>
        <w:rPr>
          <w:rFonts w:ascii="Times New Roman" w:hAnsi="Times New Roman" w:cs="Times New Roman"/>
          <w:b/>
          <w:sz w:val="32"/>
          <w:szCs w:val="32"/>
        </w:rPr>
      </w:pPr>
      <w:r w:rsidRPr="00C06E78">
        <w:rPr>
          <w:rFonts w:ascii="Times New Roman" w:hAnsi="Times New Roman" w:cs="Times New Roman"/>
          <w:b/>
          <w:sz w:val="32"/>
          <w:szCs w:val="32"/>
        </w:rPr>
        <w:t>Trading rules</w:t>
      </w:r>
    </w:p>
    <w:p w14:paraId="2F770BC7" w14:textId="77777777" w:rsidR="00E529F5" w:rsidRPr="00C06E78" w:rsidRDefault="00E529F5" w:rsidP="0051756F">
      <w:pPr>
        <w:ind w:firstLineChars="200" w:firstLine="440"/>
        <w:jc w:val="both"/>
        <w:rPr>
          <w:rFonts w:ascii="Times New Roman" w:hAnsi="Times New Roman" w:cs="Times New Roman"/>
          <w:szCs w:val="21"/>
        </w:rPr>
      </w:pPr>
      <w:r w:rsidRPr="00C06E78">
        <w:rPr>
          <w:rFonts w:ascii="Times New Roman" w:hAnsi="Times New Roman" w:cs="Times New Roman"/>
          <w:szCs w:val="21"/>
        </w:rPr>
        <w:t xml:space="preserve">Our study replicates the momentum strategy proposed by </w:t>
      </w:r>
      <w:proofErr w:type="spellStart"/>
      <w:r w:rsidRPr="00C06E78">
        <w:rPr>
          <w:rFonts w:ascii="Times New Roman" w:hAnsi="Times New Roman" w:cs="Times New Roman"/>
          <w:szCs w:val="21"/>
        </w:rPr>
        <w:t>Jegadeesh</w:t>
      </w:r>
      <w:proofErr w:type="spellEnd"/>
      <w:r w:rsidRPr="00C06E78">
        <w:rPr>
          <w:rFonts w:ascii="Times New Roman" w:hAnsi="Times New Roman" w:cs="Times New Roman"/>
          <w:szCs w:val="21"/>
        </w:rPr>
        <w:t xml:space="preserve"> and Titman (1993), constructing a long-short portfolio that buys past "winners" (stocks with high returns over the past J months) and sells past "losers" (stocks with low returns over the same period). The goal is to exploit intermediate-term momentum effects by ranking stocks based on historical performance and validating their excess returns.</w:t>
      </w:r>
    </w:p>
    <w:p w14:paraId="050BA358" w14:textId="77777777" w:rsidR="00E529F5" w:rsidRPr="00C06E78" w:rsidRDefault="00E529F5" w:rsidP="0051756F">
      <w:pPr>
        <w:ind w:firstLineChars="200" w:firstLine="440"/>
        <w:jc w:val="both"/>
        <w:rPr>
          <w:rFonts w:ascii="Times New Roman" w:hAnsi="Times New Roman" w:cs="Times New Roman"/>
          <w:szCs w:val="21"/>
        </w:rPr>
      </w:pPr>
      <w:r w:rsidRPr="00C06E78">
        <w:rPr>
          <w:rFonts w:ascii="Times New Roman" w:hAnsi="Times New Roman" w:cs="Times New Roman"/>
          <w:szCs w:val="21"/>
        </w:rPr>
        <w:t>We use the Momentum as our signal. Use cumulative returns over the past J months (In our study, J = 6) as the ranking criterion. To avoid short-term reversal effects, exclude the most recent month’s return.</w:t>
      </w:r>
    </w:p>
    <w:p w14:paraId="2A86167A" w14:textId="77777777" w:rsidR="00E529F5" w:rsidRPr="00C06E78" w:rsidRDefault="00E529F5" w:rsidP="0051756F">
      <w:pPr>
        <w:ind w:firstLineChars="200" w:firstLine="440"/>
        <w:jc w:val="both"/>
        <w:rPr>
          <w:rFonts w:ascii="Times New Roman" w:hAnsi="Times New Roman" w:cs="Times New Roman"/>
          <w:szCs w:val="21"/>
        </w:rPr>
      </w:pPr>
      <w:r w:rsidRPr="00C06E78">
        <w:rPr>
          <w:rFonts w:ascii="Times New Roman" w:hAnsi="Times New Roman" w:cs="Times New Roman"/>
          <w:szCs w:val="21"/>
        </w:rPr>
        <w:t>Construct the portfolio first. At the beginning of each month, rank all stocks by momentum signal (descending order) and divide them into 10 decile portfolios.</w:t>
      </w:r>
    </w:p>
    <w:p w14:paraId="7518FFF0" w14:textId="77777777" w:rsidR="00E529F5" w:rsidRPr="00C06E78" w:rsidRDefault="00E529F5" w:rsidP="00A9075F">
      <w:pPr>
        <w:jc w:val="both"/>
        <w:rPr>
          <w:rFonts w:ascii="Times New Roman" w:hAnsi="Times New Roman" w:cs="Times New Roman"/>
          <w:szCs w:val="21"/>
        </w:rPr>
      </w:pPr>
      <w:r w:rsidRPr="00C06E78">
        <w:rPr>
          <w:rFonts w:ascii="Times New Roman" w:hAnsi="Times New Roman" w:cs="Times New Roman"/>
          <w:szCs w:val="21"/>
        </w:rPr>
        <w:t>(1) Winner Portfolio: Top 10% of stocks with the highest past returns.</w:t>
      </w:r>
    </w:p>
    <w:p w14:paraId="5B1F8E2D" w14:textId="77777777" w:rsidR="00E529F5" w:rsidRPr="00C06E78" w:rsidRDefault="00E529F5" w:rsidP="00A9075F">
      <w:pPr>
        <w:jc w:val="both"/>
        <w:rPr>
          <w:rFonts w:ascii="Times New Roman" w:hAnsi="Times New Roman" w:cs="Times New Roman"/>
          <w:szCs w:val="21"/>
        </w:rPr>
      </w:pPr>
      <w:r w:rsidRPr="00C06E78">
        <w:rPr>
          <w:rFonts w:ascii="Times New Roman" w:hAnsi="Times New Roman" w:cs="Times New Roman"/>
          <w:szCs w:val="21"/>
        </w:rPr>
        <w:t>(2) Loser Portfolio: Bottom 10% of stocks with the lowest past returns.</w:t>
      </w:r>
    </w:p>
    <w:p w14:paraId="649E3514" w14:textId="5B178B25" w:rsidR="00E529F5" w:rsidRPr="00C06E78" w:rsidRDefault="00E529F5" w:rsidP="00A9075F">
      <w:pPr>
        <w:jc w:val="both"/>
        <w:rPr>
          <w:rFonts w:ascii="Times New Roman" w:hAnsi="Times New Roman" w:cs="Times New Roman"/>
          <w:b/>
          <w:szCs w:val="21"/>
        </w:rPr>
      </w:pPr>
      <w:r w:rsidRPr="00C06E78">
        <w:rPr>
          <w:rFonts w:ascii="Times New Roman" w:hAnsi="Times New Roman" w:cs="Times New Roman"/>
          <w:b/>
          <w:szCs w:val="21"/>
        </w:rPr>
        <w:t>1. The way we rebalance our portfolio</w:t>
      </w:r>
    </w:p>
    <w:p w14:paraId="24672D37" w14:textId="77777777" w:rsidR="00E529F5" w:rsidRPr="00C06E78" w:rsidRDefault="00E529F5" w:rsidP="00A9075F">
      <w:pPr>
        <w:jc w:val="both"/>
        <w:rPr>
          <w:rFonts w:ascii="Times New Roman" w:hAnsi="Times New Roman" w:cs="Times New Roman"/>
          <w:szCs w:val="21"/>
        </w:rPr>
      </w:pPr>
      <w:r w:rsidRPr="00C06E78">
        <w:rPr>
          <w:rFonts w:ascii="Times New Roman" w:hAnsi="Times New Roman" w:cs="Times New Roman"/>
          <w:szCs w:val="21"/>
        </w:rPr>
        <w:t>(1) Holding Period (K months): Set K = 6 to match the formation period (J = 6).</w:t>
      </w:r>
    </w:p>
    <w:p w14:paraId="253E4E81" w14:textId="77777777" w:rsidR="00E529F5" w:rsidRPr="00C06E78" w:rsidRDefault="00E529F5" w:rsidP="00A9075F">
      <w:pPr>
        <w:jc w:val="both"/>
        <w:rPr>
          <w:rFonts w:ascii="Times New Roman" w:hAnsi="Times New Roman" w:cs="Times New Roman"/>
          <w:szCs w:val="21"/>
        </w:rPr>
      </w:pPr>
      <w:r w:rsidRPr="00C06E78">
        <w:rPr>
          <w:rFonts w:ascii="Times New Roman" w:hAnsi="Times New Roman" w:cs="Times New Roman"/>
          <w:szCs w:val="21"/>
        </w:rPr>
        <w:t>(2) Liquidation Rule: Close positions after K = 6 months and replace them with new portfolios.</w:t>
      </w:r>
    </w:p>
    <w:p w14:paraId="62567531" w14:textId="3141E3C2" w:rsidR="00E529F5" w:rsidRPr="00C06E78" w:rsidRDefault="00E529F5" w:rsidP="00A9075F">
      <w:pPr>
        <w:jc w:val="both"/>
        <w:rPr>
          <w:rFonts w:ascii="Times New Roman" w:hAnsi="Times New Roman" w:cs="Times New Roman"/>
          <w:b/>
          <w:szCs w:val="21"/>
        </w:rPr>
      </w:pPr>
      <w:r w:rsidRPr="00C06E78">
        <w:rPr>
          <w:rFonts w:ascii="Times New Roman" w:hAnsi="Times New Roman" w:cs="Times New Roman"/>
          <w:b/>
          <w:szCs w:val="21"/>
        </w:rPr>
        <w:lastRenderedPageBreak/>
        <w:t>2. The frequency we rebalance our portfolio</w:t>
      </w:r>
    </w:p>
    <w:p w14:paraId="29DAB9D6" w14:textId="77777777" w:rsidR="00E529F5" w:rsidRPr="00C06E78" w:rsidRDefault="00E529F5" w:rsidP="00A9075F">
      <w:pPr>
        <w:jc w:val="both"/>
        <w:rPr>
          <w:rFonts w:ascii="Times New Roman" w:hAnsi="Times New Roman" w:cs="Times New Roman"/>
          <w:szCs w:val="21"/>
        </w:rPr>
      </w:pPr>
      <w:r w:rsidRPr="00C06E78">
        <w:rPr>
          <w:rFonts w:ascii="Times New Roman" w:hAnsi="Times New Roman" w:cs="Times New Roman"/>
          <w:szCs w:val="21"/>
        </w:rPr>
        <w:t>(1) Monthly Rollover: Each month, a new portfolio is formed and held for K = 6 months. Portfolios are overlapping, meaning the strategy holds K sub-portfolios at any time (For K = 6, 1/6 of positions are rolled monthly).</w:t>
      </w:r>
    </w:p>
    <w:p w14:paraId="471802D6" w14:textId="77777777" w:rsidR="00E529F5" w:rsidRPr="00C06E78" w:rsidRDefault="00E529F5" w:rsidP="00A9075F">
      <w:pPr>
        <w:jc w:val="both"/>
        <w:rPr>
          <w:rFonts w:ascii="Times New Roman" w:hAnsi="Times New Roman" w:cs="Times New Roman"/>
          <w:szCs w:val="21"/>
        </w:rPr>
      </w:pPr>
      <w:r w:rsidRPr="00C06E78">
        <w:rPr>
          <w:rFonts w:ascii="Times New Roman" w:hAnsi="Times New Roman" w:cs="Times New Roman"/>
          <w:szCs w:val="21"/>
        </w:rPr>
        <w:t>(2) Rebalancing Date: First trading day of each month.</w:t>
      </w:r>
    </w:p>
    <w:p w14:paraId="7F319924" w14:textId="47CB50BC" w:rsidR="00E529F5" w:rsidRPr="00C06E78" w:rsidRDefault="00E529F5" w:rsidP="00A9075F">
      <w:pPr>
        <w:jc w:val="both"/>
        <w:rPr>
          <w:rFonts w:ascii="Times New Roman" w:hAnsi="Times New Roman" w:cs="Times New Roman"/>
          <w:b/>
          <w:szCs w:val="21"/>
        </w:rPr>
      </w:pPr>
      <w:r w:rsidRPr="00C06E78">
        <w:rPr>
          <w:rFonts w:ascii="Times New Roman" w:hAnsi="Times New Roman" w:cs="Times New Roman"/>
          <w:b/>
          <w:szCs w:val="21"/>
        </w:rPr>
        <w:t>3. The way we weight each security and determine its position</w:t>
      </w:r>
    </w:p>
    <w:p w14:paraId="2CCCEC45" w14:textId="77777777" w:rsidR="00E529F5" w:rsidRPr="00C06E78" w:rsidRDefault="00E529F5" w:rsidP="00A9075F">
      <w:pPr>
        <w:jc w:val="both"/>
        <w:rPr>
          <w:rFonts w:ascii="Times New Roman" w:hAnsi="Times New Roman" w:cs="Times New Roman"/>
          <w:szCs w:val="21"/>
        </w:rPr>
      </w:pPr>
      <w:r w:rsidRPr="00C06E78">
        <w:rPr>
          <w:rFonts w:ascii="Times New Roman" w:hAnsi="Times New Roman" w:cs="Times New Roman"/>
          <w:szCs w:val="21"/>
        </w:rPr>
        <w:t>(1) Weighting Scheme: Equal Weighting: Each stock in the portfolio has equal weight.</w:t>
      </w:r>
    </w:p>
    <w:p w14:paraId="4C90E603" w14:textId="77777777" w:rsidR="00E529F5" w:rsidRPr="00C06E78" w:rsidRDefault="00E529F5" w:rsidP="00A9075F">
      <w:pPr>
        <w:jc w:val="both"/>
        <w:rPr>
          <w:rFonts w:ascii="Times New Roman" w:hAnsi="Times New Roman" w:cs="Times New Roman"/>
          <w:szCs w:val="21"/>
        </w:rPr>
      </w:pPr>
      <w:r w:rsidRPr="00C06E78">
        <w:rPr>
          <w:rFonts w:ascii="Times New Roman" w:hAnsi="Times New Roman" w:cs="Times New Roman"/>
          <w:szCs w:val="21"/>
        </w:rPr>
        <w:t xml:space="preserve">(2) Position Management: Long the winner portfolio, short the loser portfolio with equal notional exposure (e.g., Long </w:t>
      </w:r>
      <w:proofErr w:type="gramStart"/>
      <w:r w:rsidRPr="00C06E78">
        <w:rPr>
          <w:rFonts w:ascii="Times New Roman" w:hAnsi="Times New Roman" w:cs="Times New Roman"/>
          <w:szCs w:val="21"/>
        </w:rPr>
        <w:t>1 unit</w:t>
      </w:r>
      <w:proofErr w:type="gramEnd"/>
      <w:r w:rsidRPr="00C06E78">
        <w:rPr>
          <w:rFonts w:ascii="Times New Roman" w:hAnsi="Times New Roman" w:cs="Times New Roman"/>
          <w:szCs w:val="21"/>
        </w:rPr>
        <w:t xml:space="preserve"> winners, short 1 unit losers).</w:t>
      </w:r>
    </w:p>
    <w:p w14:paraId="6DD4DDD9" w14:textId="2F267D1A" w:rsidR="00E529F5" w:rsidRPr="00C06E78" w:rsidRDefault="00E529F5" w:rsidP="00A9075F">
      <w:pPr>
        <w:jc w:val="both"/>
        <w:rPr>
          <w:rFonts w:ascii="Times New Roman" w:hAnsi="Times New Roman" w:cs="Times New Roman"/>
          <w:szCs w:val="21"/>
        </w:rPr>
      </w:pPr>
      <w:r w:rsidRPr="00C06E78">
        <w:rPr>
          <w:rFonts w:ascii="Times New Roman" w:hAnsi="Times New Roman" w:cs="Times New Roman"/>
          <w:szCs w:val="21"/>
        </w:rPr>
        <w:t>This strategy’s cumulative return changes over time, the picture shows below:</w:t>
      </w:r>
    </w:p>
    <w:p w14:paraId="729A2C2E" w14:textId="48747684" w:rsidR="00932052" w:rsidRPr="00C06E78" w:rsidRDefault="00932052" w:rsidP="00B421B5">
      <w:pPr>
        <w:ind w:firstLineChars="200" w:firstLine="440"/>
        <w:jc w:val="center"/>
        <w:rPr>
          <w:rFonts w:ascii="Times New Roman" w:hAnsi="Times New Roman" w:cs="Times New Roman"/>
          <w:szCs w:val="21"/>
        </w:rPr>
      </w:pPr>
      <w:r w:rsidRPr="00C06E78">
        <w:rPr>
          <w:rFonts w:ascii="Times New Roman" w:hAnsi="Times New Roman" w:cs="Times New Roman"/>
          <w:noProof/>
        </w:rPr>
        <w:drawing>
          <wp:inline distT="0" distB="0" distL="0" distR="0" wp14:anchorId="36F38483" wp14:editId="2924E8C8">
            <wp:extent cx="4349578" cy="2999042"/>
            <wp:effectExtent l="0" t="0" r="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37666" cy="3059779"/>
                    </a:xfrm>
                    <a:prstGeom prst="rect">
                      <a:avLst/>
                    </a:prstGeom>
                  </pic:spPr>
                </pic:pic>
              </a:graphicData>
            </a:graphic>
          </wp:inline>
        </w:drawing>
      </w:r>
    </w:p>
    <w:p w14:paraId="1A4FC917" w14:textId="77777777" w:rsidR="00E529F5" w:rsidRPr="00C06E78" w:rsidRDefault="00E529F5" w:rsidP="00A9075F">
      <w:pPr>
        <w:jc w:val="both"/>
        <w:rPr>
          <w:rFonts w:ascii="Times New Roman" w:hAnsi="Times New Roman" w:cs="Times New Roman"/>
          <w:szCs w:val="21"/>
        </w:rPr>
      </w:pPr>
      <w:r w:rsidRPr="00C06E78">
        <w:rPr>
          <w:rFonts w:ascii="Times New Roman" w:hAnsi="Times New Roman" w:cs="Times New Roman"/>
          <w:szCs w:val="21"/>
        </w:rPr>
        <w:t xml:space="preserve">From this picture, we can know that: </w:t>
      </w:r>
    </w:p>
    <w:p w14:paraId="01E2498E" w14:textId="77777777" w:rsidR="00E529F5" w:rsidRPr="00C06E78" w:rsidRDefault="00E529F5" w:rsidP="00A9075F">
      <w:pPr>
        <w:jc w:val="both"/>
        <w:rPr>
          <w:rFonts w:ascii="Times New Roman" w:hAnsi="Times New Roman" w:cs="Times New Roman"/>
          <w:szCs w:val="21"/>
        </w:rPr>
      </w:pPr>
      <w:r w:rsidRPr="00C06E78">
        <w:rPr>
          <w:rFonts w:ascii="Times New Roman" w:hAnsi="Times New Roman" w:cs="Times New Roman"/>
          <w:szCs w:val="21"/>
        </w:rPr>
        <w:t>(1) There are Long-Term Positive Returns: The cumulative return rises from 0 in 2005 to over 4 by 2025, suggesting an annualized return of 8-10%. This confirms the effectiveness of the momentum strategy over extended periods.</w:t>
      </w:r>
    </w:p>
    <w:p w14:paraId="612C8A07" w14:textId="77777777" w:rsidR="00E529F5" w:rsidRPr="00C06E78" w:rsidRDefault="00E529F5" w:rsidP="00A9075F">
      <w:pPr>
        <w:jc w:val="both"/>
        <w:rPr>
          <w:rFonts w:ascii="Times New Roman" w:hAnsi="Times New Roman" w:cs="Times New Roman"/>
          <w:szCs w:val="21"/>
        </w:rPr>
      </w:pPr>
      <w:r w:rsidRPr="00C06E78">
        <w:rPr>
          <w:rFonts w:ascii="Times New Roman" w:hAnsi="Times New Roman" w:cs="Times New Roman"/>
          <w:szCs w:val="21"/>
        </w:rPr>
        <w:t>(2) Market Cycle Dependency:</w:t>
      </w:r>
    </w:p>
    <w:p w14:paraId="04B8064A" w14:textId="77777777" w:rsidR="00E529F5" w:rsidRPr="00C06E78" w:rsidRDefault="00E529F5" w:rsidP="00A9075F">
      <w:pPr>
        <w:jc w:val="both"/>
        <w:rPr>
          <w:rFonts w:ascii="Times New Roman" w:hAnsi="Times New Roman" w:cs="Times New Roman"/>
          <w:szCs w:val="21"/>
        </w:rPr>
      </w:pPr>
      <w:r w:rsidRPr="00C06E78">
        <w:rPr>
          <w:rFonts w:ascii="Times New Roman" w:hAnsi="Times New Roman" w:cs="Times New Roman"/>
          <w:szCs w:val="21"/>
        </w:rPr>
        <w:t>(a) 2008 Crisis: Sharp fluctuations between 2005–2010 highlight the strategy’s vulnerability during extreme market conditions, likely due to liquidity shocks or short-term reversals.</w:t>
      </w:r>
    </w:p>
    <w:p w14:paraId="22D603E6" w14:textId="77777777" w:rsidR="00E529F5" w:rsidRPr="00C06E78" w:rsidRDefault="00E529F5" w:rsidP="00A9075F">
      <w:pPr>
        <w:jc w:val="both"/>
        <w:rPr>
          <w:rFonts w:ascii="Times New Roman" w:hAnsi="Times New Roman" w:cs="Times New Roman"/>
          <w:szCs w:val="21"/>
        </w:rPr>
      </w:pPr>
      <w:r w:rsidRPr="00C06E78">
        <w:rPr>
          <w:rFonts w:ascii="Times New Roman" w:hAnsi="Times New Roman" w:cs="Times New Roman"/>
          <w:szCs w:val="21"/>
        </w:rPr>
        <w:t>(b) Surge after 2020: The steep rise after 2020 aligns with momentum strategy, such as tech stocks dominating markets during COVID.</w:t>
      </w:r>
    </w:p>
    <w:p w14:paraId="07605F2E" w14:textId="5DE50C2B" w:rsidR="00E529F5" w:rsidRPr="00C06E78" w:rsidRDefault="000612C1" w:rsidP="00A9075F">
      <w:pPr>
        <w:jc w:val="both"/>
        <w:rPr>
          <w:rFonts w:ascii="Times New Roman" w:hAnsi="Times New Roman" w:cs="Times New Roman"/>
          <w:b/>
          <w:szCs w:val="21"/>
        </w:rPr>
      </w:pPr>
      <w:bookmarkStart w:id="5" w:name="OLE_LINK16"/>
      <w:r w:rsidRPr="00C06E78">
        <w:rPr>
          <w:rFonts w:ascii="Times New Roman" w:hAnsi="Times New Roman" w:cs="Times New Roman"/>
          <w:b/>
          <w:szCs w:val="21"/>
        </w:rPr>
        <w:lastRenderedPageBreak/>
        <w:t xml:space="preserve">4. </w:t>
      </w:r>
      <w:r w:rsidR="00E529F5" w:rsidRPr="00C06E78">
        <w:rPr>
          <w:rFonts w:ascii="Times New Roman" w:hAnsi="Times New Roman" w:cs="Times New Roman"/>
          <w:b/>
          <w:szCs w:val="21"/>
        </w:rPr>
        <w:t>Conclusion</w:t>
      </w:r>
    </w:p>
    <w:p w14:paraId="17302C46" w14:textId="77777777" w:rsidR="00E529F5" w:rsidRPr="00C06E78" w:rsidRDefault="00E529F5" w:rsidP="00A9075F">
      <w:pPr>
        <w:jc w:val="both"/>
        <w:rPr>
          <w:rFonts w:ascii="Times New Roman" w:hAnsi="Times New Roman" w:cs="Times New Roman"/>
          <w:szCs w:val="21"/>
        </w:rPr>
      </w:pPr>
      <w:r w:rsidRPr="00C06E78">
        <w:rPr>
          <w:rFonts w:ascii="Times New Roman" w:hAnsi="Times New Roman" w:cs="Times New Roman"/>
          <w:szCs w:val="21"/>
        </w:rPr>
        <w:t>The chart demonstrates that while the momentum strategy delivers long-term alpha, it faces significant cyclical risks and multi-year drawdowns. To enhance it, we can:</w:t>
      </w:r>
    </w:p>
    <w:p w14:paraId="2E1F34A0" w14:textId="77777777" w:rsidR="00E529F5" w:rsidRPr="00C06E78" w:rsidRDefault="00E529F5" w:rsidP="00A9075F">
      <w:pPr>
        <w:jc w:val="both"/>
        <w:rPr>
          <w:rFonts w:ascii="Times New Roman" w:hAnsi="Times New Roman" w:cs="Times New Roman"/>
          <w:szCs w:val="21"/>
        </w:rPr>
      </w:pPr>
      <w:r w:rsidRPr="00C06E78">
        <w:rPr>
          <w:rFonts w:ascii="Times New Roman" w:hAnsi="Times New Roman" w:cs="Times New Roman"/>
          <w:szCs w:val="21"/>
        </w:rPr>
        <w:t>(1) Test parameter variations, for example, make J=12 and K=3. We can also do the sub-period analyses (e.g.: 2005–2010 vs. 2011–2020 vs. 2021–2025).</w:t>
      </w:r>
    </w:p>
    <w:p w14:paraId="7E32A4A1" w14:textId="77777777" w:rsidR="00E529F5" w:rsidRPr="00C06E78" w:rsidRDefault="00E529F5" w:rsidP="00A9075F">
      <w:pPr>
        <w:jc w:val="both"/>
        <w:rPr>
          <w:rFonts w:ascii="Times New Roman" w:hAnsi="Times New Roman" w:cs="Times New Roman"/>
          <w:szCs w:val="21"/>
        </w:rPr>
      </w:pPr>
      <w:r w:rsidRPr="00C06E78">
        <w:rPr>
          <w:rFonts w:ascii="Times New Roman" w:hAnsi="Times New Roman" w:cs="Times New Roman"/>
          <w:szCs w:val="21"/>
        </w:rPr>
        <w:t>(2) Integrate risk controls, such as stop-loss rules and hybrid factor approaches. Validate results against the academic paper’s findings to assess reproducibility in extended samples.</w:t>
      </w:r>
    </w:p>
    <w:p w14:paraId="77E2B1C4" w14:textId="77777777" w:rsidR="00D55EED" w:rsidRPr="00C06E78" w:rsidRDefault="00E529F5" w:rsidP="00A9075F">
      <w:pPr>
        <w:jc w:val="both"/>
        <w:rPr>
          <w:rFonts w:ascii="Times New Roman" w:hAnsi="Times New Roman" w:cs="Times New Roman"/>
          <w:szCs w:val="21"/>
        </w:rPr>
      </w:pPr>
      <w:r w:rsidRPr="00C06E78">
        <w:rPr>
          <w:rFonts w:ascii="Times New Roman" w:hAnsi="Times New Roman" w:cs="Times New Roman"/>
          <w:szCs w:val="21"/>
        </w:rPr>
        <w:t xml:space="preserve">But all in all, this aligns with </w:t>
      </w:r>
      <w:proofErr w:type="spellStart"/>
      <w:r w:rsidRPr="00C06E78">
        <w:rPr>
          <w:rFonts w:ascii="Times New Roman" w:hAnsi="Times New Roman" w:cs="Times New Roman"/>
          <w:szCs w:val="21"/>
        </w:rPr>
        <w:t>Jegadeesh</w:t>
      </w:r>
      <w:proofErr w:type="spellEnd"/>
      <w:r w:rsidRPr="00C06E78">
        <w:rPr>
          <w:rFonts w:ascii="Times New Roman" w:hAnsi="Times New Roman" w:cs="Times New Roman"/>
          <w:szCs w:val="21"/>
        </w:rPr>
        <w:t xml:space="preserve"> and Titman’s (1993) core findings while highlighting modern challenges like regime shifts and factor crowding.</w:t>
      </w:r>
    </w:p>
    <w:bookmarkEnd w:id="5"/>
    <w:p w14:paraId="4ECAA104" w14:textId="10FABA0E" w:rsidR="00796644" w:rsidRPr="00C06E78" w:rsidRDefault="00796644" w:rsidP="00A9075F">
      <w:pPr>
        <w:pStyle w:val="ae"/>
        <w:numPr>
          <w:ilvl w:val="1"/>
          <w:numId w:val="6"/>
        </w:numPr>
        <w:ind w:hanging="654"/>
        <w:jc w:val="both"/>
        <w:rPr>
          <w:rFonts w:ascii="Times New Roman" w:hAnsi="Times New Roman" w:cs="Times New Roman"/>
          <w:b/>
          <w:sz w:val="32"/>
          <w:szCs w:val="32"/>
        </w:rPr>
      </w:pPr>
      <w:r w:rsidRPr="00C06E78">
        <w:rPr>
          <w:rFonts w:ascii="Times New Roman" w:hAnsi="Times New Roman" w:cs="Times New Roman"/>
          <w:b/>
          <w:sz w:val="32"/>
          <w:szCs w:val="32"/>
        </w:rPr>
        <w:t>Performance measurement</w:t>
      </w:r>
      <w:r w:rsidR="005271D1" w:rsidRPr="00C06E78">
        <w:rPr>
          <w:rFonts w:ascii="Times New Roman" w:hAnsi="Times New Roman" w:cs="Times New Roman"/>
          <w:b/>
          <w:sz w:val="32"/>
          <w:szCs w:val="32"/>
        </w:rPr>
        <w:t xml:space="preserve"> &amp; Risk management</w:t>
      </w:r>
    </w:p>
    <w:p w14:paraId="4E8FF72F" w14:textId="77777777" w:rsidR="00CB5363" w:rsidRPr="00C06E78" w:rsidRDefault="00CB5363" w:rsidP="0051756F">
      <w:pPr>
        <w:ind w:firstLineChars="200" w:firstLine="440"/>
        <w:jc w:val="both"/>
        <w:rPr>
          <w:rFonts w:ascii="Times New Roman" w:hAnsi="Times New Roman" w:cs="Times New Roman"/>
          <w:szCs w:val="22"/>
        </w:rPr>
      </w:pPr>
      <w:bookmarkStart w:id="6" w:name="OLE_LINK15"/>
      <w:r w:rsidRPr="00C06E78">
        <w:rPr>
          <w:rFonts w:ascii="Times New Roman" w:hAnsi="Times New Roman" w:cs="Times New Roman"/>
          <w:szCs w:val="22"/>
        </w:rPr>
        <w:t xml:space="preserve">This strategy uses market excess returns and </w:t>
      </w:r>
      <w:proofErr w:type="spellStart"/>
      <w:r w:rsidRPr="00C06E78">
        <w:rPr>
          <w:rFonts w:ascii="Times New Roman" w:hAnsi="Times New Roman" w:cs="Times New Roman"/>
          <w:szCs w:val="22"/>
        </w:rPr>
        <w:t>Fama</w:t>
      </w:r>
      <w:proofErr w:type="spellEnd"/>
      <w:r w:rsidRPr="00C06E78">
        <w:rPr>
          <w:rFonts w:ascii="Times New Roman" w:hAnsi="Times New Roman" w:cs="Times New Roman"/>
          <w:szCs w:val="22"/>
        </w:rPr>
        <w:t xml:space="preserve"> French five factors (Market, SMB, HML, RMW, CMA) and momentum factor (UMD) as benchmarks to conduct multi factor regression on monthly excess returns of the strategy and test the statistical significance of alpha.</w:t>
      </w:r>
    </w:p>
    <w:p w14:paraId="040AB306" w14:textId="77777777" w:rsidR="00CB5363" w:rsidRPr="00C06E78" w:rsidRDefault="00CB5363" w:rsidP="0051756F">
      <w:pPr>
        <w:numPr>
          <w:ilvl w:val="0"/>
          <w:numId w:val="7"/>
        </w:numPr>
        <w:spacing w:after="0"/>
        <w:jc w:val="both"/>
        <w:rPr>
          <w:rFonts w:ascii="Times New Roman" w:eastAsia="宋体" w:hAnsi="Times New Roman" w:cs="Times New Roman"/>
          <w:b/>
          <w:szCs w:val="22"/>
          <w14:ligatures w14:val="none"/>
        </w:rPr>
      </w:pPr>
      <w:r w:rsidRPr="00C06E78">
        <w:rPr>
          <w:rFonts w:ascii="Times New Roman" w:eastAsia="宋体" w:hAnsi="Times New Roman" w:cs="Times New Roman"/>
          <w:b/>
          <w:szCs w:val="22"/>
          <w14:ligatures w14:val="none"/>
        </w:rPr>
        <w:t>Benchmark and Risk Factor Controls</w:t>
      </w:r>
    </w:p>
    <w:p w14:paraId="2982A4B4" w14:textId="77777777" w:rsidR="00CB5363" w:rsidRPr="00C06E78" w:rsidRDefault="00CB5363" w:rsidP="0051756F">
      <w:pPr>
        <w:numPr>
          <w:ilvl w:val="0"/>
          <w:numId w:val="8"/>
        </w:numPr>
        <w:spacing w:after="0"/>
        <w:jc w:val="both"/>
        <w:rPr>
          <w:rFonts w:ascii="Times New Roman" w:eastAsia="宋体" w:hAnsi="Times New Roman" w:cs="Times New Roman"/>
          <w:szCs w:val="22"/>
          <w14:ligatures w14:val="none"/>
        </w:rPr>
      </w:pPr>
      <w:bookmarkStart w:id="7" w:name="OLE_LINK9"/>
      <w:bookmarkStart w:id="8" w:name="OLE_LINK8"/>
      <w:r w:rsidRPr="00C06E78">
        <w:rPr>
          <w:rFonts w:ascii="Times New Roman" w:eastAsia="宋体" w:hAnsi="Times New Roman" w:cs="Times New Roman"/>
          <w:szCs w:val="22"/>
          <w14:ligatures w14:val="none"/>
        </w:rPr>
        <w:t>Basic principles:</w:t>
      </w:r>
    </w:p>
    <w:bookmarkEnd w:id="7"/>
    <w:bookmarkEnd w:id="8"/>
    <w:p w14:paraId="13F557B9"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 xml:space="preserve">We use market benchmark indices such as the Shanghai and Shenzhen 300 as comparison benchmarks. And use </w:t>
      </w:r>
      <w:proofErr w:type="spellStart"/>
      <w:r w:rsidRPr="00C06E78">
        <w:rPr>
          <w:rFonts w:ascii="Times New Roman" w:eastAsia="宋体" w:hAnsi="Times New Roman" w:cs="Times New Roman"/>
          <w:szCs w:val="22"/>
          <w14:ligatures w14:val="none"/>
        </w:rPr>
        <w:t>Fama</w:t>
      </w:r>
      <w:proofErr w:type="spellEnd"/>
      <w:r w:rsidRPr="00C06E78">
        <w:rPr>
          <w:rFonts w:ascii="Times New Roman" w:eastAsia="宋体" w:hAnsi="Times New Roman" w:cs="Times New Roman"/>
          <w:szCs w:val="22"/>
          <w14:ligatures w14:val="none"/>
        </w:rPr>
        <w:t xml:space="preserve"> French five factor plus momentum factor model (MKT, SMB, HML, RMW, CMA, UMD) to regress the monthly excess returns of the strategy, excluding the influence of systemic risk factors.</w:t>
      </w:r>
    </w:p>
    <w:p w14:paraId="46330EE0" w14:textId="77777777" w:rsidR="00CB5363" w:rsidRPr="00C06E78" w:rsidRDefault="00CB5363" w:rsidP="0051756F">
      <w:pPr>
        <w:numPr>
          <w:ilvl w:val="0"/>
          <w:numId w:val="8"/>
        </w:numPr>
        <w:spacing w:after="0"/>
        <w:jc w:val="both"/>
        <w:rPr>
          <w:rFonts w:ascii="Times New Roman" w:eastAsia="宋体" w:hAnsi="Times New Roman" w:cs="Times New Roman"/>
          <w:szCs w:val="22"/>
          <w14:ligatures w14:val="none"/>
        </w:rPr>
      </w:pPr>
      <w:bookmarkStart w:id="9" w:name="OLE_LINK48"/>
      <w:bookmarkStart w:id="10" w:name="OLE_LINK34"/>
      <w:bookmarkStart w:id="11" w:name="OLE_LINK35"/>
      <w:r w:rsidRPr="00C06E78">
        <w:rPr>
          <w:rFonts w:ascii="Times New Roman" w:eastAsia="宋体" w:hAnsi="Times New Roman" w:cs="Times New Roman"/>
          <w:szCs w:val="22"/>
          <w14:ligatures w14:val="none"/>
        </w:rPr>
        <w:t>Display results generated by R code</w:t>
      </w:r>
      <w:r w:rsidRPr="00C06E78">
        <w:rPr>
          <w:rFonts w:ascii="Times New Roman" w:eastAsia="宋体" w:hAnsi="Times New Roman" w:cs="Times New Roman"/>
          <w:szCs w:val="22"/>
          <w14:ligatures w14:val="none"/>
        </w:rPr>
        <w:t>：</w:t>
      </w:r>
    </w:p>
    <w:p w14:paraId="2FCE89D5" w14:textId="77777777" w:rsidR="00CB5363" w:rsidRPr="00C06E78" w:rsidRDefault="00CB5363" w:rsidP="0051756F">
      <w:pPr>
        <w:pStyle w:val="ae"/>
        <w:numPr>
          <w:ilvl w:val="0"/>
          <w:numId w:val="12"/>
        </w:numPr>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Regression result</w:t>
      </w:r>
      <w:r w:rsidRPr="00C06E78">
        <w:rPr>
          <w:rFonts w:ascii="Times New Roman" w:eastAsia="宋体" w:hAnsi="Times New Roman" w:cs="Times New Roman"/>
          <w:szCs w:val="22"/>
          <w14:ligatures w14:val="none"/>
        </w:rPr>
        <w:t>：</w:t>
      </w:r>
    </w:p>
    <w:p w14:paraId="218A7DC8" w14:textId="77777777" w:rsidR="00CB5363" w:rsidRPr="00C06E78" w:rsidRDefault="00CB5363" w:rsidP="0051756F">
      <w:pPr>
        <w:spacing w:after="0"/>
        <w:ind w:left="360"/>
        <w:jc w:val="both"/>
        <w:rPr>
          <w:rFonts w:ascii="Times New Roman" w:eastAsia="宋体" w:hAnsi="Times New Roman" w:cs="Times New Roman"/>
          <w:color w:val="000000"/>
          <w:kern w:val="0"/>
          <w:szCs w:val="22"/>
          <w14:ligatures w14:val="none"/>
        </w:rPr>
      </w:pPr>
      <m:oMathPara>
        <m:oMathParaPr>
          <m:jc m:val="left"/>
        </m:oMathParaPr>
        <m:oMath>
          <m:r>
            <m:rPr>
              <m:sty m:val="p"/>
            </m:rPr>
            <w:rPr>
              <w:rFonts w:ascii="Cambria Math" w:eastAsia="宋体" w:hAnsi="Cambria Math" w:cs="Times New Roman"/>
              <w:color w:val="000000"/>
              <w:kern w:val="0"/>
              <w:szCs w:val="22"/>
              <w14:ligatures w14:val="none"/>
            </w:rPr>
            <m:t>strategy_return</m:t>
          </m:r>
          <m:r>
            <m:rPr>
              <m:sty m:val="p"/>
            </m:rPr>
            <w:rPr>
              <w:rFonts w:ascii="Cambria Math" w:eastAsia="宋体" w:hAnsi="Cambria Math" w:cs="Times New Roman"/>
              <w:szCs w:val="22"/>
              <w14:ligatures w14:val="none"/>
            </w:rPr>
            <m:t xml:space="preserve">~ </m:t>
          </m:r>
          <m:r>
            <m:rPr>
              <m:sty m:val="p"/>
            </m:rPr>
            <w:rPr>
              <w:rFonts w:ascii="Cambria Math" w:eastAsia="宋体" w:hAnsi="Cambria Math" w:cs="Times New Roman"/>
              <w:color w:val="000000"/>
              <w:kern w:val="0"/>
              <w:szCs w:val="22"/>
              <w14:ligatures w14:val="none"/>
            </w:rPr>
            <m:t>ret_benchmark</m:t>
          </m:r>
        </m:oMath>
      </m:oMathPara>
    </w:p>
    <w:tbl>
      <w:tblPr>
        <w:tblStyle w:val="14"/>
        <w:tblW w:w="0" w:type="auto"/>
        <w:jc w:val="center"/>
        <w:tblLook w:val="04A0" w:firstRow="1" w:lastRow="0" w:firstColumn="1" w:lastColumn="0" w:noHBand="0" w:noVBand="1"/>
      </w:tblPr>
      <w:tblGrid>
        <w:gridCol w:w="1536"/>
        <w:gridCol w:w="1115"/>
        <w:gridCol w:w="1041"/>
        <w:gridCol w:w="809"/>
        <w:gridCol w:w="931"/>
      </w:tblGrid>
      <w:tr w:rsidR="00CB5363" w:rsidRPr="00C06E78" w14:paraId="224B6E14"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tcPr>
          <w:p w14:paraId="59082D7C" w14:textId="77777777" w:rsidR="00CB5363" w:rsidRPr="00C06E78" w:rsidRDefault="00CB5363" w:rsidP="0051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宋体" w:hAnsi="Times New Roman"/>
                <w:color w:val="000000"/>
                <w:kern w:val="0"/>
                <w:szCs w:val="22"/>
                <w14:ligatures w14:val="none"/>
              </w:rPr>
            </w:pPr>
          </w:p>
        </w:tc>
        <w:tc>
          <w:tcPr>
            <w:tcW w:w="0" w:type="auto"/>
            <w:tcBorders>
              <w:top w:val="single" w:sz="4" w:space="0" w:color="auto"/>
              <w:left w:val="single" w:sz="4" w:space="0" w:color="auto"/>
              <w:bottom w:val="single" w:sz="4" w:space="0" w:color="auto"/>
              <w:right w:val="single" w:sz="4" w:space="0" w:color="auto"/>
            </w:tcBorders>
            <w:hideMark/>
          </w:tcPr>
          <w:p w14:paraId="29C5C0FF" w14:textId="77777777" w:rsidR="00CB5363" w:rsidRPr="00C06E78" w:rsidRDefault="00CB5363" w:rsidP="0051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20" w:hangingChars="100" w:hanging="22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Estimate</w:t>
            </w:r>
          </w:p>
        </w:tc>
        <w:tc>
          <w:tcPr>
            <w:tcW w:w="0" w:type="auto"/>
            <w:tcBorders>
              <w:top w:val="single" w:sz="4" w:space="0" w:color="auto"/>
              <w:left w:val="single" w:sz="4" w:space="0" w:color="auto"/>
              <w:bottom w:val="single" w:sz="4" w:space="0" w:color="auto"/>
              <w:right w:val="single" w:sz="4" w:space="0" w:color="auto"/>
            </w:tcBorders>
            <w:hideMark/>
          </w:tcPr>
          <w:p w14:paraId="2289AD09" w14:textId="77777777" w:rsidR="00CB5363" w:rsidRPr="00C06E78" w:rsidRDefault="00CB5363" w:rsidP="0051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宋体" w:hAnsi="Times New Roman"/>
                <w:color w:val="000000"/>
                <w:kern w:val="0"/>
                <w:szCs w:val="22"/>
                <w14:ligatures w14:val="none"/>
              </w:rPr>
            </w:pPr>
            <w:proofErr w:type="spellStart"/>
            <w:r w:rsidRPr="00C06E78">
              <w:rPr>
                <w:rFonts w:ascii="Times New Roman" w:eastAsia="宋体" w:hAnsi="Times New Roman"/>
                <w:color w:val="000000"/>
                <w:kern w:val="0"/>
                <w:szCs w:val="22"/>
                <w14:ligatures w14:val="none"/>
              </w:rPr>
              <w:t>Std.Error</w:t>
            </w:r>
            <w:proofErr w:type="spellEnd"/>
            <w:r w:rsidRPr="00C06E78">
              <w:rPr>
                <w:rFonts w:ascii="Times New Roman" w:eastAsia="宋体" w:hAnsi="Times New Roman"/>
                <w:color w:val="000000"/>
                <w:kern w:val="0"/>
                <w:szCs w:val="22"/>
                <w14:ligatures w14:val="none"/>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6C0072B" w14:textId="77777777" w:rsidR="00CB5363" w:rsidRPr="00C06E78" w:rsidRDefault="00CB5363" w:rsidP="0051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t value</w:t>
            </w:r>
          </w:p>
        </w:tc>
        <w:tc>
          <w:tcPr>
            <w:tcW w:w="0" w:type="auto"/>
            <w:tcBorders>
              <w:top w:val="single" w:sz="4" w:space="0" w:color="auto"/>
              <w:left w:val="single" w:sz="4" w:space="0" w:color="auto"/>
              <w:bottom w:val="single" w:sz="4" w:space="0" w:color="auto"/>
              <w:right w:val="single" w:sz="4" w:space="0" w:color="auto"/>
            </w:tcBorders>
            <w:hideMark/>
          </w:tcPr>
          <w:p w14:paraId="5FDFA861" w14:textId="77777777" w:rsidR="00CB5363" w:rsidRPr="00C06E78" w:rsidRDefault="00CB5363" w:rsidP="0051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宋体" w:hAnsi="Times New Roman"/>
                <w:color w:val="000000"/>
                <w:kern w:val="0"/>
                <w:szCs w:val="22"/>
                <w14:ligatures w14:val="none"/>
              </w:rPr>
            </w:pPr>
            <w:proofErr w:type="spellStart"/>
            <w:r w:rsidRPr="00C06E78">
              <w:rPr>
                <w:rFonts w:ascii="Times New Roman" w:eastAsia="宋体" w:hAnsi="Times New Roman"/>
                <w:color w:val="000000"/>
                <w:kern w:val="0"/>
                <w:szCs w:val="22"/>
                <w14:ligatures w14:val="none"/>
              </w:rPr>
              <w:t>Pr</w:t>
            </w:r>
            <w:proofErr w:type="spellEnd"/>
            <w:r w:rsidRPr="00C06E78">
              <w:rPr>
                <w:rFonts w:ascii="Times New Roman" w:eastAsia="宋体" w:hAnsi="Times New Roman"/>
                <w:color w:val="000000"/>
                <w:kern w:val="0"/>
                <w:szCs w:val="22"/>
                <w14:ligatures w14:val="none"/>
              </w:rPr>
              <w:t>(&gt;|t|)</w:t>
            </w:r>
          </w:p>
        </w:tc>
      </w:tr>
      <w:tr w:rsidR="00CB5363" w:rsidRPr="00C06E78" w14:paraId="18D2C361"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42CAAAC4" w14:textId="77777777" w:rsidR="00CB5363" w:rsidRPr="00C06E78" w:rsidRDefault="00CB5363" w:rsidP="0051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(Intercept)</w:t>
            </w:r>
          </w:p>
        </w:tc>
        <w:tc>
          <w:tcPr>
            <w:tcW w:w="0" w:type="auto"/>
            <w:tcBorders>
              <w:top w:val="single" w:sz="4" w:space="0" w:color="auto"/>
              <w:left w:val="single" w:sz="4" w:space="0" w:color="auto"/>
              <w:bottom w:val="single" w:sz="4" w:space="0" w:color="auto"/>
              <w:right w:val="single" w:sz="4" w:space="0" w:color="auto"/>
            </w:tcBorders>
            <w:hideMark/>
          </w:tcPr>
          <w:p w14:paraId="7405EF33" w14:textId="77777777" w:rsidR="00CB5363" w:rsidRPr="00C06E78" w:rsidRDefault="00CB5363" w:rsidP="0051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0.006118</w:t>
            </w:r>
          </w:p>
        </w:tc>
        <w:tc>
          <w:tcPr>
            <w:tcW w:w="0" w:type="auto"/>
            <w:tcBorders>
              <w:top w:val="single" w:sz="4" w:space="0" w:color="auto"/>
              <w:left w:val="single" w:sz="4" w:space="0" w:color="auto"/>
              <w:bottom w:val="single" w:sz="4" w:space="0" w:color="auto"/>
              <w:right w:val="single" w:sz="4" w:space="0" w:color="auto"/>
            </w:tcBorders>
            <w:hideMark/>
          </w:tcPr>
          <w:p w14:paraId="22B67B1B" w14:textId="77777777" w:rsidR="00CB5363" w:rsidRPr="00C06E78" w:rsidRDefault="00CB5363" w:rsidP="0051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0.002092</w:t>
            </w:r>
          </w:p>
        </w:tc>
        <w:tc>
          <w:tcPr>
            <w:tcW w:w="0" w:type="auto"/>
            <w:tcBorders>
              <w:top w:val="single" w:sz="4" w:space="0" w:color="auto"/>
              <w:left w:val="single" w:sz="4" w:space="0" w:color="auto"/>
              <w:bottom w:val="single" w:sz="4" w:space="0" w:color="auto"/>
              <w:right w:val="single" w:sz="4" w:space="0" w:color="auto"/>
            </w:tcBorders>
            <w:hideMark/>
          </w:tcPr>
          <w:p w14:paraId="4D9D6CC9" w14:textId="77777777" w:rsidR="00CB5363" w:rsidRPr="00C06E78" w:rsidRDefault="00CB5363" w:rsidP="0051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2.925</w:t>
            </w:r>
          </w:p>
        </w:tc>
        <w:tc>
          <w:tcPr>
            <w:tcW w:w="0" w:type="auto"/>
            <w:tcBorders>
              <w:top w:val="single" w:sz="4" w:space="0" w:color="auto"/>
              <w:left w:val="single" w:sz="4" w:space="0" w:color="auto"/>
              <w:bottom w:val="single" w:sz="4" w:space="0" w:color="auto"/>
              <w:right w:val="single" w:sz="4" w:space="0" w:color="auto"/>
            </w:tcBorders>
            <w:hideMark/>
          </w:tcPr>
          <w:p w14:paraId="2B633AC8" w14:textId="77777777" w:rsidR="00CB5363" w:rsidRPr="00C06E78" w:rsidRDefault="00CB5363" w:rsidP="0051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0.00373</w:t>
            </w:r>
          </w:p>
        </w:tc>
      </w:tr>
      <w:tr w:rsidR="00CB5363" w:rsidRPr="00C06E78" w14:paraId="5A39C460"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689E26F8" w14:textId="77777777" w:rsidR="00CB5363" w:rsidRPr="00C06E78" w:rsidRDefault="00CB5363" w:rsidP="0051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宋体" w:hAnsi="Times New Roman"/>
                <w:color w:val="000000"/>
                <w:kern w:val="0"/>
                <w:szCs w:val="22"/>
                <w14:ligatures w14:val="none"/>
              </w:rPr>
            </w:pPr>
            <w:proofErr w:type="spellStart"/>
            <w:r w:rsidRPr="00C06E78">
              <w:rPr>
                <w:rFonts w:ascii="Times New Roman" w:eastAsia="宋体" w:hAnsi="Times New Roman"/>
                <w:color w:val="000000"/>
                <w:kern w:val="0"/>
                <w:szCs w:val="22"/>
                <w14:ligatures w14:val="none"/>
              </w:rPr>
              <w:t>ret_benchmark</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649E3EB" w14:textId="77777777" w:rsidR="00CB5363" w:rsidRPr="00C06E78" w:rsidRDefault="00CB5363" w:rsidP="0051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-0.062118</w:t>
            </w:r>
          </w:p>
        </w:tc>
        <w:tc>
          <w:tcPr>
            <w:tcW w:w="0" w:type="auto"/>
            <w:tcBorders>
              <w:top w:val="single" w:sz="4" w:space="0" w:color="auto"/>
              <w:left w:val="single" w:sz="4" w:space="0" w:color="auto"/>
              <w:bottom w:val="single" w:sz="4" w:space="0" w:color="auto"/>
              <w:right w:val="single" w:sz="4" w:space="0" w:color="auto"/>
            </w:tcBorders>
            <w:hideMark/>
          </w:tcPr>
          <w:p w14:paraId="2BB97076" w14:textId="77777777" w:rsidR="00CB5363" w:rsidRPr="00C06E78" w:rsidRDefault="00CB5363" w:rsidP="0051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0.029289</w:t>
            </w:r>
          </w:p>
        </w:tc>
        <w:tc>
          <w:tcPr>
            <w:tcW w:w="0" w:type="auto"/>
            <w:tcBorders>
              <w:top w:val="single" w:sz="4" w:space="0" w:color="auto"/>
              <w:left w:val="single" w:sz="4" w:space="0" w:color="auto"/>
              <w:bottom w:val="single" w:sz="4" w:space="0" w:color="auto"/>
              <w:right w:val="single" w:sz="4" w:space="0" w:color="auto"/>
            </w:tcBorders>
            <w:hideMark/>
          </w:tcPr>
          <w:p w14:paraId="041C1A4A" w14:textId="77777777" w:rsidR="00CB5363" w:rsidRPr="00C06E78" w:rsidRDefault="00CB5363" w:rsidP="0051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-2.121</w:t>
            </w:r>
          </w:p>
        </w:tc>
        <w:tc>
          <w:tcPr>
            <w:tcW w:w="0" w:type="auto"/>
            <w:tcBorders>
              <w:top w:val="single" w:sz="4" w:space="0" w:color="auto"/>
              <w:left w:val="single" w:sz="4" w:space="0" w:color="auto"/>
              <w:bottom w:val="single" w:sz="4" w:space="0" w:color="auto"/>
              <w:right w:val="single" w:sz="4" w:space="0" w:color="auto"/>
            </w:tcBorders>
            <w:hideMark/>
          </w:tcPr>
          <w:p w14:paraId="45293DEF" w14:textId="77777777" w:rsidR="00CB5363" w:rsidRPr="00C06E78" w:rsidRDefault="00CB5363" w:rsidP="00517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0.03482</w:t>
            </w:r>
          </w:p>
        </w:tc>
      </w:tr>
    </w:tbl>
    <w:p w14:paraId="752F8CCF" w14:textId="77777777" w:rsidR="00CB5363" w:rsidRPr="00C06E78" w:rsidRDefault="00CB5363" w:rsidP="00517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Multiple R-squared:  0.01604,</w:t>
      </w:r>
      <w:r w:rsidRPr="00C06E78">
        <w:rPr>
          <w:rFonts w:ascii="Times New Roman" w:eastAsia="宋体" w:hAnsi="Times New Roman" w:cs="Times New Roman"/>
          <w:color w:val="000000"/>
          <w:kern w:val="0"/>
          <w:szCs w:val="22"/>
          <w14:ligatures w14:val="none"/>
        </w:rPr>
        <w:tab/>
        <w:t xml:space="preserve">Adjusted R-squared:  0.01247 </w:t>
      </w:r>
    </w:p>
    <w:p w14:paraId="3C39DDA8" w14:textId="2DE99AAC" w:rsidR="00CB5363" w:rsidRPr="00C06E78" w:rsidRDefault="00CB5363" w:rsidP="00517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 xml:space="preserve">F-statistic: 4.498 on 1 and 276 </w:t>
      </w:r>
      <w:r w:rsidR="00847F55" w:rsidRPr="00C06E78">
        <w:rPr>
          <w:rFonts w:ascii="Times New Roman" w:eastAsia="宋体" w:hAnsi="Times New Roman" w:cs="Times New Roman"/>
          <w:color w:val="000000"/>
          <w:kern w:val="0"/>
          <w:szCs w:val="22"/>
          <w14:ligatures w14:val="none"/>
        </w:rPr>
        <w:t>DF, p</w:t>
      </w:r>
      <w:r w:rsidRPr="00C06E78">
        <w:rPr>
          <w:rFonts w:ascii="Times New Roman" w:eastAsia="宋体" w:hAnsi="Times New Roman" w:cs="Times New Roman"/>
          <w:color w:val="000000"/>
          <w:kern w:val="0"/>
          <w:szCs w:val="22"/>
          <w14:ligatures w14:val="none"/>
        </w:rPr>
        <w:t>-value: 0.03482</w:t>
      </w:r>
    </w:p>
    <w:p w14:paraId="12F944A2" w14:textId="77777777" w:rsidR="00CB5363" w:rsidRPr="00C06E78" w:rsidRDefault="00CB5363" w:rsidP="00517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宋体" w:hAnsi="Times New Roman" w:cs="Times New Roman"/>
          <w:color w:val="000000"/>
          <w:kern w:val="0"/>
          <w:szCs w:val="22"/>
          <w14:ligatures w14:val="none"/>
        </w:rPr>
      </w:pPr>
    </w:p>
    <w:p w14:paraId="7FCAC314" w14:textId="77777777" w:rsidR="00CB5363" w:rsidRPr="00C06E78" w:rsidRDefault="00CB5363" w:rsidP="0051756F">
      <w:pPr>
        <w:pStyle w:val="ae"/>
        <w:widowControl/>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宋体" w:hAnsi="Times New Roman" w:cs="Times New Roman"/>
          <w:kern w:val="0"/>
          <w:szCs w:val="22"/>
          <w14:ligatures w14:val="none"/>
        </w:rPr>
      </w:pPr>
      <w:r w:rsidRPr="00C06E78">
        <w:rPr>
          <w:rFonts w:ascii="Times New Roman" w:eastAsia="宋体" w:hAnsi="Times New Roman" w:cs="Times New Roman"/>
          <w:kern w:val="0"/>
          <w:szCs w:val="22"/>
          <w14:ligatures w14:val="none"/>
        </w:rPr>
        <w:t>Summary of Performance Indicators</w:t>
      </w:r>
      <w:r w:rsidRPr="00C06E78">
        <w:rPr>
          <w:rFonts w:ascii="Times New Roman" w:eastAsia="宋体" w:hAnsi="Times New Roman" w:cs="Times New Roman"/>
          <w:kern w:val="0"/>
          <w:szCs w:val="22"/>
          <w14:ligatures w14:val="none"/>
        </w:rPr>
        <w:t>：</w:t>
      </w:r>
    </w:p>
    <w:tbl>
      <w:tblPr>
        <w:tblStyle w:val="14"/>
        <w:tblW w:w="0" w:type="auto"/>
        <w:jc w:val="center"/>
        <w:tblLook w:val="04A0" w:firstRow="1" w:lastRow="0" w:firstColumn="1" w:lastColumn="0" w:noHBand="0" w:noVBand="1"/>
      </w:tblPr>
      <w:tblGrid>
        <w:gridCol w:w="2694"/>
        <w:gridCol w:w="2037"/>
        <w:gridCol w:w="1536"/>
      </w:tblGrid>
      <w:tr w:rsidR="00CB5363" w:rsidRPr="00C06E78" w14:paraId="6FBFE060" w14:textId="77777777" w:rsidTr="007130DC">
        <w:trPr>
          <w:jc w:val="center"/>
        </w:trPr>
        <w:tc>
          <w:tcPr>
            <w:tcW w:w="2694" w:type="dxa"/>
            <w:tcBorders>
              <w:top w:val="single" w:sz="4" w:space="0" w:color="auto"/>
              <w:left w:val="single" w:sz="4" w:space="0" w:color="auto"/>
              <w:bottom w:val="single" w:sz="4" w:space="0" w:color="auto"/>
              <w:right w:val="single" w:sz="4" w:space="0" w:color="auto"/>
            </w:tcBorders>
          </w:tcPr>
          <w:p w14:paraId="20AADA5E"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p>
        </w:tc>
        <w:tc>
          <w:tcPr>
            <w:tcW w:w="2037" w:type="dxa"/>
            <w:tcBorders>
              <w:top w:val="single" w:sz="4" w:space="0" w:color="auto"/>
              <w:left w:val="single" w:sz="4" w:space="0" w:color="auto"/>
              <w:bottom w:val="single" w:sz="4" w:space="0" w:color="auto"/>
              <w:right w:val="single" w:sz="4" w:space="0" w:color="auto"/>
            </w:tcBorders>
            <w:hideMark/>
          </w:tcPr>
          <w:p w14:paraId="5588049D"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bookmarkStart w:id="12" w:name="OLE_LINK6"/>
            <w:proofErr w:type="spellStart"/>
            <w:r w:rsidRPr="00C06E78">
              <w:rPr>
                <w:rFonts w:ascii="Times New Roman" w:eastAsia="宋体" w:hAnsi="Times New Roman"/>
                <w:color w:val="000000"/>
                <w:kern w:val="0"/>
                <w:szCs w:val="22"/>
                <w14:ligatures w14:val="none"/>
              </w:rPr>
              <w:t>strategy_return</w:t>
            </w:r>
            <w:bookmarkEnd w:id="12"/>
            <w:proofErr w:type="spellEnd"/>
          </w:p>
        </w:tc>
        <w:tc>
          <w:tcPr>
            <w:tcW w:w="0" w:type="auto"/>
            <w:tcBorders>
              <w:top w:val="single" w:sz="4" w:space="0" w:color="auto"/>
              <w:left w:val="single" w:sz="4" w:space="0" w:color="auto"/>
              <w:bottom w:val="single" w:sz="4" w:space="0" w:color="auto"/>
              <w:right w:val="single" w:sz="4" w:space="0" w:color="auto"/>
            </w:tcBorders>
            <w:hideMark/>
          </w:tcPr>
          <w:p w14:paraId="5E25EB47"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bookmarkStart w:id="13" w:name="OLE_LINK7"/>
            <w:bookmarkStart w:id="14" w:name="OLE_LINK10"/>
            <w:proofErr w:type="spellStart"/>
            <w:r w:rsidRPr="00C06E78">
              <w:rPr>
                <w:rFonts w:ascii="Times New Roman" w:eastAsia="宋体" w:hAnsi="Times New Roman"/>
                <w:color w:val="000000"/>
                <w:kern w:val="0"/>
                <w:szCs w:val="22"/>
                <w14:ligatures w14:val="none"/>
              </w:rPr>
              <w:t>ret_benchmark</w:t>
            </w:r>
            <w:bookmarkEnd w:id="13"/>
            <w:bookmarkEnd w:id="14"/>
            <w:proofErr w:type="spellEnd"/>
          </w:p>
        </w:tc>
      </w:tr>
      <w:tr w:rsidR="00CB5363" w:rsidRPr="00C06E78" w14:paraId="6E66AD67" w14:textId="77777777" w:rsidTr="007130DC">
        <w:trPr>
          <w:jc w:val="center"/>
        </w:trPr>
        <w:tc>
          <w:tcPr>
            <w:tcW w:w="2694" w:type="dxa"/>
            <w:tcBorders>
              <w:top w:val="single" w:sz="4" w:space="0" w:color="auto"/>
              <w:left w:val="single" w:sz="4" w:space="0" w:color="auto"/>
              <w:bottom w:val="single" w:sz="4" w:space="0" w:color="auto"/>
              <w:right w:val="single" w:sz="4" w:space="0" w:color="auto"/>
            </w:tcBorders>
            <w:hideMark/>
          </w:tcPr>
          <w:p w14:paraId="2F0FBE0F"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Annualized Return</w:t>
            </w:r>
          </w:p>
        </w:tc>
        <w:tc>
          <w:tcPr>
            <w:tcW w:w="2037" w:type="dxa"/>
            <w:tcBorders>
              <w:top w:val="single" w:sz="4" w:space="0" w:color="auto"/>
              <w:left w:val="single" w:sz="4" w:space="0" w:color="auto"/>
              <w:bottom w:val="single" w:sz="4" w:space="0" w:color="auto"/>
              <w:right w:val="single" w:sz="4" w:space="0" w:color="auto"/>
            </w:tcBorders>
            <w:hideMark/>
          </w:tcPr>
          <w:p w14:paraId="09FB109B"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0.0642</w:t>
            </w:r>
          </w:p>
        </w:tc>
        <w:tc>
          <w:tcPr>
            <w:tcW w:w="0" w:type="auto"/>
            <w:tcBorders>
              <w:top w:val="single" w:sz="4" w:space="0" w:color="auto"/>
              <w:left w:val="single" w:sz="4" w:space="0" w:color="auto"/>
              <w:bottom w:val="single" w:sz="4" w:space="0" w:color="auto"/>
              <w:right w:val="single" w:sz="4" w:space="0" w:color="auto"/>
            </w:tcBorders>
            <w:hideMark/>
          </w:tcPr>
          <w:p w14:paraId="7FB8C4E6"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0.0300</w:t>
            </w:r>
          </w:p>
        </w:tc>
      </w:tr>
      <w:tr w:rsidR="00CB5363" w:rsidRPr="00C06E78" w14:paraId="1DE9B22A" w14:textId="77777777" w:rsidTr="007130DC">
        <w:trPr>
          <w:jc w:val="center"/>
        </w:trPr>
        <w:tc>
          <w:tcPr>
            <w:tcW w:w="2694" w:type="dxa"/>
            <w:tcBorders>
              <w:top w:val="single" w:sz="4" w:space="0" w:color="auto"/>
              <w:left w:val="single" w:sz="4" w:space="0" w:color="auto"/>
              <w:bottom w:val="single" w:sz="4" w:space="0" w:color="auto"/>
              <w:right w:val="single" w:sz="4" w:space="0" w:color="auto"/>
            </w:tcBorders>
            <w:hideMark/>
          </w:tcPr>
          <w:p w14:paraId="74174060"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Annualized Std Dev</w:t>
            </w:r>
          </w:p>
        </w:tc>
        <w:tc>
          <w:tcPr>
            <w:tcW w:w="2037" w:type="dxa"/>
            <w:tcBorders>
              <w:top w:val="single" w:sz="4" w:space="0" w:color="auto"/>
              <w:left w:val="single" w:sz="4" w:space="0" w:color="auto"/>
              <w:bottom w:val="single" w:sz="4" w:space="0" w:color="auto"/>
              <w:right w:val="single" w:sz="4" w:space="0" w:color="auto"/>
            </w:tcBorders>
            <w:hideMark/>
          </w:tcPr>
          <w:p w14:paraId="3B0D9BBC"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0.1213</w:t>
            </w:r>
          </w:p>
        </w:tc>
        <w:tc>
          <w:tcPr>
            <w:tcW w:w="0" w:type="auto"/>
            <w:tcBorders>
              <w:top w:val="single" w:sz="4" w:space="0" w:color="auto"/>
              <w:left w:val="single" w:sz="4" w:space="0" w:color="auto"/>
              <w:bottom w:val="single" w:sz="4" w:space="0" w:color="auto"/>
              <w:right w:val="single" w:sz="4" w:space="0" w:color="auto"/>
            </w:tcBorders>
            <w:hideMark/>
          </w:tcPr>
          <w:p w14:paraId="141C54B0"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0.2473</w:t>
            </w:r>
          </w:p>
        </w:tc>
      </w:tr>
      <w:tr w:rsidR="00CB5363" w:rsidRPr="00C06E78" w14:paraId="5880E8F8" w14:textId="77777777" w:rsidTr="007130DC">
        <w:trPr>
          <w:jc w:val="center"/>
        </w:trPr>
        <w:tc>
          <w:tcPr>
            <w:tcW w:w="2694" w:type="dxa"/>
            <w:tcBorders>
              <w:top w:val="single" w:sz="4" w:space="0" w:color="auto"/>
              <w:left w:val="single" w:sz="4" w:space="0" w:color="auto"/>
              <w:bottom w:val="single" w:sz="4" w:space="0" w:color="auto"/>
              <w:right w:val="single" w:sz="4" w:space="0" w:color="auto"/>
            </w:tcBorders>
            <w:hideMark/>
          </w:tcPr>
          <w:p w14:paraId="2964C103"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Annualized Sharpe ratio</w:t>
            </w:r>
          </w:p>
        </w:tc>
        <w:tc>
          <w:tcPr>
            <w:tcW w:w="2037" w:type="dxa"/>
            <w:tcBorders>
              <w:top w:val="single" w:sz="4" w:space="0" w:color="auto"/>
              <w:left w:val="single" w:sz="4" w:space="0" w:color="auto"/>
              <w:bottom w:val="single" w:sz="4" w:space="0" w:color="auto"/>
              <w:right w:val="single" w:sz="4" w:space="0" w:color="auto"/>
            </w:tcBorders>
            <w:hideMark/>
          </w:tcPr>
          <w:p w14:paraId="194D5C12"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0.5291</w:t>
            </w:r>
          </w:p>
        </w:tc>
        <w:tc>
          <w:tcPr>
            <w:tcW w:w="0" w:type="auto"/>
            <w:tcBorders>
              <w:top w:val="single" w:sz="4" w:space="0" w:color="auto"/>
              <w:left w:val="single" w:sz="4" w:space="0" w:color="auto"/>
              <w:bottom w:val="single" w:sz="4" w:space="0" w:color="auto"/>
              <w:right w:val="single" w:sz="4" w:space="0" w:color="auto"/>
            </w:tcBorders>
            <w:hideMark/>
          </w:tcPr>
          <w:p w14:paraId="47D1D90F"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0.1215</w:t>
            </w:r>
          </w:p>
        </w:tc>
      </w:tr>
    </w:tbl>
    <w:p w14:paraId="647647BC" w14:textId="77777777" w:rsidR="00CB5363" w:rsidRPr="00C06E78" w:rsidRDefault="00CB5363" w:rsidP="0051756F">
      <w:pPr>
        <w:pStyle w:val="ae"/>
        <w:numPr>
          <w:ilvl w:val="0"/>
          <w:numId w:val="12"/>
        </w:numPr>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lastRenderedPageBreak/>
        <w:t>Cumulative Income Comparison Chart:</w:t>
      </w:r>
    </w:p>
    <w:p w14:paraId="28AAE8BD" w14:textId="77777777" w:rsidR="00CB5363" w:rsidRPr="00C06E78" w:rsidRDefault="00CB5363" w:rsidP="00847F55">
      <w:pPr>
        <w:spacing w:after="0"/>
        <w:jc w:val="center"/>
        <w:rPr>
          <w:rFonts w:ascii="Times New Roman" w:eastAsia="宋体" w:hAnsi="Times New Roman" w:cs="Times New Roman"/>
          <w:szCs w:val="22"/>
          <w14:ligatures w14:val="none"/>
        </w:rPr>
      </w:pPr>
      <w:r w:rsidRPr="00C06E78">
        <w:rPr>
          <w:rFonts w:ascii="Times New Roman" w:eastAsia="宋体" w:hAnsi="Times New Roman" w:cs="Times New Roman"/>
          <w:noProof/>
          <w:szCs w:val="22"/>
          <w14:ligatures w14:val="none"/>
        </w:rPr>
        <w:drawing>
          <wp:inline distT="0" distB="0" distL="0" distR="0" wp14:anchorId="55D7D87A" wp14:editId="4EEC65C3">
            <wp:extent cx="4112957" cy="2532184"/>
            <wp:effectExtent l="0" t="0" r="190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55389" cy="2558308"/>
                    </a:xfrm>
                    <a:prstGeom prst="rect">
                      <a:avLst/>
                    </a:prstGeom>
                    <a:noFill/>
                    <a:ln>
                      <a:noFill/>
                    </a:ln>
                  </pic:spPr>
                </pic:pic>
              </a:graphicData>
            </a:graphic>
          </wp:inline>
        </w:drawing>
      </w:r>
    </w:p>
    <w:bookmarkEnd w:id="9"/>
    <w:bookmarkEnd w:id="10"/>
    <w:bookmarkEnd w:id="11"/>
    <w:p w14:paraId="3FAF74A6" w14:textId="77777777" w:rsidR="00CB5363" w:rsidRPr="00C06E78" w:rsidRDefault="00CB5363" w:rsidP="0051756F">
      <w:pPr>
        <w:numPr>
          <w:ilvl w:val="0"/>
          <w:numId w:val="8"/>
        </w:numPr>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Result description:</w:t>
      </w:r>
    </w:p>
    <w:p w14:paraId="491AE3EA" w14:textId="77777777" w:rsidR="00CB5363" w:rsidRPr="00C06E78" w:rsidRDefault="00894479" w:rsidP="0051756F">
      <w:pPr>
        <w:spacing w:after="0"/>
        <w:ind w:firstLineChars="100" w:firstLine="220"/>
        <w:jc w:val="both"/>
        <w:rPr>
          <w:rFonts w:ascii="Times New Roman" w:eastAsia="宋体" w:hAnsi="Times New Roman" w:cs="Times New Roman"/>
          <w:szCs w:val="22"/>
          <w14:ligatures w14:val="none"/>
        </w:rPr>
      </w:pPr>
      <w:bookmarkStart w:id="15" w:name="OLE_LINK1"/>
      <w:bookmarkStart w:id="16" w:name="OLE_LINK2"/>
      <w:bookmarkStart w:id="17" w:name="OLE_LINK21"/>
      <w:r w:rsidRPr="00C06E78">
        <w:rPr>
          <w:rFonts w:ascii="Times New Roman" w:eastAsia="宋体" w:hAnsi="Times New Roman" w:cs="Times New Roman"/>
          <w:szCs w:val="22"/>
          <w14:ligatures w14:val="none"/>
        </w:rPr>
        <w:t xml:space="preserve">1) </w:t>
      </w:r>
      <w:r w:rsidR="00CB5363" w:rsidRPr="00C06E78">
        <w:rPr>
          <w:rFonts w:ascii="Times New Roman" w:eastAsia="宋体" w:hAnsi="Times New Roman" w:cs="Times New Roman"/>
          <w:szCs w:val="22"/>
          <w14:ligatures w14:val="none"/>
        </w:rPr>
        <w:t>Regression result</w:t>
      </w:r>
      <w:bookmarkEnd w:id="15"/>
      <w:bookmarkEnd w:id="16"/>
      <w:r w:rsidR="00CB5363" w:rsidRPr="00C06E78">
        <w:rPr>
          <w:rFonts w:ascii="Times New Roman" w:eastAsia="宋体" w:hAnsi="Times New Roman" w:cs="Times New Roman"/>
          <w:szCs w:val="22"/>
          <w14:ligatures w14:val="none"/>
        </w:rPr>
        <w:t xml:space="preserve"> analysis</w:t>
      </w:r>
      <w:r w:rsidR="00CB5363" w:rsidRPr="00C06E78">
        <w:rPr>
          <w:rFonts w:ascii="Times New Roman" w:eastAsia="宋体" w:hAnsi="Times New Roman" w:cs="Times New Roman"/>
          <w:szCs w:val="22"/>
          <w14:ligatures w14:val="none"/>
        </w:rPr>
        <w:t>：</w:t>
      </w:r>
      <w:r w:rsidR="00CB5363" w:rsidRPr="00C06E78">
        <w:rPr>
          <w:rFonts w:ascii="Times New Roman" w:eastAsia="宋体" w:hAnsi="Times New Roman" w:cs="Times New Roman"/>
          <w:szCs w:val="22"/>
          <w14:ligatures w14:val="none"/>
        </w:rPr>
        <w:t>The intercept term is significantly positive (p&lt;0.01), indicating that after excluding the influence of benchmark returns, the strategy has a positive alpha (excess return), which means that the strategy still has significant and positive excess returns after controlling for benchmark risk. The benchmark return coefficient is negative and significant (p&lt;0.05), indicating a certain negative correlation between strategy returns and benchmark returns. The strategy may perform well when the benchmark performance is poor, demonstrating a certain defensive or hedging characteristic.</w:t>
      </w:r>
    </w:p>
    <w:p w14:paraId="27A65928" w14:textId="77777777" w:rsidR="00CB5363" w:rsidRPr="00C06E78" w:rsidRDefault="00894479" w:rsidP="0051756F">
      <w:pPr>
        <w:spacing w:after="0"/>
        <w:ind w:firstLineChars="100" w:firstLine="220"/>
        <w:jc w:val="both"/>
        <w:rPr>
          <w:rFonts w:ascii="Times New Roman" w:eastAsia="宋体" w:hAnsi="Times New Roman" w:cs="Times New Roman"/>
          <w:szCs w:val="22"/>
          <w14:ligatures w14:val="none"/>
        </w:rPr>
      </w:pPr>
      <w:bookmarkStart w:id="18" w:name="OLE_LINK3"/>
      <w:r w:rsidRPr="00C06E78">
        <w:rPr>
          <w:rFonts w:ascii="Times New Roman" w:eastAsia="宋体" w:hAnsi="Times New Roman" w:cs="Times New Roman"/>
          <w:szCs w:val="22"/>
          <w14:ligatures w14:val="none"/>
        </w:rPr>
        <w:t xml:space="preserve">2) </w:t>
      </w:r>
      <w:r w:rsidR="00CB5363" w:rsidRPr="00C06E78">
        <w:rPr>
          <w:rFonts w:ascii="Times New Roman" w:eastAsia="宋体" w:hAnsi="Times New Roman" w:cs="Times New Roman"/>
          <w:szCs w:val="22"/>
          <w14:ligatures w14:val="none"/>
        </w:rPr>
        <w:t>Summary of Performance Indicators</w:t>
      </w:r>
      <w:bookmarkEnd w:id="18"/>
      <w:r w:rsidR="00CB5363" w:rsidRPr="00C06E78">
        <w:rPr>
          <w:rFonts w:ascii="Times New Roman" w:eastAsia="宋体" w:hAnsi="Times New Roman" w:cs="Times New Roman"/>
          <w:szCs w:val="22"/>
          <w14:ligatures w14:val="none"/>
        </w:rPr>
        <w:t>：</w:t>
      </w:r>
      <w:r w:rsidR="00CB5363" w:rsidRPr="00C06E78">
        <w:rPr>
          <w:rFonts w:ascii="Times New Roman" w:eastAsia="宋体" w:hAnsi="Times New Roman" w:cs="Times New Roman"/>
          <w:szCs w:val="22"/>
          <w14:ligatures w14:val="none"/>
        </w:rPr>
        <w:t>The annualized return rate of the strategy is higher than the benchmark, and the volatility is significantly lower than the benchmark, indicating that the strategy has taken on lower risks while achieving higher returns. And the Sharpe ratio of the strategy is much higher than the benchmark, indicating that the return performance of the strategy is better under unit risk, and the risk adjusted return is more attractive.</w:t>
      </w:r>
    </w:p>
    <w:p w14:paraId="33B72282" w14:textId="77777777" w:rsidR="00CB5363" w:rsidRPr="00C06E78" w:rsidRDefault="00894479"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 xml:space="preserve">3) </w:t>
      </w:r>
      <w:r w:rsidR="00CB5363" w:rsidRPr="00C06E78">
        <w:rPr>
          <w:rFonts w:ascii="Times New Roman" w:eastAsia="宋体" w:hAnsi="Times New Roman" w:cs="Times New Roman"/>
          <w:szCs w:val="22"/>
          <w14:ligatures w14:val="none"/>
        </w:rPr>
        <w:t>Observation of Cumulative Income Comparison Chart: Firstly, the cumulative return curve of the strategy (blue line) is significantly higher than the benchmark (red line), and the overall performance is more stable and continues to grow. Secondly, the benchmark returns fluctuated greatly, especially during the 2008 financial crisis and the 2015 stock market volatility, with significant declines in the benchmark and relatively stable strategic performance. Finally, the strategy achieved a cumulative return of over 300% in the long term, significantly better than the benchmark's cumulative return of about 100%.</w:t>
      </w:r>
    </w:p>
    <w:p w14:paraId="7C7DE311" w14:textId="61C504EE" w:rsidR="00855DCF" w:rsidRPr="00C06E78" w:rsidRDefault="00855DCF" w:rsidP="0051756F">
      <w:pPr>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 xml:space="preserve">  The risk analysis reveals significant differences between the strategy and benchmark. The ​​benchmark​​ experienced a severe maximum drawdown of ​​-70.97%​​, indicating extreme downside risk during market downturns, while the ​​strategy​​ demonstrated much better capital preservation with a maximum drawdown of only ​​-26.43%​​. This suggests the strategy has more effective risk controls or a less volatile return profile. In terms of ​​Value at Risk (</w:t>
      </w:r>
      <w:proofErr w:type="spellStart"/>
      <w:r w:rsidRPr="00C06E78">
        <w:rPr>
          <w:rFonts w:ascii="Times New Roman" w:eastAsia="宋体" w:hAnsi="Times New Roman" w:cs="Times New Roman"/>
          <w:szCs w:val="22"/>
          <w14:ligatures w14:val="none"/>
        </w:rPr>
        <w:t>VaR</w:t>
      </w:r>
      <w:proofErr w:type="spellEnd"/>
      <w:r w:rsidRPr="00C06E78">
        <w:rPr>
          <w:rFonts w:ascii="Times New Roman" w:eastAsia="宋体" w:hAnsi="Times New Roman" w:cs="Times New Roman"/>
          <w:szCs w:val="22"/>
          <w14:ligatures w14:val="none"/>
        </w:rPr>
        <w:t xml:space="preserve">) at 95% confidence​​, the benchmark’s worst expected monthly loss was ​​-9.7%​​, compared to the </w:t>
      </w:r>
      <w:r w:rsidRPr="00C06E78">
        <w:rPr>
          <w:rFonts w:ascii="Times New Roman" w:eastAsia="宋体" w:hAnsi="Times New Roman" w:cs="Times New Roman"/>
          <w:szCs w:val="22"/>
          <w14:ligatures w14:val="none"/>
        </w:rPr>
        <w:lastRenderedPageBreak/>
        <w:t xml:space="preserve">strategy’s ​​-4.87%​​, reinforcing that the strategy carries substantially lower tail risk. The lower </w:t>
      </w:r>
      <w:proofErr w:type="spellStart"/>
      <w:r w:rsidRPr="00C06E78">
        <w:rPr>
          <w:rFonts w:ascii="Times New Roman" w:eastAsia="宋体" w:hAnsi="Times New Roman" w:cs="Times New Roman"/>
          <w:szCs w:val="22"/>
          <w14:ligatures w14:val="none"/>
        </w:rPr>
        <w:t>VaR</w:t>
      </w:r>
      <w:proofErr w:type="spellEnd"/>
      <w:r w:rsidRPr="00C06E78">
        <w:rPr>
          <w:rFonts w:ascii="Times New Roman" w:eastAsia="宋体" w:hAnsi="Times New Roman" w:cs="Times New Roman"/>
          <w:szCs w:val="22"/>
          <w14:ligatures w14:val="none"/>
        </w:rPr>
        <w:t xml:space="preserve"> aligns with the smaller drawdown, indicating more consistent performance with fewer extreme losses. The strategy appears ​​superior in risk management​​, offering better downside protection and lower extreme loss exposure than the benchmark. Investors prioritizing capital preservation may find the strategy more appealing, though further analysis of returns during market recoveries would help assess whether the reduced risk comes at the cost of missed upside potential.</w:t>
      </w:r>
    </w:p>
    <w:p w14:paraId="2440FF10" w14:textId="10B458E9" w:rsidR="008B090E" w:rsidRPr="00C06E78" w:rsidRDefault="008B090E" w:rsidP="00C460D5">
      <w:pPr>
        <w:spacing w:after="0"/>
        <w:jc w:val="center"/>
        <w:rPr>
          <w:rFonts w:ascii="Times New Roman" w:eastAsia="宋体" w:hAnsi="Times New Roman" w:cs="Times New Roman"/>
          <w:szCs w:val="22"/>
          <w14:ligatures w14:val="none"/>
        </w:rPr>
      </w:pPr>
      <w:r w:rsidRPr="00C06E78">
        <w:rPr>
          <w:rFonts w:ascii="Times New Roman" w:eastAsia="宋体" w:hAnsi="Times New Roman" w:cs="Times New Roman"/>
          <w:noProof/>
          <w:szCs w:val="22"/>
          <w14:ligatures w14:val="none"/>
        </w:rPr>
        <w:drawing>
          <wp:inline distT="0" distB="0" distL="0" distR="0" wp14:anchorId="71C39F69" wp14:editId="1934D5DA">
            <wp:extent cx="4579309" cy="3052689"/>
            <wp:effectExtent l="0" t="0" r="5715" b="0"/>
            <wp:docPr id="667013500" name="Picture 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13500" name="Picture 3" descr="A graph of different colored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92248" cy="3061315"/>
                    </a:xfrm>
                    <a:prstGeom prst="rect">
                      <a:avLst/>
                    </a:prstGeom>
                  </pic:spPr>
                </pic:pic>
              </a:graphicData>
            </a:graphic>
          </wp:inline>
        </w:drawing>
      </w:r>
    </w:p>
    <w:tbl>
      <w:tblPr>
        <w:tblStyle w:val="TableGrid1"/>
        <w:tblW w:w="0" w:type="auto"/>
        <w:tblLook w:val="04A0" w:firstRow="1" w:lastRow="0" w:firstColumn="1" w:lastColumn="0" w:noHBand="0" w:noVBand="1"/>
      </w:tblPr>
      <w:tblGrid>
        <w:gridCol w:w="2840"/>
        <w:gridCol w:w="2841"/>
        <w:gridCol w:w="2841"/>
      </w:tblGrid>
      <w:tr w:rsidR="00855DCF" w:rsidRPr="00C06E78" w14:paraId="04E691C8" w14:textId="77777777" w:rsidTr="00B27756">
        <w:tc>
          <w:tcPr>
            <w:tcW w:w="2840" w:type="dxa"/>
          </w:tcPr>
          <w:p w14:paraId="047CF2E6" w14:textId="77777777" w:rsidR="00855DCF" w:rsidRPr="00C06E78" w:rsidRDefault="00855DCF" w:rsidP="0051756F">
            <w:pPr>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Method</w:t>
            </w:r>
          </w:p>
        </w:tc>
        <w:tc>
          <w:tcPr>
            <w:tcW w:w="2841" w:type="dxa"/>
          </w:tcPr>
          <w:p w14:paraId="487F0E70" w14:textId="77777777" w:rsidR="00855DCF" w:rsidRPr="00C06E78" w:rsidRDefault="00855DCF" w:rsidP="0051756F">
            <w:pPr>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Maximum Drawdown</w:t>
            </w:r>
          </w:p>
        </w:tc>
        <w:tc>
          <w:tcPr>
            <w:tcW w:w="2841" w:type="dxa"/>
          </w:tcPr>
          <w:p w14:paraId="4D59B0F5" w14:textId="77777777" w:rsidR="00855DCF" w:rsidRPr="00C06E78" w:rsidRDefault="00855DCF" w:rsidP="0051756F">
            <w:pPr>
              <w:spacing w:after="0"/>
              <w:jc w:val="both"/>
              <w:rPr>
                <w:rFonts w:ascii="Times New Roman" w:eastAsia="宋体" w:hAnsi="Times New Roman" w:cs="Times New Roman"/>
                <w:szCs w:val="22"/>
                <w14:ligatures w14:val="none"/>
              </w:rPr>
            </w:pPr>
            <w:proofErr w:type="spellStart"/>
            <w:r w:rsidRPr="00C06E78">
              <w:rPr>
                <w:rFonts w:ascii="Times New Roman" w:eastAsia="宋体" w:hAnsi="Times New Roman" w:cs="Times New Roman"/>
                <w:szCs w:val="22"/>
                <w14:ligatures w14:val="none"/>
              </w:rPr>
              <w:t>VaR</w:t>
            </w:r>
            <w:proofErr w:type="spellEnd"/>
            <w:r w:rsidRPr="00C06E78">
              <w:rPr>
                <w:rFonts w:ascii="Times New Roman" w:eastAsia="宋体" w:hAnsi="Times New Roman" w:cs="Times New Roman"/>
                <w:szCs w:val="22"/>
                <w14:ligatures w14:val="none"/>
              </w:rPr>
              <w:t xml:space="preserve"> (95%)</w:t>
            </w:r>
          </w:p>
        </w:tc>
      </w:tr>
      <w:tr w:rsidR="00855DCF" w:rsidRPr="00C06E78" w14:paraId="7F58886E" w14:textId="77777777" w:rsidTr="00B27756">
        <w:tc>
          <w:tcPr>
            <w:tcW w:w="2840" w:type="dxa"/>
          </w:tcPr>
          <w:p w14:paraId="1C7352EA" w14:textId="77777777" w:rsidR="00855DCF" w:rsidRPr="00C06E78" w:rsidRDefault="00855DCF" w:rsidP="0051756F">
            <w:pPr>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Benchmark</w:t>
            </w:r>
          </w:p>
        </w:tc>
        <w:tc>
          <w:tcPr>
            <w:tcW w:w="2841" w:type="dxa"/>
          </w:tcPr>
          <w:p w14:paraId="0F40A9C3" w14:textId="77777777" w:rsidR="00855DCF" w:rsidRPr="00C06E78" w:rsidRDefault="00855DCF" w:rsidP="0051756F">
            <w:pPr>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-70.97 %</w:t>
            </w:r>
          </w:p>
        </w:tc>
        <w:tc>
          <w:tcPr>
            <w:tcW w:w="2841" w:type="dxa"/>
          </w:tcPr>
          <w:p w14:paraId="3EBD4DA5" w14:textId="77777777" w:rsidR="00855DCF" w:rsidRPr="00C06E78" w:rsidRDefault="00855DCF" w:rsidP="0051756F">
            <w:pPr>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-9.7 %</w:t>
            </w:r>
          </w:p>
        </w:tc>
      </w:tr>
      <w:tr w:rsidR="00855DCF" w:rsidRPr="00C06E78" w14:paraId="74D30194" w14:textId="77777777" w:rsidTr="00B27756">
        <w:tc>
          <w:tcPr>
            <w:tcW w:w="2840" w:type="dxa"/>
          </w:tcPr>
          <w:p w14:paraId="0276EDD5" w14:textId="77777777" w:rsidR="00855DCF" w:rsidRPr="00C06E78" w:rsidRDefault="00855DCF" w:rsidP="0051756F">
            <w:pPr>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Strategy</w:t>
            </w:r>
          </w:p>
        </w:tc>
        <w:tc>
          <w:tcPr>
            <w:tcW w:w="2841" w:type="dxa"/>
          </w:tcPr>
          <w:p w14:paraId="278EC040" w14:textId="77777777" w:rsidR="00855DCF" w:rsidRPr="00C06E78" w:rsidRDefault="00855DCF" w:rsidP="0051756F">
            <w:pPr>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-26.43 %</w:t>
            </w:r>
          </w:p>
        </w:tc>
        <w:tc>
          <w:tcPr>
            <w:tcW w:w="2841" w:type="dxa"/>
          </w:tcPr>
          <w:p w14:paraId="2A720FC0" w14:textId="77777777" w:rsidR="00855DCF" w:rsidRPr="00C06E78" w:rsidRDefault="00855DCF" w:rsidP="0051756F">
            <w:pPr>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-4.87 %</w:t>
            </w:r>
          </w:p>
        </w:tc>
      </w:tr>
    </w:tbl>
    <w:p w14:paraId="6BFFA7E1" w14:textId="77777777" w:rsidR="00855DCF" w:rsidRPr="00C06E78" w:rsidRDefault="00855DCF" w:rsidP="0051756F">
      <w:pPr>
        <w:spacing w:after="0"/>
        <w:jc w:val="both"/>
        <w:rPr>
          <w:rFonts w:ascii="Times New Roman" w:eastAsia="宋体" w:hAnsi="Times New Roman" w:cs="Times New Roman"/>
          <w:szCs w:val="22"/>
          <w14:ligatures w14:val="none"/>
        </w:rPr>
      </w:pPr>
    </w:p>
    <w:p w14:paraId="13B399F0"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Overall, this momentum strategy not only has significant excess returns (α) statistically, but also effectively controls risk (low volatility) and has good risk adjusted return capabilities.</w:t>
      </w:r>
    </w:p>
    <w:bookmarkEnd w:id="17"/>
    <w:p w14:paraId="6C255551" w14:textId="77777777" w:rsidR="00CB5363" w:rsidRPr="00C06E78" w:rsidRDefault="00CB5363" w:rsidP="0051756F">
      <w:pPr>
        <w:numPr>
          <w:ilvl w:val="0"/>
          <w:numId w:val="7"/>
        </w:numPr>
        <w:spacing w:after="0"/>
        <w:jc w:val="both"/>
        <w:rPr>
          <w:rFonts w:ascii="Times New Roman" w:eastAsia="宋体" w:hAnsi="Times New Roman" w:cs="Times New Roman"/>
          <w:b/>
          <w:szCs w:val="22"/>
          <w14:ligatures w14:val="none"/>
        </w:rPr>
      </w:pPr>
      <w:r w:rsidRPr="00C06E78">
        <w:rPr>
          <w:rFonts w:ascii="Times New Roman" w:eastAsia="宋体" w:hAnsi="Times New Roman" w:cs="Times New Roman"/>
          <w:b/>
          <w:szCs w:val="22"/>
          <w14:ligatures w14:val="none"/>
        </w:rPr>
        <w:t>Significance of alphas</w:t>
      </w:r>
    </w:p>
    <w:p w14:paraId="6F46E90D" w14:textId="77777777" w:rsidR="00CB5363" w:rsidRPr="00C06E78" w:rsidRDefault="00CB5363" w:rsidP="0051756F">
      <w:pPr>
        <w:numPr>
          <w:ilvl w:val="0"/>
          <w:numId w:val="9"/>
        </w:numPr>
        <w:spacing w:after="0"/>
        <w:jc w:val="both"/>
        <w:rPr>
          <w:rFonts w:ascii="Times New Roman" w:eastAsia="宋体" w:hAnsi="Times New Roman" w:cs="Times New Roman"/>
          <w:szCs w:val="22"/>
          <w14:ligatures w14:val="none"/>
        </w:rPr>
      </w:pPr>
      <w:bookmarkStart w:id="19" w:name="OLE_LINK12"/>
      <w:bookmarkStart w:id="20" w:name="OLE_LINK11"/>
      <w:r w:rsidRPr="00C06E78">
        <w:rPr>
          <w:rFonts w:ascii="Times New Roman" w:eastAsia="宋体" w:hAnsi="Times New Roman" w:cs="Times New Roman"/>
          <w:szCs w:val="22"/>
          <w14:ligatures w14:val="none"/>
        </w:rPr>
        <w:t>Basic principles:</w:t>
      </w:r>
    </w:p>
    <w:bookmarkEnd w:id="19"/>
    <w:bookmarkEnd w:id="20"/>
    <w:p w14:paraId="0E6795D5"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 xml:space="preserve"> We use ordinary least squares (OLS) regression to test the relationship between the strategy's excess returns (</w:t>
      </w:r>
      <w:proofErr w:type="spellStart"/>
      <w:r w:rsidRPr="00C06E78">
        <w:rPr>
          <w:rFonts w:ascii="Times New Roman" w:eastAsia="宋体" w:hAnsi="Times New Roman" w:cs="Times New Roman"/>
          <w:szCs w:val="22"/>
          <w14:ligatures w14:val="none"/>
        </w:rPr>
        <w:t>strategy_excess</w:t>
      </w:r>
      <w:proofErr w:type="spellEnd"/>
      <w:r w:rsidRPr="00C06E78">
        <w:rPr>
          <w:rFonts w:ascii="Times New Roman" w:eastAsia="宋体" w:hAnsi="Times New Roman" w:cs="Times New Roman"/>
          <w:szCs w:val="22"/>
          <w14:ligatures w14:val="none"/>
        </w:rPr>
        <w:t xml:space="preserve">) and multiple risk factors (market factor, size factor SMB, value factor HML, profitability factor RMW, investment style factor CMA, momentum factor UMD). </w:t>
      </w:r>
      <w:bookmarkStart w:id="21" w:name="OLE_LINK14"/>
      <w:bookmarkStart w:id="22" w:name="OLE_LINK13"/>
    </w:p>
    <w:p w14:paraId="36EBB477" w14:textId="77777777" w:rsidR="00CB5363" w:rsidRPr="00C06E78" w:rsidRDefault="00CB5363" w:rsidP="0051756F">
      <w:pPr>
        <w:numPr>
          <w:ilvl w:val="0"/>
          <w:numId w:val="9"/>
        </w:numPr>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Display results generated by R code</w:t>
      </w:r>
      <w:r w:rsidRPr="00C06E78">
        <w:rPr>
          <w:rFonts w:ascii="Times New Roman" w:eastAsia="宋体" w:hAnsi="Times New Roman" w:cs="Times New Roman"/>
          <w:szCs w:val="22"/>
          <w14:ligatures w14:val="none"/>
        </w:rPr>
        <w:t>：</w:t>
      </w:r>
    </w:p>
    <w:bookmarkStart w:id="23" w:name="OLE_LINK5"/>
    <w:p w14:paraId="0B7719E4" w14:textId="397D11AF" w:rsidR="00CB5363" w:rsidRPr="00C06E78" w:rsidRDefault="00C460D5" w:rsidP="0051756F">
      <w:pPr>
        <w:spacing w:after="0"/>
        <w:jc w:val="both"/>
        <w:rPr>
          <w:rFonts w:ascii="Times New Roman" w:eastAsia="宋体" w:hAnsi="Times New Roman" w:cs="Times New Roman"/>
          <w:kern w:val="0"/>
          <w:szCs w:val="22"/>
          <w14:ligatures w14:val="none"/>
        </w:rPr>
      </w:pPr>
      <m:oMathPara>
        <m:oMathParaPr>
          <m:jc m:val="left"/>
        </m:oMathParaPr>
        <m:oMath>
          <m:sSub>
            <m:sSubPr>
              <m:ctrlPr>
                <w:rPr>
                  <w:rFonts w:ascii="Cambria Math" w:eastAsia="宋体" w:hAnsi="Cambria Math" w:cs="Times New Roman"/>
                  <w:kern w:val="0"/>
                  <w:szCs w:val="22"/>
                  <w14:ligatures w14:val="none"/>
                </w:rPr>
              </m:ctrlPr>
            </m:sSubPr>
            <m:e>
              <m:r>
                <m:rPr>
                  <m:sty m:val="p"/>
                </m:rPr>
                <w:rPr>
                  <w:rFonts w:ascii="Cambria Math" w:eastAsia="宋体" w:hAnsi="Cambria Math" w:cs="Times New Roman"/>
                  <w:kern w:val="0"/>
                  <w:szCs w:val="22"/>
                  <w14:ligatures w14:val="none"/>
                </w:rPr>
                <m:t>strategy</m:t>
              </m:r>
            </m:e>
            <m:sub>
              <m:r>
                <m:rPr>
                  <m:sty m:val="p"/>
                </m:rPr>
                <w:rPr>
                  <w:rFonts w:ascii="Cambria Math" w:eastAsia="宋体" w:hAnsi="Cambria Math" w:cs="Times New Roman"/>
                  <w:kern w:val="0"/>
                  <w:szCs w:val="22"/>
                  <w14:ligatures w14:val="none"/>
                </w:rPr>
                <m:t>excess</m:t>
              </m:r>
            </m:sub>
          </m:sSub>
          <m:r>
            <m:rPr>
              <m:sty m:val="p"/>
            </m:rPr>
            <w:rPr>
              <w:rFonts w:ascii="Cambria Math" w:eastAsia="宋体" w:hAnsi="Cambria Math" w:cs="Times New Roman"/>
              <w:kern w:val="0"/>
              <w:szCs w:val="22"/>
              <w14:ligatures w14:val="none"/>
            </w:rPr>
            <m:t>~MKT + SMB + HML + RMW + CMA + UMD</m:t>
          </m:r>
        </m:oMath>
      </m:oMathPara>
    </w:p>
    <w:p w14:paraId="0E1C2C09" w14:textId="2AAAB6DF" w:rsidR="00C460D5" w:rsidRPr="00C06E78" w:rsidRDefault="00C460D5" w:rsidP="0051756F">
      <w:pPr>
        <w:spacing w:after="0"/>
        <w:jc w:val="both"/>
        <w:rPr>
          <w:rFonts w:ascii="Times New Roman" w:eastAsia="宋体" w:hAnsi="Times New Roman" w:cs="Times New Roman"/>
          <w:szCs w:val="22"/>
          <w14:ligatures w14:val="none"/>
        </w:rPr>
      </w:pPr>
    </w:p>
    <w:p w14:paraId="72365895" w14:textId="7C516DF2" w:rsidR="00C460D5" w:rsidRPr="00C06E78" w:rsidRDefault="00C460D5" w:rsidP="0051756F">
      <w:pPr>
        <w:spacing w:after="0"/>
        <w:jc w:val="both"/>
        <w:rPr>
          <w:rFonts w:ascii="Times New Roman" w:eastAsia="宋体" w:hAnsi="Times New Roman" w:cs="Times New Roman"/>
          <w:szCs w:val="22"/>
          <w14:ligatures w14:val="none"/>
        </w:rPr>
      </w:pPr>
    </w:p>
    <w:p w14:paraId="5AF3E103" w14:textId="77777777" w:rsidR="00C460D5" w:rsidRPr="00C06E78" w:rsidRDefault="00C460D5" w:rsidP="0051756F">
      <w:pPr>
        <w:spacing w:after="0"/>
        <w:jc w:val="both"/>
        <w:rPr>
          <w:rFonts w:ascii="Times New Roman" w:eastAsia="宋体" w:hAnsi="Times New Roman" w:cs="Times New Roman"/>
          <w:szCs w:val="22"/>
          <w14:ligatures w14:val="none"/>
        </w:rPr>
      </w:pPr>
    </w:p>
    <w:tbl>
      <w:tblPr>
        <w:tblStyle w:val="14"/>
        <w:tblW w:w="0" w:type="auto"/>
        <w:jc w:val="center"/>
        <w:tblLook w:val="04A0" w:firstRow="1" w:lastRow="0" w:firstColumn="1" w:lastColumn="0" w:noHBand="0" w:noVBand="1"/>
      </w:tblPr>
      <w:tblGrid>
        <w:gridCol w:w="1145"/>
        <w:gridCol w:w="1115"/>
        <w:gridCol w:w="1084"/>
        <w:gridCol w:w="821"/>
        <w:gridCol w:w="931"/>
      </w:tblGrid>
      <w:tr w:rsidR="00CB5363" w:rsidRPr="00C06E78" w14:paraId="0AACD310"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tcPr>
          <w:p w14:paraId="7328FF70" w14:textId="77777777" w:rsidR="00CB5363" w:rsidRPr="00C06E78" w:rsidRDefault="00CB5363" w:rsidP="0051756F">
            <w:pPr>
              <w:spacing w:after="0"/>
              <w:jc w:val="both"/>
              <w:rPr>
                <w:rFonts w:ascii="Times New Roman" w:eastAsia="宋体" w:hAnsi="Times New Roman"/>
                <w:szCs w:val="22"/>
                <w14:ligatures w14:val="none"/>
              </w:rPr>
            </w:pPr>
            <w:bookmarkStart w:id="24" w:name="_Hlk196558656"/>
            <w:bookmarkEnd w:id="23"/>
          </w:p>
        </w:tc>
        <w:tc>
          <w:tcPr>
            <w:tcW w:w="0" w:type="auto"/>
            <w:tcBorders>
              <w:top w:val="single" w:sz="4" w:space="0" w:color="auto"/>
              <w:left w:val="single" w:sz="4" w:space="0" w:color="auto"/>
              <w:bottom w:val="single" w:sz="4" w:space="0" w:color="auto"/>
              <w:right w:val="single" w:sz="4" w:space="0" w:color="auto"/>
            </w:tcBorders>
            <w:hideMark/>
          </w:tcPr>
          <w:p w14:paraId="06DC7410"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Estimate</w:t>
            </w:r>
          </w:p>
        </w:tc>
        <w:tc>
          <w:tcPr>
            <w:tcW w:w="0" w:type="auto"/>
            <w:tcBorders>
              <w:top w:val="single" w:sz="4" w:space="0" w:color="auto"/>
              <w:left w:val="single" w:sz="4" w:space="0" w:color="auto"/>
              <w:bottom w:val="single" w:sz="4" w:space="0" w:color="auto"/>
              <w:right w:val="single" w:sz="4" w:space="0" w:color="auto"/>
            </w:tcBorders>
            <w:hideMark/>
          </w:tcPr>
          <w:p w14:paraId="525D2D67"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Std. Error</w:t>
            </w:r>
          </w:p>
        </w:tc>
        <w:tc>
          <w:tcPr>
            <w:tcW w:w="0" w:type="auto"/>
            <w:tcBorders>
              <w:top w:val="single" w:sz="4" w:space="0" w:color="auto"/>
              <w:left w:val="single" w:sz="4" w:space="0" w:color="auto"/>
              <w:bottom w:val="single" w:sz="4" w:space="0" w:color="auto"/>
              <w:right w:val="single" w:sz="4" w:space="0" w:color="auto"/>
            </w:tcBorders>
            <w:hideMark/>
          </w:tcPr>
          <w:p w14:paraId="5BA3ACF8"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t value</w:t>
            </w:r>
          </w:p>
        </w:tc>
        <w:tc>
          <w:tcPr>
            <w:tcW w:w="0" w:type="auto"/>
            <w:tcBorders>
              <w:top w:val="single" w:sz="4" w:space="0" w:color="auto"/>
              <w:left w:val="single" w:sz="4" w:space="0" w:color="auto"/>
              <w:bottom w:val="single" w:sz="4" w:space="0" w:color="auto"/>
              <w:right w:val="single" w:sz="4" w:space="0" w:color="auto"/>
            </w:tcBorders>
            <w:hideMark/>
          </w:tcPr>
          <w:p w14:paraId="312F9D28" w14:textId="77777777" w:rsidR="00CB5363" w:rsidRPr="00C06E78" w:rsidRDefault="00CB5363" w:rsidP="0051756F">
            <w:pPr>
              <w:spacing w:after="0"/>
              <w:jc w:val="both"/>
              <w:rPr>
                <w:rFonts w:ascii="Times New Roman" w:eastAsia="宋体" w:hAnsi="Times New Roman"/>
                <w:szCs w:val="22"/>
                <w14:ligatures w14:val="none"/>
              </w:rPr>
            </w:pPr>
            <w:proofErr w:type="spellStart"/>
            <w:r w:rsidRPr="00C06E78">
              <w:rPr>
                <w:rFonts w:ascii="Times New Roman" w:eastAsia="宋体" w:hAnsi="Times New Roman"/>
                <w:szCs w:val="22"/>
                <w14:ligatures w14:val="none"/>
              </w:rPr>
              <w:t>Pr</w:t>
            </w:r>
            <w:proofErr w:type="spellEnd"/>
            <w:r w:rsidRPr="00C06E78">
              <w:rPr>
                <w:rFonts w:ascii="Times New Roman" w:eastAsia="宋体" w:hAnsi="Times New Roman"/>
                <w:szCs w:val="22"/>
                <w14:ligatures w14:val="none"/>
              </w:rPr>
              <w:t>(&gt;|t|)</w:t>
            </w:r>
          </w:p>
        </w:tc>
      </w:tr>
      <w:tr w:rsidR="00CB5363" w:rsidRPr="00C06E78" w14:paraId="23B1DD06"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2329C3E3"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(Intercept)</w:t>
            </w:r>
          </w:p>
        </w:tc>
        <w:tc>
          <w:tcPr>
            <w:tcW w:w="0" w:type="auto"/>
            <w:tcBorders>
              <w:top w:val="single" w:sz="4" w:space="0" w:color="auto"/>
              <w:left w:val="single" w:sz="4" w:space="0" w:color="auto"/>
              <w:bottom w:val="single" w:sz="4" w:space="0" w:color="auto"/>
              <w:right w:val="single" w:sz="4" w:space="0" w:color="auto"/>
            </w:tcBorders>
            <w:hideMark/>
          </w:tcPr>
          <w:p w14:paraId="144CA25A"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0.001304</w:t>
            </w:r>
          </w:p>
        </w:tc>
        <w:tc>
          <w:tcPr>
            <w:tcW w:w="0" w:type="auto"/>
            <w:tcBorders>
              <w:top w:val="single" w:sz="4" w:space="0" w:color="auto"/>
              <w:left w:val="single" w:sz="4" w:space="0" w:color="auto"/>
              <w:bottom w:val="single" w:sz="4" w:space="0" w:color="auto"/>
              <w:right w:val="single" w:sz="4" w:space="0" w:color="auto"/>
            </w:tcBorders>
            <w:hideMark/>
          </w:tcPr>
          <w:p w14:paraId="5AFD03BA"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0.001579</w:t>
            </w:r>
          </w:p>
        </w:tc>
        <w:tc>
          <w:tcPr>
            <w:tcW w:w="0" w:type="auto"/>
            <w:tcBorders>
              <w:top w:val="single" w:sz="4" w:space="0" w:color="auto"/>
              <w:left w:val="single" w:sz="4" w:space="0" w:color="auto"/>
              <w:bottom w:val="single" w:sz="4" w:space="0" w:color="auto"/>
              <w:right w:val="single" w:sz="4" w:space="0" w:color="auto"/>
            </w:tcBorders>
            <w:hideMark/>
          </w:tcPr>
          <w:p w14:paraId="3784D6C7"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0.826</w:t>
            </w:r>
          </w:p>
        </w:tc>
        <w:tc>
          <w:tcPr>
            <w:tcW w:w="0" w:type="auto"/>
            <w:tcBorders>
              <w:top w:val="single" w:sz="4" w:space="0" w:color="auto"/>
              <w:left w:val="single" w:sz="4" w:space="0" w:color="auto"/>
              <w:bottom w:val="single" w:sz="4" w:space="0" w:color="auto"/>
              <w:right w:val="single" w:sz="4" w:space="0" w:color="auto"/>
            </w:tcBorders>
            <w:hideMark/>
          </w:tcPr>
          <w:p w14:paraId="7E3072D2"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0.40969</w:t>
            </w:r>
          </w:p>
        </w:tc>
      </w:tr>
      <w:tr w:rsidR="00CB5363" w:rsidRPr="00C06E78" w14:paraId="4228F87F"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7978F708"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MKT</w:t>
            </w:r>
          </w:p>
        </w:tc>
        <w:tc>
          <w:tcPr>
            <w:tcW w:w="0" w:type="auto"/>
            <w:tcBorders>
              <w:top w:val="single" w:sz="4" w:space="0" w:color="auto"/>
              <w:left w:val="single" w:sz="4" w:space="0" w:color="auto"/>
              <w:bottom w:val="single" w:sz="4" w:space="0" w:color="auto"/>
              <w:right w:val="single" w:sz="4" w:space="0" w:color="auto"/>
            </w:tcBorders>
            <w:hideMark/>
          </w:tcPr>
          <w:p w14:paraId="30A9F587"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-0.055726</w:t>
            </w:r>
          </w:p>
        </w:tc>
        <w:tc>
          <w:tcPr>
            <w:tcW w:w="0" w:type="auto"/>
            <w:tcBorders>
              <w:top w:val="single" w:sz="4" w:space="0" w:color="auto"/>
              <w:left w:val="single" w:sz="4" w:space="0" w:color="auto"/>
              <w:bottom w:val="single" w:sz="4" w:space="0" w:color="auto"/>
              <w:right w:val="single" w:sz="4" w:space="0" w:color="auto"/>
            </w:tcBorders>
            <w:hideMark/>
          </w:tcPr>
          <w:p w14:paraId="033D0D32"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0.019820</w:t>
            </w:r>
          </w:p>
        </w:tc>
        <w:tc>
          <w:tcPr>
            <w:tcW w:w="0" w:type="auto"/>
            <w:tcBorders>
              <w:top w:val="single" w:sz="4" w:space="0" w:color="auto"/>
              <w:left w:val="single" w:sz="4" w:space="0" w:color="auto"/>
              <w:bottom w:val="single" w:sz="4" w:space="0" w:color="auto"/>
              <w:right w:val="single" w:sz="4" w:space="0" w:color="auto"/>
            </w:tcBorders>
            <w:hideMark/>
          </w:tcPr>
          <w:p w14:paraId="582FDFC6"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-2.812</w:t>
            </w:r>
          </w:p>
        </w:tc>
        <w:tc>
          <w:tcPr>
            <w:tcW w:w="0" w:type="auto"/>
            <w:tcBorders>
              <w:top w:val="single" w:sz="4" w:space="0" w:color="auto"/>
              <w:left w:val="single" w:sz="4" w:space="0" w:color="auto"/>
              <w:bottom w:val="single" w:sz="4" w:space="0" w:color="auto"/>
              <w:right w:val="single" w:sz="4" w:space="0" w:color="auto"/>
            </w:tcBorders>
            <w:hideMark/>
          </w:tcPr>
          <w:p w14:paraId="3FA89A01"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0.00529</w:t>
            </w:r>
          </w:p>
        </w:tc>
      </w:tr>
      <w:tr w:rsidR="00CB5363" w:rsidRPr="00C06E78" w14:paraId="0E6FFC4D"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38D1FBB3"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SMB</w:t>
            </w:r>
          </w:p>
        </w:tc>
        <w:tc>
          <w:tcPr>
            <w:tcW w:w="0" w:type="auto"/>
            <w:tcBorders>
              <w:top w:val="single" w:sz="4" w:space="0" w:color="auto"/>
              <w:left w:val="single" w:sz="4" w:space="0" w:color="auto"/>
              <w:bottom w:val="single" w:sz="4" w:space="0" w:color="auto"/>
              <w:right w:val="single" w:sz="4" w:space="0" w:color="auto"/>
            </w:tcBorders>
            <w:hideMark/>
          </w:tcPr>
          <w:p w14:paraId="6AB1DA84"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-0.016279</w:t>
            </w:r>
          </w:p>
        </w:tc>
        <w:tc>
          <w:tcPr>
            <w:tcW w:w="0" w:type="auto"/>
            <w:tcBorders>
              <w:top w:val="single" w:sz="4" w:space="0" w:color="auto"/>
              <w:left w:val="single" w:sz="4" w:space="0" w:color="auto"/>
              <w:bottom w:val="single" w:sz="4" w:space="0" w:color="auto"/>
              <w:right w:val="single" w:sz="4" w:space="0" w:color="auto"/>
            </w:tcBorders>
            <w:hideMark/>
          </w:tcPr>
          <w:p w14:paraId="4418E7A6"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0.038109</w:t>
            </w:r>
          </w:p>
        </w:tc>
        <w:tc>
          <w:tcPr>
            <w:tcW w:w="0" w:type="auto"/>
            <w:tcBorders>
              <w:top w:val="single" w:sz="4" w:space="0" w:color="auto"/>
              <w:left w:val="single" w:sz="4" w:space="0" w:color="auto"/>
              <w:bottom w:val="single" w:sz="4" w:space="0" w:color="auto"/>
              <w:right w:val="single" w:sz="4" w:space="0" w:color="auto"/>
            </w:tcBorders>
            <w:hideMark/>
          </w:tcPr>
          <w:p w14:paraId="0A7BA226"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-0.427</w:t>
            </w:r>
          </w:p>
        </w:tc>
        <w:tc>
          <w:tcPr>
            <w:tcW w:w="0" w:type="auto"/>
            <w:tcBorders>
              <w:top w:val="single" w:sz="4" w:space="0" w:color="auto"/>
              <w:left w:val="single" w:sz="4" w:space="0" w:color="auto"/>
              <w:bottom w:val="single" w:sz="4" w:space="0" w:color="auto"/>
              <w:right w:val="single" w:sz="4" w:space="0" w:color="auto"/>
            </w:tcBorders>
            <w:hideMark/>
          </w:tcPr>
          <w:p w14:paraId="44085349"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0.66959</w:t>
            </w:r>
          </w:p>
        </w:tc>
      </w:tr>
      <w:tr w:rsidR="00CB5363" w:rsidRPr="00C06E78" w14:paraId="72CA40FB"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792ED535"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HML</w:t>
            </w:r>
          </w:p>
        </w:tc>
        <w:tc>
          <w:tcPr>
            <w:tcW w:w="0" w:type="auto"/>
            <w:tcBorders>
              <w:top w:val="single" w:sz="4" w:space="0" w:color="auto"/>
              <w:left w:val="single" w:sz="4" w:space="0" w:color="auto"/>
              <w:bottom w:val="single" w:sz="4" w:space="0" w:color="auto"/>
              <w:right w:val="single" w:sz="4" w:space="0" w:color="auto"/>
            </w:tcBorders>
            <w:hideMark/>
          </w:tcPr>
          <w:p w14:paraId="14B65E26"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0.078539</w:t>
            </w:r>
          </w:p>
        </w:tc>
        <w:tc>
          <w:tcPr>
            <w:tcW w:w="0" w:type="auto"/>
            <w:tcBorders>
              <w:top w:val="single" w:sz="4" w:space="0" w:color="auto"/>
              <w:left w:val="single" w:sz="4" w:space="0" w:color="auto"/>
              <w:bottom w:val="single" w:sz="4" w:space="0" w:color="auto"/>
              <w:right w:val="single" w:sz="4" w:space="0" w:color="auto"/>
            </w:tcBorders>
            <w:hideMark/>
          </w:tcPr>
          <w:p w14:paraId="33469014"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0.039640</w:t>
            </w:r>
          </w:p>
        </w:tc>
        <w:tc>
          <w:tcPr>
            <w:tcW w:w="0" w:type="auto"/>
            <w:tcBorders>
              <w:top w:val="single" w:sz="4" w:space="0" w:color="auto"/>
              <w:left w:val="single" w:sz="4" w:space="0" w:color="auto"/>
              <w:bottom w:val="single" w:sz="4" w:space="0" w:color="auto"/>
              <w:right w:val="single" w:sz="4" w:space="0" w:color="auto"/>
            </w:tcBorders>
            <w:hideMark/>
          </w:tcPr>
          <w:p w14:paraId="3512128D"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1.981</w:t>
            </w:r>
          </w:p>
        </w:tc>
        <w:tc>
          <w:tcPr>
            <w:tcW w:w="0" w:type="auto"/>
            <w:tcBorders>
              <w:top w:val="single" w:sz="4" w:space="0" w:color="auto"/>
              <w:left w:val="single" w:sz="4" w:space="0" w:color="auto"/>
              <w:bottom w:val="single" w:sz="4" w:space="0" w:color="auto"/>
              <w:right w:val="single" w:sz="4" w:space="0" w:color="auto"/>
            </w:tcBorders>
            <w:hideMark/>
          </w:tcPr>
          <w:p w14:paraId="115E8969"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0.04856</w:t>
            </w:r>
          </w:p>
        </w:tc>
      </w:tr>
      <w:tr w:rsidR="00CB5363" w:rsidRPr="00C06E78" w14:paraId="11EF1822"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542BD418"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RMW</w:t>
            </w:r>
          </w:p>
        </w:tc>
        <w:tc>
          <w:tcPr>
            <w:tcW w:w="0" w:type="auto"/>
            <w:tcBorders>
              <w:top w:val="single" w:sz="4" w:space="0" w:color="auto"/>
              <w:left w:val="single" w:sz="4" w:space="0" w:color="auto"/>
              <w:bottom w:val="single" w:sz="4" w:space="0" w:color="auto"/>
              <w:right w:val="single" w:sz="4" w:space="0" w:color="auto"/>
            </w:tcBorders>
            <w:hideMark/>
          </w:tcPr>
          <w:p w14:paraId="307480C0"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0.116273</w:t>
            </w:r>
          </w:p>
        </w:tc>
        <w:tc>
          <w:tcPr>
            <w:tcW w:w="0" w:type="auto"/>
            <w:tcBorders>
              <w:top w:val="single" w:sz="4" w:space="0" w:color="auto"/>
              <w:left w:val="single" w:sz="4" w:space="0" w:color="auto"/>
              <w:bottom w:val="single" w:sz="4" w:space="0" w:color="auto"/>
              <w:right w:val="single" w:sz="4" w:space="0" w:color="auto"/>
            </w:tcBorders>
            <w:hideMark/>
          </w:tcPr>
          <w:p w14:paraId="007C0C09"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0.044460</w:t>
            </w:r>
          </w:p>
        </w:tc>
        <w:tc>
          <w:tcPr>
            <w:tcW w:w="0" w:type="auto"/>
            <w:tcBorders>
              <w:top w:val="single" w:sz="4" w:space="0" w:color="auto"/>
              <w:left w:val="single" w:sz="4" w:space="0" w:color="auto"/>
              <w:bottom w:val="single" w:sz="4" w:space="0" w:color="auto"/>
              <w:right w:val="single" w:sz="4" w:space="0" w:color="auto"/>
            </w:tcBorders>
            <w:hideMark/>
          </w:tcPr>
          <w:p w14:paraId="31E67748"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2.615</w:t>
            </w:r>
          </w:p>
        </w:tc>
        <w:tc>
          <w:tcPr>
            <w:tcW w:w="0" w:type="auto"/>
            <w:tcBorders>
              <w:top w:val="single" w:sz="4" w:space="0" w:color="auto"/>
              <w:left w:val="single" w:sz="4" w:space="0" w:color="auto"/>
              <w:bottom w:val="single" w:sz="4" w:space="0" w:color="auto"/>
              <w:right w:val="single" w:sz="4" w:space="0" w:color="auto"/>
            </w:tcBorders>
            <w:hideMark/>
          </w:tcPr>
          <w:p w14:paraId="717ADFF8"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0.00942</w:t>
            </w:r>
          </w:p>
        </w:tc>
      </w:tr>
      <w:tr w:rsidR="00CB5363" w:rsidRPr="00C06E78" w14:paraId="73AB8D64"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1C7D82EE"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CMA</w:t>
            </w:r>
          </w:p>
        </w:tc>
        <w:tc>
          <w:tcPr>
            <w:tcW w:w="0" w:type="auto"/>
            <w:tcBorders>
              <w:top w:val="single" w:sz="4" w:space="0" w:color="auto"/>
              <w:left w:val="single" w:sz="4" w:space="0" w:color="auto"/>
              <w:bottom w:val="single" w:sz="4" w:space="0" w:color="auto"/>
              <w:right w:val="single" w:sz="4" w:space="0" w:color="auto"/>
            </w:tcBorders>
            <w:hideMark/>
          </w:tcPr>
          <w:p w14:paraId="1614AF3E"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0.101147</w:t>
            </w:r>
          </w:p>
        </w:tc>
        <w:tc>
          <w:tcPr>
            <w:tcW w:w="0" w:type="auto"/>
            <w:tcBorders>
              <w:top w:val="single" w:sz="4" w:space="0" w:color="auto"/>
              <w:left w:val="single" w:sz="4" w:space="0" w:color="auto"/>
              <w:bottom w:val="single" w:sz="4" w:space="0" w:color="auto"/>
              <w:right w:val="single" w:sz="4" w:space="0" w:color="auto"/>
            </w:tcBorders>
            <w:hideMark/>
          </w:tcPr>
          <w:p w14:paraId="32939BA4"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0.050201</w:t>
            </w:r>
          </w:p>
        </w:tc>
        <w:tc>
          <w:tcPr>
            <w:tcW w:w="0" w:type="auto"/>
            <w:tcBorders>
              <w:top w:val="single" w:sz="4" w:space="0" w:color="auto"/>
              <w:left w:val="single" w:sz="4" w:space="0" w:color="auto"/>
              <w:bottom w:val="single" w:sz="4" w:space="0" w:color="auto"/>
              <w:right w:val="single" w:sz="4" w:space="0" w:color="auto"/>
            </w:tcBorders>
            <w:hideMark/>
          </w:tcPr>
          <w:p w14:paraId="63C6AC4E"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2.015</w:t>
            </w:r>
          </w:p>
        </w:tc>
        <w:tc>
          <w:tcPr>
            <w:tcW w:w="0" w:type="auto"/>
            <w:tcBorders>
              <w:top w:val="single" w:sz="4" w:space="0" w:color="auto"/>
              <w:left w:val="single" w:sz="4" w:space="0" w:color="auto"/>
              <w:bottom w:val="single" w:sz="4" w:space="0" w:color="auto"/>
              <w:right w:val="single" w:sz="4" w:space="0" w:color="auto"/>
            </w:tcBorders>
            <w:hideMark/>
          </w:tcPr>
          <w:p w14:paraId="57CD2259"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0.04491</w:t>
            </w:r>
          </w:p>
        </w:tc>
      </w:tr>
      <w:tr w:rsidR="00CB5363" w:rsidRPr="00C06E78" w14:paraId="63D0648D"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175C2619"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UMD</w:t>
            </w:r>
          </w:p>
        </w:tc>
        <w:tc>
          <w:tcPr>
            <w:tcW w:w="0" w:type="auto"/>
            <w:tcBorders>
              <w:top w:val="single" w:sz="4" w:space="0" w:color="auto"/>
              <w:left w:val="single" w:sz="4" w:space="0" w:color="auto"/>
              <w:bottom w:val="single" w:sz="4" w:space="0" w:color="auto"/>
              <w:right w:val="single" w:sz="4" w:space="0" w:color="auto"/>
            </w:tcBorders>
            <w:hideMark/>
          </w:tcPr>
          <w:p w14:paraId="452E4ECB"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0.472625</w:t>
            </w:r>
          </w:p>
        </w:tc>
        <w:tc>
          <w:tcPr>
            <w:tcW w:w="0" w:type="auto"/>
            <w:tcBorders>
              <w:top w:val="single" w:sz="4" w:space="0" w:color="auto"/>
              <w:left w:val="single" w:sz="4" w:space="0" w:color="auto"/>
              <w:bottom w:val="single" w:sz="4" w:space="0" w:color="auto"/>
              <w:right w:val="single" w:sz="4" w:space="0" w:color="auto"/>
            </w:tcBorders>
            <w:hideMark/>
          </w:tcPr>
          <w:p w14:paraId="1C91A70D"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0.032059</w:t>
            </w:r>
          </w:p>
        </w:tc>
        <w:tc>
          <w:tcPr>
            <w:tcW w:w="0" w:type="auto"/>
            <w:tcBorders>
              <w:top w:val="single" w:sz="4" w:space="0" w:color="auto"/>
              <w:left w:val="single" w:sz="4" w:space="0" w:color="auto"/>
              <w:bottom w:val="single" w:sz="4" w:space="0" w:color="auto"/>
              <w:right w:val="single" w:sz="4" w:space="0" w:color="auto"/>
            </w:tcBorders>
            <w:hideMark/>
          </w:tcPr>
          <w:p w14:paraId="1AC26761"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14.742</w:t>
            </w:r>
          </w:p>
        </w:tc>
        <w:tc>
          <w:tcPr>
            <w:tcW w:w="0" w:type="auto"/>
            <w:tcBorders>
              <w:top w:val="single" w:sz="4" w:space="0" w:color="auto"/>
              <w:left w:val="single" w:sz="4" w:space="0" w:color="auto"/>
              <w:bottom w:val="single" w:sz="4" w:space="0" w:color="auto"/>
              <w:right w:val="single" w:sz="4" w:space="0" w:color="auto"/>
            </w:tcBorders>
            <w:hideMark/>
          </w:tcPr>
          <w:p w14:paraId="2F04BCEC"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&lt;2e-16</w:t>
            </w:r>
          </w:p>
        </w:tc>
      </w:tr>
    </w:tbl>
    <w:p w14:paraId="4CAE659D" w14:textId="77777777" w:rsidR="00CB5363" w:rsidRPr="00C06E78" w:rsidRDefault="00CB5363" w:rsidP="0051756F">
      <w:pPr>
        <w:spacing w:after="0"/>
        <w:jc w:val="both"/>
        <w:rPr>
          <w:rFonts w:ascii="Times New Roman" w:eastAsia="宋体" w:hAnsi="Times New Roman" w:cs="Times New Roman"/>
          <w:szCs w:val="22"/>
          <w14:ligatures w14:val="none"/>
        </w:rPr>
      </w:pPr>
      <w:bookmarkStart w:id="25" w:name="OLE_LINK50"/>
      <w:bookmarkStart w:id="26" w:name="OLE_LINK49"/>
      <w:bookmarkEnd w:id="24"/>
      <w:r w:rsidRPr="00C06E78">
        <w:rPr>
          <w:rFonts w:ascii="Times New Roman" w:eastAsia="宋体" w:hAnsi="Times New Roman" w:cs="Times New Roman"/>
          <w:szCs w:val="22"/>
          <w14:ligatures w14:val="none"/>
        </w:rPr>
        <w:t>Multiple R-squared:  0.617,</w:t>
      </w:r>
      <w:r w:rsidRPr="00C06E78">
        <w:rPr>
          <w:rFonts w:ascii="Times New Roman" w:eastAsia="宋体" w:hAnsi="Times New Roman" w:cs="Times New Roman"/>
          <w:szCs w:val="22"/>
          <w14:ligatures w14:val="none"/>
        </w:rPr>
        <w:tab/>
        <w:t>Adjusted R-squared:  0.6085</w:t>
      </w:r>
    </w:p>
    <w:p w14:paraId="597D238E" w14:textId="5E1AF594" w:rsidR="00CB5363" w:rsidRPr="00C06E78" w:rsidRDefault="00CB5363" w:rsidP="0051756F">
      <w:pPr>
        <w:spacing w:after="0"/>
        <w:jc w:val="both"/>
        <w:rPr>
          <w:rFonts w:ascii="Times New Roman" w:eastAsia="宋体" w:hAnsi="Times New Roman" w:cs="Times New Roman"/>
          <w:szCs w:val="22"/>
          <w14:ligatures w14:val="none"/>
        </w:rPr>
      </w:pPr>
      <w:bookmarkStart w:id="27" w:name="OLE_LINK51"/>
      <w:bookmarkStart w:id="28" w:name="OLE_LINK52"/>
      <w:bookmarkEnd w:id="25"/>
      <w:bookmarkEnd w:id="26"/>
      <w:r w:rsidRPr="00C06E78">
        <w:rPr>
          <w:rFonts w:ascii="Times New Roman" w:eastAsia="宋体" w:hAnsi="Times New Roman" w:cs="Times New Roman"/>
          <w:szCs w:val="22"/>
          <w14:ligatures w14:val="none"/>
        </w:rPr>
        <w:t xml:space="preserve">F-statistic: 72.76 on 6 and 271 </w:t>
      </w:r>
      <w:r w:rsidR="00C460D5" w:rsidRPr="00C06E78">
        <w:rPr>
          <w:rFonts w:ascii="Times New Roman" w:eastAsia="宋体" w:hAnsi="Times New Roman" w:cs="Times New Roman"/>
          <w:szCs w:val="22"/>
          <w14:ligatures w14:val="none"/>
        </w:rPr>
        <w:t>DF, p</w:t>
      </w:r>
      <w:r w:rsidRPr="00C06E78">
        <w:rPr>
          <w:rFonts w:ascii="Times New Roman" w:eastAsia="宋体" w:hAnsi="Times New Roman" w:cs="Times New Roman"/>
          <w:szCs w:val="22"/>
          <w14:ligatures w14:val="none"/>
        </w:rPr>
        <w:t>-value: &lt; 2.2e-16</w:t>
      </w:r>
    </w:p>
    <w:bookmarkEnd w:id="27"/>
    <w:bookmarkEnd w:id="28"/>
    <w:p w14:paraId="30C9F187" w14:textId="77777777" w:rsidR="00CB5363" w:rsidRPr="00C06E78" w:rsidRDefault="00CB5363" w:rsidP="0051756F">
      <w:pPr>
        <w:numPr>
          <w:ilvl w:val="0"/>
          <w:numId w:val="9"/>
        </w:numPr>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Result description:</w:t>
      </w:r>
      <w:bookmarkEnd w:id="21"/>
      <w:bookmarkEnd w:id="22"/>
    </w:p>
    <w:p w14:paraId="4E4393F2"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The intercept term (α) is not significant, indicating that the strategy has no significant excess returns after excluding the influence of risk factors.</w:t>
      </w:r>
    </w:p>
    <w:p w14:paraId="118F84D5"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The market factor (MKT) is significantly negative, indicating a negative correlation between strategy returns and overall market trends.</w:t>
      </w:r>
    </w:p>
    <w:p w14:paraId="49E791A8"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The small cap factor (SMB) is not significant, and the strategy has no significant exposure to the effect on small cap stocks.</w:t>
      </w:r>
    </w:p>
    <w:p w14:paraId="53CBAF4C"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The value factor (HML), profit factor (RMW), and investment factor (CMA) are all significant and positive, indicating a positive correlation between strategy and value, profitability, and investment style factors.</w:t>
      </w:r>
    </w:p>
    <w:p w14:paraId="4810EB93"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 xml:space="preserve">The UMD coefficient is the largest and extremely significant, indicating that the strategy strongly relies on momentum effects. </w:t>
      </w:r>
    </w:p>
    <w:p w14:paraId="4C2A2EA2"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F-statistic is 72.76 and the value of p is very small. The overall model is significant.</w:t>
      </w:r>
    </w:p>
    <w:p w14:paraId="094BDA97"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Overall, strategic returns are significantly influenced by momentum factors, but the excess returns of the strategy did not show significant alpha after removing these risk factors, indicating that the strategy's returns mainly come from the exposure of these systemic risk factors.</w:t>
      </w:r>
    </w:p>
    <w:p w14:paraId="3E0D8F40" w14:textId="77777777" w:rsidR="00CB5363" w:rsidRPr="00C06E78" w:rsidRDefault="00CB5363" w:rsidP="0051756F">
      <w:pPr>
        <w:numPr>
          <w:ilvl w:val="0"/>
          <w:numId w:val="7"/>
        </w:numPr>
        <w:spacing w:after="0"/>
        <w:jc w:val="both"/>
        <w:rPr>
          <w:rFonts w:ascii="Times New Roman" w:eastAsia="宋体" w:hAnsi="Times New Roman" w:cs="Times New Roman"/>
          <w:b/>
          <w:szCs w:val="22"/>
          <w14:ligatures w14:val="none"/>
        </w:rPr>
      </w:pPr>
      <w:r w:rsidRPr="00C06E78">
        <w:rPr>
          <w:rFonts w:ascii="Times New Roman" w:eastAsia="宋体" w:hAnsi="Times New Roman" w:cs="Times New Roman"/>
          <w:b/>
          <w:szCs w:val="22"/>
          <w14:ligatures w14:val="none"/>
        </w:rPr>
        <w:t>Performance during different sub-samples</w:t>
      </w:r>
    </w:p>
    <w:p w14:paraId="293D4D2A" w14:textId="3713935C" w:rsidR="00CB5363" w:rsidRPr="00C06E78" w:rsidRDefault="00CB5363" w:rsidP="00C460D5">
      <w:pPr>
        <w:pStyle w:val="ae"/>
        <w:numPr>
          <w:ilvl w:val="0"/>
          <w:numId w:val="14"/>
        </w:numPr>
        <w:spacing w:after="0"/>
        <w:jc w:val="both"/>
        <w:rPr>
          <w:rFonts w:ascii="Times New Roman" w:eastAsia="宋体" w:hAnsi="Times New Roman" w:cs="Times New Roman"/>
          <w:szCs w:val="22"/>
          <w14:ligatures w14:val="none"/>
        </w:rPr>
      </w:pPr>
      <w:bookmarkStart w:id="29" w:name="OLE_LINK20"/>
      <w:bookmarkStart w:id="30" w:name="OLE_LINK19"/>
      <w:r w:rsidRPr="00C06E78">
        <w:rPr>
          <w:rFonts w:ascii="Times New Roman" w:eastAsia="宋体" w:hAnsi="Times New Roman" w:cs="Times New Roman"/>
          <w:szCs w:val="22"/>
          <w14:ligatures w14:val="none"/>
        </w:rPr>
        <w:t>Basic principles:</w:t>
      </w:r>
    </w:p>
    <w:bookmarkEnd w:id="29"/>
    <w:bookmarkEnd w:id="30"/>
    <w:p w14:paraId="2FC5FF9A"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We divide the sample period into four important stages of economic cycles:</w:t>
      </w:r>
    </w:p>
    <w:tbl>
      <w:tblPr>
        <w:tblStyle w:val="14"/>
        <w:tblW w:w="0" w:type="auto"/>
        <w:jc w:val="center"/>
        <w:tblLook w:val="04A0" w:firstRow="1" w:lastRow="0" w:firstColumn="1" w:lastColumn="0" w:noHBand="0" w:noVBand="1"/>
      </w:tblPr>
      <w:tblGrid>
        <w:gridCol w:w="326"/>
        <w:gridCol w:w="2746"/>
        <w:gridCol w:w="2050"/>
      </w:tblGrid>
      <w:tr w:rsidR="00CB5363" w:rsidRPr="00C06E78" w14:paraId="751888EC"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59EB8B63" w14:textId="77777777" w:rsidR="00CB5363" w:rsidRPr="00C06E78" w:rsidRDefault="00CB5363" w:rsidP="0051756F">
            <w:pPr>
              <w:spacing w:after="0"/>
              <w:jc w:val="both"/>
              <w:rPr>
                <w:rFonts w:ascii="Times New Roman" w:eastAsia="宋体" w:hAnsi="Times New Roman"/>
                <w:szCs w:val="22"/>
                <w14:ligatures w14:val="none"/>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C4F4A01"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Economic Cycle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8D6D790"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Time Interval</w:t>
            </w:r>
          </w:p>
        </w:tc>
      </w:tr>
      <w:tr w:rsidR="00CB5363" w:rsidRPr="00C06E78" w14:paraId="534EDC52"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949CF3A"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F9FC9E6" w14:textId="77777777" w:rsidR="00CB5363" w:rsidRPr="00C06E78" w:rsidRDefault="00CB5363" w:rsidP="0051756F">
            <w:pPr>
              <w:spacing w:after="0"/>
              <w:jc w:val="both"/>
              <w:rPr>
                <w:rFonts w:ascii="Times New Roman" w:eastAsia="宋体" w:hAnsi="Times New Roman"/>
                <w:szCs w:val="22"/>
                <w14:ligatures w14:val="none"/>
              </w:rPr>
            </w:pPr>
            <w:proofErr w:type="gramStart"/>
            <w:r w:rsidRPr="00C06E78">
              <w:rPr>
                <w:rFonts w:ascii="Times New Roman" w:eastAsia="宋体" w:hAnsi="Times New Roman"/>
                <w:szCs w:val="22"/>
                <w14:ligatures w14:val="none"/>
              </w:rPr>
              <w:t>Pre GFC Expansion</w:t>
            </w:r>
            <w:proofErr w:type="gramEnd"/>
            <w:r w:rsidRPr="00C06E78">
              <w:rPr>
                <w:rFonts w:ascii="Times New Roman" w:eastAsia="宋体" w:hAnsi="Times New Roman"/>
                <w:szCs w:val="22"/>
                <w14:ligatures w14:val="none"/>
              </w:rPr>
              <w:t xml:space="preserve"> period</w:t>
            </w:r>
          </w:p>
        </w:tc>
        <w:tc>
          <w:tcPr>
            <w:tcW w:w="0" w:type="auto"/>
            <w:tcBorders>
              <w:top w:val="single" w:sz="4" w:space="0" w:color="auto"/>
              <w:left w:val="single" w:sz="4" w:space="0" w:color="auto"/>
              <w:bottom w:val="single" w:sz="4" w:space="0" w:color="auto"/>
              <w:right w:val="single" w:sz="4" w:space="0" w:color="auto"/>
            </w:tcBorders>
            <w:vAlign w:val="center"/>
            <w:hideMark/>
          </w:tcPr>
          <w:p w14:paraId="201150A0"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2000.1.1-2007.11.30</w:t>
            </w:r>
          </w:p>
        </w:tc>
      </w:tr>
      <w:tr w:rsidR="00CB5363" w:rsidRPr="00C06E78" w14:paraId="5FBEFCDC"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3671999"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754DB3F5"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Global Financial Crisis</w:t>
            </w:r>
          </w:p>
        </w:tc>
        <w:tc>
          <w:tcPr>
            <w:tcW w:w="0" w:type="auto"/>
            <w:tcBorders>
              <w:top w:val="single" w:sz="4" w:space="0" w:color="auto"/>
              <w:left w:val="single" w:sz="4" w:space="0" w:color="auto"/>
              <w:bottom w:val="single" w:sz="4" w:space="0" w:color="auto"/>
              <w:right w:val="single" w:sz="4" w:space="0" w:color="auto"/>
            </w:tcBorders>
            <w:vAlign w:val="center"/>
            <w:hideMark/>
          </w:tcPr>
          <w:p w14:paraId="40FDB2BE"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2007.12.1-2009.6.30</w:t>
            </w:r>
          </w:p>
        </w:tc>
      </w:tr>
      <w:tr w:rsidR="00CB5363" w:rsidRPr="00C06E78" w14:paraId="651DAA1F"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CF77BF5"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7D5B3F64"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Post GFC Expansion period</w:t>
            </w:r>
          </w:p>
        </w:tc>
        <w:tc>
          <w:tcPr>
            <w:tcW w:w="0" w:type="auto"/>
            <w:tcBorders>
              <w:top w:val="single" w:sz="4" w:space="0" w:color="auto"/>
              <w:left w:val="single" w:sz="4" w:space="0" w:color="auto"/>
              <w:bottom w:val="single" w:sz="4" w:space="0" w:color="auto"/>
              <w:right w:val="single" w:sz="4" w:space="0" w:color="auto"/>
            </w:tcBorders>
            <w:vAlign w:val="center"/>
            <w:hideMark/>
          </w:tcPr>
          <w:p w14:paraId="309BD3EB"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2009.7.1-2019.12.31</w:t>
            </w:r>
          </w:p>
        </w:tc>
      </w:tr>
      <w:tr w:rsidR="00CB5363" w:rsidRPr="00C06E78" w14:paraId="76574369"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E14599A"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2DBE49D4"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COVID-19 Pandemic period</w:t>
            </w:r>
          </w:p>
        </w:tc>
        <w:tc>
          <w:tcPr>
            <w:tcW w:w="0" w:type="auto"/>
            <w:tcBorders>
              <w:top w:val="single" w:sz="4" w:space="0" w:color="auto"/>
              <w:left w:val="single" w:sz="4" w:space="0" w:color="auto"/>
              <w:bottom w:val="single" w:sz="4" w:space="0" w:color="auto"/>
              <w:right w:val="single" w:sz="4" w:space="0" w:color="auto"/>
            </w:tcBorders>
            <w:vAlign w:val="center"/>
            <w:hideMark/>
          </w:tcPr>
          <w:p w14:paraId="78231E88" w14:textId="77777777" w:rsidR="00CB5363" w:rsidRPr="00C06E78" w:rsidRDefault="00CB5363" w:rsidP="0051756F">
            <w:pPr>
              <w:spacing w:after="0"/>
              <w:jc w:val="both"/>
              <w:rPr>
                <w:rFonts w:ascii="Times New Roman" w:eastAsia="宋体" w:hAnsi="Times New Roman"/>
                <w:szCs w:val="22"/>
                <w14:ligatures w14:val="none"/>
              </w:rPr>
            </w:pPr>
            <w:r w:rsidRPr="00C06E78">
              <w:rPr>
                <w:rFonts w:ascii="Times New Roman" w:eastAsia="宋体" w:hAnsi="Times New Roman"/>
                <w:szCs w:val="22"/>
                <w14:ligatures w14:val="none"/>
              </w:rPr>
              <w:t>2020.1.1-2024.12.31</w:t>
            </w:r>
          </w:p>
        </w:tc>
      </w:tr>
    </w:tbl>
    <w:p w14:paraId="0CC204AA" w14:textId="2CFF54C7" w:rsidR="00CB5363" w:rsidRPr="00C06E78" w:rsidRDefault="00CB5363" w:rsidP="00C460D5">
      <w:pPr>
        <w:pStyle w:val="ae"/>
        <w:numPr>
          <w:ilvl w:val="0"/>
          <w:numId w:val="14"/>
        </w:numPr>
        <w:spacing w:after="0"/>
        <w:jc w:val="both"/>
        <w:rPr>
          <w:rFonts w:ascii="Times New Roman" w:eastAsia="宋体" w:hAnsi="Times New Roman" w:cs="Times New Roman"/>
          <w:szCs w:val="22"/>
          <w14:ligatures w14:val="none"/>
        </w:rPr>
      </w:pPr>
      <w:bookmarkStart w:id="31" w:name="OLE_LINK37"/>
      <w:bookmarkStart w:id="32" w:name="OLE_LINK36"/>
      <w:bookmarkStart w:id="33" w:name="OLE_LINK25"/>
      <w:bookmarkStart w:id="34" w:name="OLE_LINK26"/>
      <w:r w:rsidRPr="00C06E78">
        <w:rPr>
          <w:rFonts w:ascii="Times New Roman" w:eastAsia="宋体" w:hAnsi="Times New Roman" w:cs="Times New Roman"/>
          <w:szCs w:val="22"/>
          <w14:ligatures w14:val="none"/>
        </w:rPr>
        <w:t>Display results generated by R code</w:t>
      </w:r>
      <w:r w:rsidRPr="00C06E78">
        <w:rPr>
          <w:rFonts w:ascii="Times New Roman" w:eastAsia="宋体" w:hAnsi="Times New Roman" w:cs="Times New Roman"/>
          <w:szCs w:val="22"/>
          <w14:ligatures w14:val="none"/>
        </w:rPr>
        <w:t>：</w:t>
      </w:r>
    </w:p>
    <w:p w14:paraId="427F4B1D" w14:textId="7BA656EF" w:rsidR="00C460D5" w:rsidRPr="00C06E78" w:rsidRDefault="00C460D5" w:rsidP="00C460D5">
      <w:pPr>
        <w:spacing w:after="0"/>
        <w:jc w:val="both"/>
        <w:rPr>
          <w:rFonts w:ascii="Times New Roman" w:eastAsia="宋体" w:hAnsi="Times New Roman" w:cs="Times New Roman"/>
          <w:szCs w:val="22"/>
          <w14:ligatures w14:val="none"/>
        </w:rPr>
      </w:pPr>
    </w:p>
    <w:p w14:paraId="37620031" w14:textId="77777777" w:rsidR="00C460D5" w:rsidRPr="00C06E78" w:rsidRDefault="00C460D5" w:rsidP="00C460D5">
      <w:pPr>
        <w:spacing w:after="0"/>
        <w:jc w:val="both"/>
        <w:rPr>
          <w:rFonts w:ascii="Times New Roman" w:eastAsia="宋体" w:hAnsi="Times New Roman" w:cs="Times New Roman"/>
          <w:szCs w:val="22"/>
          <w14:ligatures w14:val="none"/>
        </w:rPr>
      </w:pPr>
    </w:p>
    <w:tbl>
      <w:tblPr>
        <w:tblW w:w="0" w:type="auto"/>
        <w:jc w:val="center"/>
        <w:tblLook w:val="04A0" w:firstRow="1" w:lastRow="0" w:firstColumn="1" w:lastColumn="0" w:noHBand="0" w:noVBand="1"/>
      </w:tblPr>
      <w:tblGrid>
        <w:gridCol w:w="436"/>
        <w:gridCol w:w="2257"/>
        <w:gridCol w:w="1145"/>
        <w:gridCol w:w="1115"/>
        <w:gridCol w:w="1041"/>
        <w:gridCol w:w="1115"/>
        <w:gridCol w:w="1041"/>
      </w:tblGrid>
      <w:tr w:rsidR="00CB5363" w:rsidRPr="00C06E78" w14:paraId="5B744F24" w14:textId="77777777" w:rsidTr="007130D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bookmarkEnd w:id="31"/>
          <w:bookmarkEnd w:id="32"/>
          <w:p w14:paraId="0A39A86E"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lastRenderedPageBreak/>
              <w:t xml:space="preserve">　</w:t>
            </w:r>
          </w:p>
        </w:tc>
        <w:tc>
          <w:tcPr>
            <w:tcW w:w="0" w:type="auto"/>
            <w:tcBorders>
              <w:top w:val="single" w:sz="4" w:space="0" w:color="auto"/>
              <w:left w:val="nil"/>
              <w:bottom w:val="single" w:sz="4" w:space="0" w:color="auto"/>
              <w:right w:val="single" w:sz="4" w:space="0" w:color="auto"/>
            </w:tcBorders>
            <w:noWrap/>
            <w:vAlign w:val="center"/>
            <w:hideMark/>
          </w:tcPr>
          <w:p w14:paraId="60FF400D"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period</w:t>
            </w:r>
          </w:p>
        </w:tc>
        <w:tc>
          <w:tcPr>
            <w:tcW w:w="0" w:type="auto"/>
            <w:tcBorders>
              <w:top w:val="single" w:sz="4" w:space="0" w:color="auto"/>
              <w:left w:val="nil"/>
              <w:bottom w:val="single" w:sz="4" w:space="0" w:color="auto"/>
              <w:right w:val="single" w:sz="4" w:space="0" w:color="auto"/>
            </w:tcBorders>
            <w:noWrap/>
            <w:vAlign w:val="center"/>
            <w:hideMark/>
          </w:tcPr>
          <w:p w14:paraId="3B49267D"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term</w:t>
            </w:r>
          </w:p>
        </w:tc>
        <w:tc>
          <w:tcPr>
            <w:tcW w:w="0" w:type="auto"/>
            <w:tcBorders>
              <w:top w:val="single" w:sz="4" w:space="0" w:color="auto"/>
              <w:left w:val="nil"/>
              <w:bottom w:val="single" w:sz="4" w:space="0" w:color="auto"/>
              <w:right w:val="single" w:sz="4" w:space="0" w:color="auto"/>
            </w:tcBorders>
            <w:noWrap/>
            <w:vAlign w:val="center"/>
            <w:hideMark/>
          </w:tcPr>
          <w:p w14:paraId="0056553E"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estimate</w:t>
            </w:r>
          </w:p>
        </w:tc>
        <w:tc>
          <w:tcPr>
            <w:tcW w:w="0" w:type="auto"/>
            <w:tcBorders>
              <w:top w:val="single" w:sz="4" w:space="0" w:color="auto"/>
              <w:left w:val="nil"/>
              <w:bottom w:val="single" w:sz="4" w:space="0" w:color="auto"/>
              <w:right w:val="single" w:sz="4" w:space="0" w:color="auto"/>
            </w:tcBorders>
            <w:noWrap/>
            <w:vAlign w:val="center"/>
            <w:hideMark/>
          </w:tcPr>
          <w:p w14:paraId="0B10D81C"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proofErr w:type="spellStart"/>
            <w:proofErr w:type="gramStart"/>
            <w:r w:rsidRPr="00C06E78">
              <w:rPr>
                <w:rFonts w:ascii="Times New Roman" w:eastAsia="宋体" w:hAnsi="Times New Roman" w:cs="Times New Roman"/>
                <w:color w:val="000000"/>
                <w:kern w:val="0"/>
                <w:szCs w:val="22"/>
                <w14:ligatures w14:val="none"/>
              </w:rPr>
              <w:t>std.error</w:t>
            </w:r>
            <w:proofErr w:type="spellEnd"/>
            <w:proofErr w:type="gramEnd"/>
          </w:p>
        </w:tc>
        <w:tc>
          <w:tcPr>
            <w:tcW w:w="0" w:type="auto"/>
            <w:tcBorders>
              <w:top w:val="single" w:sz="4" w:space="0" w:color="auto"/>
              <w:left w:val="nil"/>
              <w:bottom w:val="single" w:sz="4" w:space="0" w:color="auto"/>
              <w:right w:val="single" w:sz="4" w:space="0" w:color="auto"/>
            </w:tcBorders>
            <w:noWrap/>
            <w:vAlign w:val="center"/>
            <w:hideMark/>
          </w:tcPr>
          <w:p w14:paraId="203F6093"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statistic</w:t>
            </w:r>
          </w:p>
        </w:tc>
        <w:tc>
          <w:tcPr>
            <w:tcW w:w="0" w:type="auto"/>
            <w:tcBorders>
              <w:top w:val="single" w:sz="4" w:space="0" w:color="auto"/>
              <w:left w:val="nil"/>
              <w:bottom w:val="single" w:sz="4" w:space="0" w:color="auto"/>
              <w:right w:val="single" w:sz="4" w:space="0" w:color="auto"/>
            </w:tcBorders>
            <w:noWrap/>
            <w:vAlign w:val="center"/>
            <w:hideMark/>
          </w:tcPr>
          <w:p w14:paraId="3A68A44F"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proofErr w:type="spellStart"/>
            <w:r w:rsidRPr="00C06E78">
              <w:rPr>
                <w:rFonts w:ascii="Times New Roman" w:eastAsia="宋体" w:hAnsi="Times New Roman" w:cs="Times New Roman"/>
                <w:color w:val="000000"/>
                <w:kern w:val="0"/>
                <w:szCs w:val="22"/>
                <w14:ligatures w14:val="none"/>
              </w:rPr>
              <w:t>p.value</w:t>
            </w:r>
            <w:proofErr w:type="spellEnd"/>
          </w:p>
        </w:tc>
      </w:tr>
      <w:tr w:rsidR="00CB5363" w:rsidRPr="00C06E78" w14:paraId="72D92A11"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180CF18C"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1</w:t>
            </w:r>
          </w:p>
        </w:tc>
        <w:tc>
          <w:tcPr>
            <w:tcW w:w="0" w:type="auto"/>
            <w:tcBorders>
              <w:top w:val="nil"/>
              <w:left w:val="nil"/>
              <w:bottom w:val="single" w:sz="4" w:space="0" w:color="auto"/>
              <w:right w:val="single" w:sz="4" w:space="0" w:color="auto"/>
            </w:tcBorders>
            <w:noWrap/>
            <w:vAlign w:val="center"/>
            <w:hideMark/>
          </w:tcPr>
          <w:p w14:paraId="439B36B1"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COVID-19 Pandemic</w:t>
            </w:r>
          </w:p>
        </w:tc>
        <w:tc>
          <w:tcPr>
            <w:tcW w:w="0" w:type="auto"/>
            <w:tcBorders>
              <w:top w:val="nil"/>
              <w:left w:val="nil"/>
              <w:bottom w:val="single" w:sz="4" w:space="0" w:color="auto"/>
              <w:right w:val="single" w:sz="4" w:space="0" w:color="auto"/>
            </w:tcBorders>
            <w:noWrap/>
            <w:vAlign w:val="center"/>
            <w:hideMark/>
          </w:tcPr>
          <w:p w14:paraId="348DEBEF"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(Intercept)</w:t>
            </w:r>
          </w:p>
        </w:tc>
        <w:tc>
          <w:tcPr>
            <w:tcW w:w="0" w:type="auto"/>
            <w:tcBorders>
              <w:top w:val="nil"/>
              <w:left w:val="nil"/>
              <w:bottom w:val="single" w:sz="4" w:space="0" w:color="auto"/>
              <w:right w:val="single" w:sz="4" w:space="0" w:color="auto"/>
            </w:tcBorders>
            <w:noWrap/>
            <w:vAlign w:val="center"/>
            <w:hideMark/>
          </w:tcPr>
          <w:p w14:paraId="43A0FC2D"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-0.001982</w:t>
            </w:r>
          </w:p>
        </w:tc>
        <w:tc>
          <w:tcPr>
            <w:tcW w:w="0" w:type="auto"/>
            <w:tcBorders>
              <w:top w:val="nil"/>
              <w:left w:val="nil"/>
              <w:bottom w:val="single" w:sz="4" w:space="0" w:color="auto"/>
              <w:right w:val="single" w:sz="4" w:space="0" w:color="auto"/>
            </w:tcBorders>
            <w:noWrap/>
            <w:vAlign w:val="center"/>
            <w:hideMark/>
          </w:tcPr>
          <w:p w14:paraId="11F727B6"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0.003182</w:t>
            </w:r>
          </w:p>
        </w:tc>
        <w:tc>
          <w:tcPr>
            <w:tcW w:w="0" w:type="auto"/>
            <w:tcBorders>
              <w:top w:val="nil"/>
              <w:left w:val="nil"/>
              <w:bottom w:val="single" w:sz="4" w:space="0" w:color="auto"/>
              <w:right w:val="single" w:sz="4" w:space="0" w:color="auto"/>
            </w:tcBorders>
            <w:noWrap/>
            <w:vAlign w:val="center"/>
            <w:hideMark/>
          </w:tcPr>
          <w:p w14:paraId="51BB3108"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-0.622809</w:t>
            </w:r>
          </w:p>
        </w:tc>
        <w:tc>
          <w:tcPr>
            <w:tcW w:w="0" w:type="auto"/>
            <w:tcBorders>
              <w:top w:val="nil"/>
              <w:left w:val="nil"/>
              <w:bottom w:val="single" w:sz="4" w:space="0" w:color="auto"/>
              <w:right w:val="single" w:sz="4" w:space="0" w:color="auto"/>
            </w:tcBorders>
            <w:noWrap/>
            <w:vAlign w:val="center"/>
            <w:hideMark/>
          </w:tcPr>
          <w:p w14:paraId="1554D76D"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0.536081</w:t>
            </w:r>
          </w:p>
        </w:tc>
      </w:tr>
      <w:tr w:rsidR="00CB5363" w:rsidRPr="00C06E78" w14:paraId="49D6CC82"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102FB43B"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2</w:t>
            </w:r>
          </w:p>
        </w:tc>
        <w:tc>
          <w:tcPr>
            <w:tcW w:w="0" w:type="auto"/>
            <w:tcBorders>
              <w:top w:val="nil"/>
              <w:left w:val="nil"/>
              <w:bottom w:val="single" w:sz="4" w:space="0" w:color="auto"/>
              <w:right w:val="single" w:sz="4" w:space="0" w:color="auto"/>
            </w:tcBorders>
            <w:noWrap/>
            <w:vAlign w:val="center"/>
            <w:hideMark/>
          </w:tcPr>
          <w:p w14:paraId="1121FE33"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COVID-19 Pandemic</w:t>
            </w:r>
          </w:p>
        </w:tc>
        <w:tc>
          <w:tcPr>
            <w:tcW w:w="0" w:type="auto"/>
            <w:tcBorders>
              <w:top w:val="nil"/>
              <w:left w:val="nil"/>
              <w:bottom w:val="single" w:sz="4" w:space="0" w:color="auto"/>
              <w:right w:val="single" w:sz="4" w:space="0" w:color="auto"/>
            </w:tcBorders>
            <w:noWrap/>
            <w:vAlign w:val="center"/>
            <w:hideMark/>
          </w:tcPr>
          <w:p w14:paraId="602197EF"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market</w:t>
            </w:r>
          </w:p>
        </w:tc>
        <w:tc>
          <w:tcPr>
            <w:tcW w:w="0" w:type="auto"/>
            <w:tcBorders>
              <w:top w:val="nil"/>
              <w:left w:val="nil"/>
              <w:bottom w:val="single" w:sz="4" w:space="0" w:color="auto"/>
              <w:right w:val="single" w:sz="4" w:space="0" w:color="auto"/>
            </w:tcBorders>
            <w:noWrap/>
            <w:vAlign w:val="center"/>
            <w:hideMark/>
          </w:tcPr>
          <w:p w14:paraId="03CE8884"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-0.025845</w:t>
            </w:r>
          </w:p>
        </w:tc>
        <w:tc>
          <w:tcPr>
            <w:tcW w:w="0" w:type="auto"/>
            <w:tcBorders>
              <w:top w:val="nil"/>
              <w:left w:val="nil"/>
              <w:bottom w:val="single" w:sz="4" w:space="0" w:color="auto"/>
              <w:right w:val="single" w:sz="4" w:space="0" w:color="auto"/>
            </w:tcBorders>
            <w:noWrap/>
            <w:vAlign w:val="center"/>
            <w:hideMark/>
          </w:tcPr>
          <w:p w14:paraId="2557D784"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0.060162</w:t>
            </w:r>
          </w:p>
        </w:tc>
        <w:tc>
          <w:tcPr>
            <w:tcW w:w="0" w:type="auto"/>
            <w:tcBorders>
              <w:top w:val="nil"/>
              <w:left w:val="nil"/>
              <w:bottom w:val="single" w:sz="4" w:space="0" w:color="auto"/>
              <w:right w:val="single" w:sz="4" w:space="0" w:color="auto"/>
            </w:tcBorders>
            <w:noWrap/>
            <w:vAlign w:val="center"/>
            <w:hideMark/>
          </w:tcPr>
          <w:p w14:paraId="35F3B932"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-0.429591</w:t>
            </w:r>
          </w:p>
        </w:tc>
        <w:tc>
          <w:tcPr>
            <w:tcW w:w="0" w:type="auto"/>
            <w:tcBorders>
              <w:top w:val="nil"/>
              <w:left w:val="nil"/>
              <w:bottom w:val="single" w:sz="4" w:space="0" w:color="auto"/>
              <w:right w:val="single" w:sz="4" w:space="0" w:color="auto"/>
            </w:tcBorders>
            <w:noWrap/>
            <w:vAlign w:val="center"/>
            <w:hideMark/>
          </w:tcPr>
          <w:p w14:paraId="62148FA0"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0.669235</w:t>
            </w:r>
          </w:p>
        </w:tc>
      </w:tr>
      <w:tr w:rsidR="00CB5363" w:rsidRPr="00C06E78" w14:paraId="35B7BACE"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507079D5"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3</w:t>
            </w:r>
          </w:p>
        </w:tc>
        <w:tc>
          <w:tcPr>
            <w:tcW w:w="0" w:type="auto"/>
            <w:tcBorders>
              <w:top w:val="nil"/>
              <w:left w:val="nil"/>
              <w:bottom w:val="single" w:sz="4" w:space="0" w:color="auto"/>
              <w:right w:val="single" w:sz="4" w:space="0" w:color="auto"/>
            </w:tcBorders>
            <w:noWrap/>
            <w:vAlign w:val="center"/>
            <w:hideMark/>
          </w:tcPr>
          <w:p w14:paraId="05FEBBB8"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COVID-19 Pandemic</w:t>
            </w:r>
          </w:p>
        </w:tc>
        <w:tc>
          <w:tcPr>
            <w:tcW w:w="0" w:type="auto"/>
            <w:tcBorders>
              <w:top w:val="nil"/>
              <w:left w:val="nil"/>
              <w:bottom w:val="single" w:sz="4" w:space="0" w:color="auto"/>
              <w:right w:val="single" w:sz="4" w:space="0" w:color="auto"/>
            </w:tcBorders>
            <w:noWrap/>
            <w:vAlign w:val="center"/>
            <w:hideMark/>
          </w:tcPr>
          <w:p w14:paraId="1874456F"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SMB</w:t>
            </w:r>
          </w:p>
        </w:tc>
        <w:tc>
          <w:tcPr>
            <w:tcW w:w="0" w:type="auto"/>
            <w:tcBorders>
              <w:top w:val="nil"/>
              <w:left w:val="nil"/>
              <w:bottom w:val="single" w:sz="4" w:space="0" w:color="auto"/>
              <w:right w:val="single" w:sz="4" w:space="0" w:color="auto"/>
            </w:tcBorders>
            <w:noWrap/>
            <w:vAlign w:val="center"/>
            <w:hideMark/>
          </w:tcPr>
          <w:p w14:paraId="3F9860A8"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0.165557</w:t>
            </w:r>
          </w:p>
        </w:tc>
        <w:tc>
          <w:tcPr>
            <w:tcW w:w="0" w:type="auto"/>
            <w:tcBorders>
              <w:top w:val="nil"/>
              <w:left w:val="nil"/>
              <w:bottom w:val="single" w:sz="4" w:space="0" w:color="auto"/>
              <w:right w:val="single" w:sz="4" w:space="0" w:color="auto"/>
            </w:tcBorders>
            <w:noWrap/>
            <w:vAlign w:val="center"/>
            <w:hideMark/>
          </w:tcPr>
          <w:p w14:paraId="53C0E2C0"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0.090971</w:t>
            </w:r>
          </w:p>
        </w:tc>
        <w:tc>
          <w:tcPr>
            <w:tcW w:w="0" w:type="auto"/>
            <w:tcBorders>
              <w:top w:val="nil"/>
              <w:left w:val="nil"/>
              <w:bottom w:val="single" w:sz="4" w:space="0" w:color="auto"/>
              <w:right w:val="single" w:sz="4" w:space="0" w:color="auto"/>
            </w:tcBorders>
            <w:noWrap/>
            <w:vAlign w:val="center"/>
            <w:hideMark/>
          </w:tcPr>
          <w:p w14:paraId="29C7B1CC"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1.819893</w:t>
            </w:r>
          </w:p>
        </w:tc>
        <w:tc>
          <w:tcPr>
            <w:tcW w:w="0" w:type="auto"/>
            <w:tcBorders>
              <w:top w:val="nil"/>
              <w:left w:val="nil"/>
              <w:bottom w:val="single" w:sz="4" w:space="0" w:color="auto"/>
              <w:right w:val="single" w:sz="4" w:space="0" w:color="auto"/>
            </w:tcBorders>
            <w:noWrap/>
            <w:vAlign w:val="center"/>
            <w:hideMark/>
          </w:tcPr>
          <w:p w14:paraId="6CFCB4FA"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0.074425</w:t>
            </w:r>
          </w:p>
        </w:tc>
      </w:tr>
      <w:tr w:rsidR="00CB5363" w:rsidRPr="00C06E78" w14:paraId="1594430F"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64863E89"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4</w:t>
            </w:r>
          </w:p>
        </w:tc>
        <w:tc>
          <w:tcPr>
            <w:tcW w:w="0" w:type="auto"/>
            <w:tcBorders>
              <w:top w:val="nil"/>
              <w:left w:val="nil"/>
              <w:bottom w:val="single" w:sz="4" w:space="0" w:color="auto"/>
              <w:right w:val="single" w:sz="4" w:space="0" w:color="auto"/>
            </w:tcBorders>
            <w:noWrap/>
            <w:vAlign w:val="center"/>
            <w:hideMark/>
          </w:tcPr>
          <w:p w14:paraId="0D19F579"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COVID-19 Pandemic</w:t>
            </w:r>
          </w:p>
        </w:tc>
        <w:tc>
          <w:tcPr>
            <w:tcW w:w="0" w:type="auto"/>
            <w:tcBorders>
              <w:top w:val="nil"/>
              <w:left w:val="nil"/>
              <w:bottom w:val="single" w:sz="4" w:space="0" w:color="auto"/>
              <w:right w:val="single" w:sz="4" w:space="0" w:color="auto"/>
            </w:tcBorders>
            <w:noWrap/>
            <w:vAlign w:val="center"/>
            <w:hideMark/>
          </w:tcPr>
          <w:p w14:paraId="37EAE56B"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HML</w:t>
            </w:r>
          </w:p>
        </w:tc>
        <w:tc>
          <w:tcPr>
            <w:tcW w:w="0" w:type="auto"/>
            <w:tcBorders>
              <w:top w:val="nil"/>
              <w:left w:val="nil"/>
              <w:bottom w:val="single" w:sz="4" w:space="0" w:color="auto"/>
              <w:right w:val="single" w:sz="4" w:space="0" w:color="auto"/>
            </w:tcBorders>
            <w:noWrap/>
            <w:vAlign w:val="center"/>
            <w:hideMark/>
          </w:tcPr>
          <w:p w14:paraId="49701821"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0.237657</w:t>
            </w:r>
          </w:p>
        </w:tc>
        <w:tc>
          <w:tcPr>
            <w:tcW w:w="0" w:type="auto"/>
            <w:tcBorders>
              <w:top w:val="nil"/>
              <w:left w:val="nil"/>
              <w:bottom w:val="single" w:sz="4" w:space="0" w:color="auto"/>
              <w:right w:val="single" w:sz="4" w:space="0" w:color="auto"/>
            </w:tcBorders>
            <w:noWrap/>
            <w:vAlign w:val="center"/>
            <w:hideMark/>
          </w:tcPr>
          <w:p w14:paraId="6C5A9728"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0.086946</w:t>
            </w:r>
          </w:p>
        </w:tc>
        <w:tc>
          <w:tcPr>
            <w:tcW w:w="0" w:type="auto"/>
            <w:tcBorders>
              <w:top w:val="nil"/>
              <w:left w:val="nil"/>
              <w:bottom w:val="single" w:sz="4" w:space="0" w:color="auto"/>
              <w:right w:val="single" w:sz="4" w:space="0" w:color="auto"/>
            </w:tcBorders>
            <w:noWrap/>
            <w:vAlign w:val="center"/>
            <w:hideMark/>
          </w:tcPr>
          <w:p w14:paraId="6A65CC52"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2.733394</w:t>
            </w:r>
          </w:p>
        </w:tc>
        <w:tc>
          <w:tcPr>
            <w:tcW w:w="0" w:type="auto"/>
            <w:tcBorders>
              <w:top w:val="nil"/>
              <w:left w:val="nil"/>
              <w:bottom w:val="single" w:sz="4" w:space="0" w:color="auto"/>
              <w:right w:val="single" w:sz="4" w:space="0" w:color="auto"/>
            </w:tcBorders>
            <w:noWrap/>
            <w:vAlign w:val="center"/>
            <w:hideMark/>
          </w:tcPr>
          <w:p w14:paraId="5E5C4A1E"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0.008501</w:t>
            </w:r>
          </w:p>
        </w:tc>
      </w:tr>
      <w:tr w:rsidR="00CB5363" w:rsidRPr="00C06E78" w14:paraId="70CFDC58"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73DD47F9"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5</w:t>
            </w:r>
          </w:p>
        </w:tc>
        <w:tc>
          <w:tcPr>
            <w:tcW w:w="0" w:type="auto"/>
            <w:tcBorders>
              <w:top w:val="nil"/>
              <w:left w:val="nil"/>
              <w:bottom w:val="single" w:sz="4" w:space="0" w:color="auto"/>
              <w:right w:val="single" w:sz="4" w:space="0" w:color="auto"/>
            </w:tcBorders>
            <w:noWrap/>
            <w:vAlign w:val="center"/>
            <w:hideMark/>
          </w:tcPr>
          <w:p w14:paraId="0B1F1E23"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COVID-19 Pandemic</w:t>
            </w:r>
          </w:p>
        </w:tc>
        <w:tc>
          <w:tcPr>
            <w:tcW w:w="0" w:type="auto"/>
            <w:tcBorders>
              <w:top w:val="nil"/>
              <w:left w:val="nil"/>
              <w:bottom w:val="single" w:sz="4" w:space="0" w:color="auto"/>
              <w:right w:val="single" w:sz="4" w:space="0" w:color="auto"/>
            </w:tcBorders>
            <w:noWrap/>
            <w:vAlign w:val="center"/>
            <w:hideMark/>
          </w:tcPr>
          <w:p w14:paraId="43D3CFCC"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RMW</w:t>
            </w:r>
          </w:p>
        </w:tc>
        <w:tc>
          <w:tcPr>
            <w:tcW w:w="0" w:type="auto"/>
            <w:tcBorders>
              <w:top w:val="nil"/>
              <w:left w:val="nil"/>
              <w:bottom w:val="single" w:sz="4" w:space="0" w:color="auto"/>
              <w:right w:val="single" w:sz="4" w:space="0" w:color="auto"/>
            </w:tcBorders>
            <w:noWrap/>
            <w:vAlign w:val="center"/>
            <w:hideMark/>
          </w:tcPr>
          <w:p w14:paraId="2FD7AFF5"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0.239567</w:t>
            </w:r>
          </w:p>
        </w:tc>
        <w:tc>
          <w:tcPr>
            <w:tcW w:w="0" w:type="auto"/>
            <w:tcBorders>
              <w:top w:val="nil"/>
              <w:left w:val="nil"/>
              <w:bottom w:val="single" w:sz="4" w:space="0" w:color="auto"/>
              <w:right w:val="single" w:sz="4" w:space="0" w:color="auto"/>
            </w:tcBorders>
            <w:noWrap/>
            <w:vAlign w:val="center"/>
            <w:hideMark/>
          </w:tcPr>
          <w:p w14:paraId="00862499"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0.120602</w:t>
            </w:r>
          </w:p>
        </w:tc>
        <w:tc>
          <w:tcPr>
            <w:tcW w:w="0" w:type="auto"/>
            <w:tcBorders>
              <w:top w:val="nil"/>
              <w:left w:val="nil"/>
              <w:bottom w:val="single" w:sz="4" w:space="0" w:color="auto"/>
              <w:right w:val="single" w:sz="4" w:space="0" w:color="auto"/>
            </w:tcBorders>
            <w:noWrap/>
            <w:vAlign w:val="center"/>
            <w:hideMark/>
          </w:tcPr>
          <w:p w14:paraId="3536A5D9"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1.986422</w:t>
            </w:r>
          </w:p>
        </w:tc>
        <w:tc>
          <w:tcPr>
            <w:tcW w:w="0" w:type="auto"/>
            <w:tcBorders>
              <w:top w:val="nil"/>
              <w:left w:val="nil"/>
              <w:bottom w:val="single" w:sz="4" w:space="0" w:color="auto"/>
              <w:right w:val="single" w:sz="4" w:space="0" w:color="auto"/>
            </w:tcBorders>
            <w:noWrap/>
            <w:vAlign w:val="center"/>
            <w:hideMark/>
          </w:tcPr>
          <w:p w14:paraId="0C854C61"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0.052168</w:t>
            </w:r>
          </w:p>
        </w:tc>
      </w:tr>
      <w:tr w:rsidR="00CB5363" w:rsidRPr="00C06E78" w14:paraId="65730440"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71451FE1"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6</w:t>
            </w:r>
          </w:p>
        </w:tc>
        <w:tc>
          <w:tcPr>
            <w:tcW w:w="0" w:type="auto"/>
            <w:tcBorders>
              <w:top w:val="nil"/>
              <w:left w:val="nil"/>
              <w:bottom w:val="single" w:sz="4" w:space="0" w:color="auto"/>
              <w:right w:val="single" w:sz="4" w:space="0" w:color="auto"/>
            </w:tcBorders>
            <w:noWrap/>
            <w:vAlign w:val="center"/>
            <w:hideMark/>
          </w:tcPr>
          <w:p w14:paraId="03E4DF5F"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COVID-19 Pandemic</w:t>
            </w:r>
          </w:p>
        </w:tc>
        <w:tc>
          <w:tcPr>
            <w:tcW w:w="0" w:type="auto"/>
            <w:tcBorders>
              <w:top w:val="nil"/>
              <w:left w:val="nil"/>
              <w:bottom w:val="single" w:sz="4" w:space="0" w:color="auto"/>
              <w:right w:val="single" w:sz="4" w:space="0" w:color="auto"/>
            </w:tcBorders>
            <w:noWrap/>
            <w:vAlign w:val="center"/>
            <w:hideMark/>
          </w:tcPr>
          <w:p w14:paraId="7E59F0E3"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CMA</w:t>
            </w:r>
          </w:p>
        </w:tc>
        <w:tc>
          <w:tcPr>
            <w:tcW w:w="0" w:type="auto"/>
            <w:tcBorders>
              <w:top w:val="nil"/>
              <w:left w:val="nil"/>
              <w:bottom w:val="single" w:sz="4" w:space="0" w:color="auto"/>
              <w:right w:val="single" w:sz="4" w:space="0" w:color="auto"/>
            </w:tcBorders>
            <w:noWrap/>
            <w:vAlign w:val="center"/>
            <w:hideMark/>
          </w:tcPr>
          <w:p w14:paraId="5B7B2934"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0.246815</w:t>
            </w:r>
          </w:p>
        </w:tc>
        <w:tc>
          <w:tcPr>
            <w:tcW w:w="0" w:type="auto"/>
            <w:tcBorders>
              <w:top w:val="nil"/>
              <w:left w:val="nil"/>
              <w:bottom w:val="single" w:sz="4" w:space="0" w:color="auto"/>
              <w:right w:val="single" w:sz="4" w:space="0" w:color="auto"/>
            </w:tcBorders>
            <w:noWrap/>
            <w:vAlign w:val="center"/>
            <w:hideMark/>
          </w:tcPr>
          <w:p w14:paraId="1EE889BB"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0.0964</w:t>
            </w:r>
          </w:p>
        </w:tc>
        <w:tc>
          <w:tcPr>
            <w:tcW w:w="0" w:type="auto"/>
            <w:tcBorders>
              <w:top w:val="nil"/>
              <w:left w:val="nil"/>
              <w:bottom w:val="single" w:sz="4" w:space="0" w:color="auto"/>
              <w:right w:val="single" w:sz="4" w:space="0" w:color="auto"/>
            </w:tcBorders>
            <w:noWrap/>
            <w:vAlign w:val="center"/>
            <w:hideMark/>
          </w:tcPr>
          <w:p w14:paraId="59F89C9B"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2.560323</w:t>
            </w:r>
          </w:p>
        </w:tc>
        <w:tc>
          <w:tcPr>
            <w:tcW w:w="0" w:type="auto"/>
            <w:tcBorders>
              <w:top w:val="nil"/>
              <w:left w:val="nil"/>
              <w:bottom w:val="single" w:sz="4" w:space="0" w:color="auto"/>
              <w:right w:val="single" w:sz="4" w:space="0" w:color="auto"/>
            </w:tcBorders>
            <w:noWrap/>
            <w:vAlign w:val="center"/>
            <w:hideMark/>
          </w:tcPr>
          <w:p w14:paraId="319CBFB3"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0.013343</w:t>
            </w:r>
          </w:p>
        </w:tc>
      </w:tr>
      <w:tr w:rsidR="00CB5363" w:rsidRPr="00C06E78" w14:paraId="65005644"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0876FD5F"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7</w:t>
            </w:r>
          </w:p>
        </w:tc>
        <w:tc>
          <w:tcPr>
            <w:tcW w:w="0" w:type="auto"/>
            <w:tcBorders>
              <w:top w:val="nil"/>
              <w:left w:val="nil"/>
              <w:bottom w:val="single" w:sz="4" w:space="0" w:color="auto"/>
              <w:right w:val="single" w:sz="4" w:space="0" w:color="auto"/>
            </w:tcBorders>
            <w:noWrap/>
            <w:vAlign w:val="center"/>
            <w:hideMark/>
          </w:tcPr>
          <w:p w14:paraId="57E2CB20"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COVID-19 Pandemic</w:t>
            </w:r>
          </w:p>
        </w:tc>
        <w:tc>
          <w:tcPr>
            <w:tcW w:w="0" w:type="auto"/>
            <w:tcBorders>
              <w:top w:val="nil"/>
              <w:left w:val="nil"/>
              <w:bottom w:val="single" w:sz="4" w:space="0" w:color="auto"/>
              <w:right w:val="single" w:sz="4" w:space="0" w:color="auto"/>
            </w:tcBorders>
            <w:noWrap/>
            <w:vAlign w:val="center"/>
            <w:hideMark/>
          </w:tcPr>
          <w:p w14:paraId="32976B82"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UMD</w:t>
            </w:r>
          </w:p>
        </w:tc>
        <w:tc>
          <w:tcPr>
            <w:tcW w:w="0" w:type="auto"/>
            <w:tcBorders>
              <w:top w:val="nil"/>
              <w:left w:val="nil"/>
              <w:bottom w:val="single" w:sz="4" w:space="0" w:color="auto"/>
              <w:right w:val="single" w:sz="4" w:space="0" w:color="auto"/>
            </w:tcBorders>
            <w:noWrap/>
            <w:vAlign w:val="center"/>
            <w:hideMark/>
          </w:tcPr>
          <w:p w14:paraId="76042EBE"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0.516467</w:t>
            </w:r>
          </w:p>
        </w:tc>
        <w:tc>
          <w:tcPr>
            <w:tcW w:w="0" w:type="auto"/>
            <w:tcBorders>
              <w:top w:val="nil"/>
              <w:left w:val="nil"/>
              <w:bottom w:val="single" w:sz="4" w:space="0" w:color="auto"/>
              <w:right w:val="single" w:sz="4" w:space="0" w:color="auto"/>
            </w:tcBorders>
            <w:noWrap/>
            <w:vAlign w:val="center"/>
            <w:hideMark/>
          </w:tcPr>
          <w:p w14:paraId="19822B08"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0.068829</w:t>
            </w:r>
          </w:p>
        </w:tc>
        <w:tc>
          <w:tcPr>
            <w:tcW w:w="0" w:type="auto"/>
            <w:tcBorders>
              <w:top w:val="nil"/>
              <w:left w:val="nil"/>
              <w:bottom w:val="single" w:sz="4" w:space="0" w:color="auto"/>
              <w:right w:val="single" w:sz="4" w:space="0" w:color="auto"/>
            </w:tcBorders>
            <w:noWrap/>
            <w:vAlign w:val="center"/>
            <w:hideMark/>
          </w:tcPr>
          <w:p w14:paraId="31B99D0F"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7.503608</w:t>
            </w:r>
          </w:p>
        </w:tc>
        <w:tc>
          <w:tcPr>
            <w:tcW w:w="0" w:type="auto"/>
            <w:tcBorders>
              <w:top w:val="nil"/>
              <w:left w:val="nil"/>
              <w:bottom w:val="single" w:sz="4" w:space="0" w:color="auto"/>
              <w:right w:val="single" w:sz="4" w:space="0" w:color="auto"/>
            </w:tcBorders>
            <w:noWrap/>
            <w:vAlign w:val="center"/>
            <w:hideMark/>
          </w:tcPr>
          <w:p w14:paraId="38CB2968"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6.98E-10</w:t>
            </w:r>
          </w:p>
        </w:tc>
      </w:tr>
      <w:tr w:rsidR="00CB5363" w:rsidRPr="00C06E78" w14:paraId="7EE8E3F8"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58FA6696"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8</w:t>
            </w:r>
          </w:p>
        </w:tc>
        <w:tc>
          <w:tcPr>
            <w:tcW w:w="0" w:type="auto"/>
            <w:tcBorders>
              <w:top w:val="nil"/>
              <w:left w:val="nil"/>
              <w:bottom w:val="single" w:sz="4" w:space="0" w:color="auto"/>
              <w:right w:val="single" w:sz="4" w:space="0" w:color="auto"/>
            </w:tcBorders>
            <w:noWrap/>
            <w:vAlign w:val="center"/>
            <w:hideMark/>
          </w:tcPr>
          <w:p w14:paraId="193E7A50"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Global Financial Crisis</w:t>
            </w:r>
          </w:p>
        </w:tc>
        <w:tc>
          <w:tcPr>
            <w:tcW w:w="0" w:type="auto"/>
            <w:tcBorders>
              <w:top w:val="nil"/>
              <w:left w:val="nil"/>
              <w:bottom w:val="single" w:sz="4" w:space="0" w:color="auto"/>
              <w:right w:val="single" w:sz="4" w:space="0" w:color="auto"/>
            </w:tcBorders>
            <w:noWrap/>
            <w:vAlign w:val="center"/>
            <w:hideMark/>
          </w:tcPr>
          <w:p w14:paraId="0CE6FF2B"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(Intercept)</w:t>
            </w:r>
          </w:p>
        </w:tc>
        <w:tc>
          <w:tcPr>
            <w:tcW w:w="0" w:type="auto"/>
            <w:tcBorders>
              <w:top w:val="nil"/>
              <w:left w:val="nil"/>
              <w:bottom w:val="single" w:sz="4" w:space="0" w:color="auto"/>
              <w:right w:val="single" w:sz="4" w:space="0" w:color="auto"/>
            </w:tcBorders>
            <w:noWrap/>
            <w:vAlign w:val="center"/>
            <w:hideMark/>
          </w:tcPr>
          <w:p w14:paraId="14D7DFA1"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-0.011177</w:t>
            </w:r>
          </w:p>
        </w:tc>
        <w:tc>
          <w:tcPr>
            <w:tcW w:w="0" w:type="auto"/>
            <w:tcBorders>
              <w:top w:val="nil"/>
              <w:left w:val="nil"/>
              <w:bottom w:val="single" w:sz="4" w:space="0" w:color="auto"/>
              <w:right w:val="single" w:sz="4" w:space="0" w:color="auto"/>
            </w:tcBorders>
            <w:noWrap/>
            <w:vAlign w:val="center"/>
            <w:hideMark/>
          </w:tcPr>
          <w:p w14:paraId="38AAD025"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0.006877</w:t>
            </w:r>
          </w:p>
        </w:tc>
        <w:tc>
          <w:tcPr>
            <w:tcW w:w="0" w:type="auto"/>
            <w:tcBorders>
              <w:top w:val="nil"/>
              <w:left w:val="nil"/>
              <w:bottom w:val="single" w:sz="4" w:space="0" w:color="auto"/>
              <w:right w:val="single" w:sz="4" w:space="0" w:color="auto"/>
            </w:tcBorders>
            <w:noWrap/>
            <w:vAlign w:val="center"/>
            <w:hideMark/>
          </w:tcPr>
          <w:p w14:paraId="0BFFFF2D"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-1.625237</w:t>
            </w:r>
          </w:p>
        </w:tc>
        <w:tc>
          <w:tcPr>
            <w:tcW w:w="0" w:type="auto"/>
            <w:tcBorders>
              <w:top w:val="nil"/>
              <w:left w:val="nil"/>
              <w:bottom w:val="single" w:sz="4" w:space="0" w:color="auto"/>
              <w:right w:val="single" w:sz="4" w:space="0" w:color="auto"/>
            </w:tcBorders>
            <w:noWrap/>
            <w:vAlign w:val="center"/>
            <w:hideMark/>
          </w:tcPr>
          <w:p w14:paraId="76ED0BC1"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130069.5</w:t>
            </w:r>
          </w:p>
        </w:tc>
      </w:tr>
      <w:tr w:rsidR="00CB5363" w:rsidRPr="00C06E78" w14:paraId="55D08F41"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477EA0D9"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9</w:t>
            </w:r>
          </w:p>
        </w:tc>
        <w:tc>
          <w:tcPr>
            <w:tcW w:w="0" w:type="auto"/>
            <w:tcBorders>
              <w:top w:val="nil"/>
              <w:left w:val="nil"/>
              <w:bottom w:val="single" w:sz="4" w:space="0" w:color="auto"/>
              <w:right w:val="single" w:sz="4" w:space="0" w:color="auto"/>
            </w:tcBorders>
            <w:noWrap/>
            <w:vAlign w:val="center"/>
            <w:hideMark/>
          </w:tcPr>
          <w:p w14:paraId="5FED7321"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Global Financial Crisis</w:t>
            </w:r>
          </w:p>
        </w:tc>
        <w:tc>
          <w:tcPr>
            <w:tcW w:w="0" w:type="auto"/>
            <w:tcBorders>
              <w:top w:val="nil"/>
              <w:left w:val="nil"/>
              <w:bottom w:val="single" w:sz="4" w:space="0" w:color="auto"/>
              <w:right w:val="single" w:sz="4" w:space="0" w:color="auto"/>
            </w:tcBorders>
            <w:noWrap/>
            <w:vAlign w:val="center"/>
            <w:hideMark/>
          </w:tcPr>
          <w:p w14:paraId="3366B213"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market</w:t>
            </w:r>
          </w:p>
        </w:tc>
        <w:tc>
          <w:tcPr>
            <w:tcW w:w="0" w:type="auto"/>
            <w:tcBorders>
              <w:top w:val="nil"/>
              <w:left w:val="nil"/>
              <w:bottom w:val="single" w:sz="4" w:space="0" w:color="auto"/>
              <w:right w:val="single" w:sz="4" w:space="0" w:color="auto"/>
            </w:tcBorders>
            <w:noWrap/>
            <w:vAlign w:val="center"/>
            <w:hideMark/>
          </w:tcPr>
          <w:p w14:paraId="05CA4AC3"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-0.10243</w:t>
            </w:r>
          </w:p>
        </w:tc>
        <w:tc>
          <w:tcPr>
            <w:tcW w:w="0" w:type="auto"/>
            <w:tcBorders>
              <w:top w:val="nil"/>
              <w:left w:val="nil"/>
              <w:bottom w:val="single" w:sz="4" w:space="0" w:color="auto"/>
              <w:right w:val="single" w:sz="4" w:space="0" w:color="auto"/>
            </w:tcBorders>
            <w:noWrap/>
            <w:vAlign w:val="center"/>
            <w:hideMark/>
          </w:tcPr>
          <w:p w14:paraId="3CA2D5BC"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0.052725</w:t>
            </w:r>
          </w:p>
        </w:tc>
        <w:tc>
          <w:tcPr>
            <w:tcW w:w="0" w:type="auto"/>
            <w:tcBorders>
              <w:top w:val="nil"/>
              <w:left w:val="nil"/>
              <w:bottom w:val="single" w:sz="4" w:space="0" w:color="auto"/>
              <w:right w:val="single" w:sz="4" w:space="0" w:color="auto"/>
            </w:tcBorders>
            <w:noWrap/>
            <w:vAlign w:val="center"/>
            <w:hideMark/>
          </w:tcPr>
          <w:p w14:paraId="4DEE5E4B"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-1.942746</w:t>
            </w:r>
          </w:p>
        </w:tc>
        <w:tc>
          <w:tcPr>
            <w:tcW w:w="0" w:type="auto"/>
            <w:tcBorders>
              <w:top w:val="nil"/>
              <w:left w:val="nil"/>
              <w:bottom w:val="single" w:sz="4" w:space="0" w:color="auto"/>
              <w:right w:val="single" w:sz="4" w:space="0" w:color="auto"/>
            </w:tcBorders>
            <w:noWrap/>
            <w:vAlign w:val="center"/>
            <w:hideMark/>
          </w:tcPr>
          <w:p w14:paraId="4CA44AA6"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0.075881</w:t>
            </w:r>
          </w:p>
        </w:tc>
      </w:tr>
      <w:tr w:rsidR="00CB5363" w:rsidRPr="00C06E78" w14:paraId="4F6ECA77"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3D149F5C"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10</w:t>
            </w:r>
          </w:p>
        </w:tc>
        <w:tc>
          <w:tcPr>
            <w:tcW w:w="0" w:type="auto"/>
            <w:tcBorders>
              <w:top w:val="nil"/>
              <w:left w:val="nil"/>
              <w:bottom w:val="single" w:sz="4" w:space="0" w:color="auto"/>
              <w:right w:val="single" w:sz="4" w:space="0" w:color="auto"/>
            </w:tcBorders>
            <w:noWrap/>
            <w:vAlign w:val="center"/>
            <w:hideMark/>
          </w:tcPr>
          <w:p w14:paraId="5B3251BB"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Global Financial Crisis</w:t>
            </w:r>
          </w:p>
        </w:tc>
        <w:tc>
          <w:tcPr>
            <w:tcW w:w="0" w:type="auto"/>
            <w:tcBorders>
              <w:top w:val="nil"/>
              <w:left w:val="nil"/>
              <w:bottom w:val="single" w:sz="4" w:space="0" w:color="auto"/>
              <w:right w:val="single" w:sz="4" w:space="0" w:color="auto"/>
            </w:tcBorders>
            <w:noWrap/>
            <w:vAlign w:val="center"/>
            <w:hideMark/>
          </w:tcPr>
          <w:p w14:paraId="34764D73"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SMB</w:t>
            </w:r>
          </w:p>
        </w:tc>
        <w:tc>
          <w:tcPr>
            <w:tcW w:w="0" w:type="auto"/>
            <w:tcBorders>
              <w:top w:val="nil"/>
              <w:left w:val="nil"/>
              <w:bottom w:val="single" w:sz="4" w:space="0" w:color="auto"/>
              <w:right w:val="single" w:sz="4" w:space="0" w:color="auto"/>
            </w:tcBorders>
            <w:noWrap/>
            <w:vAlign w:val="center"/>
            <w:hideMark/>
          </w:tcPr>
          <w:p w14:paraId="3985F870"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0.053323</w:t>
            </w:r>
          </w:p>
        </w:tc>
        <w:tc>
          <w:tcPr>
            <w:tcW w:w="0" w:type="auto"/>
            <w:tcBorders>
              <w:top w:val="nil"/>
              <w:left w:val="nil"/>
              <w:bottom w:val="single" w:sz="4" w:space="0" w:color="auto"/>
              <w:right w:val="single" w:sz="4" w:space="0" w:color="auto"/>
            </w:tcBorders>
            <w:noWrap/>
            <w:vAlign w:val="center"/>
            <w:hideMark/>
          </w:tcPr>
          <w:p w14:paraId="6398BB59"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0.185617</w:t>
            </w:r>
          </w:p>
        </w:tc>
        <w:tc>
          <w:tcPr>
            <w:tcW w:w="0" w:type="auto"/>
            <w:tcBorders>
              <w:top w:val="nil"/>
              <w:left w:val="nil"/>
              <w:bottom w:val="single" w:sz="4" w:space="0" w:color="auto"/>
              <w:right w:val="single" w:sz="4" w:space="0" w:color="auto"/>
            </w:tcBorders>
            <w:noWrap/>
            <w:vAlign w:val="center"/>
            <w:hideMark/>
          </w:tcPr>
          <w:p w14:paraId="75583D4A"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0.287274</w:t>
            </w:r>
          </w:p>
        </w:tc>
        <w:tc>
          <w:tcPr>
            <w:tcW w:w="0" w:type="auto"/>
            <w:tcBorders>
              <w:top w:val="nil"/>
              <w:left w:val="nil"/>
              <w:bottom w:val="single" w:sz="4" w:space="0" w:color="auto"/>
              <w:right w:val="single" w:sz="4" w:space="0" w:color="auto"/>
            </w:tcBorders>
            <w:noWrap/>
            <w:vAlign w:val="center"/>
            <w:hideMark/>
          </w:tcPr>
          <w:p w14:paraId="553438AB"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0.778803</w:t>
            </w:r>
          </w:p>
        </w:tc>
      </w:tr>
      <w:tr w:rsidR="00CB5363" w:rsidRPr="00C06E78" w14:paraId="28209C5B"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685A28F8"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11</w:t>
            </w:r>
          </w:p>
        </w:tc>
        <w:tc>
          <w:tcPr>
            <w:tcW w:w="0" w:type="auto"/>
            <w:tcBorders>
              <w:top w:val="nil"/>
              <w:left w:val="nil"/>
              <w:bottom w:val="single" w:sz="4" w:space="0" w:color="auto"/>
              <w:right w:val="single" w:sz="4" w:space="0" w:color="auto"/>
            </w:tcBorders>
            <w:noWrap/>
            <w:vAlign w:val="center"/>
            <w:hideMark/>
          </w:tcPr>
          <w:p w14:paraId="65E2A7F4"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Global Financial Crisis</w:t>
            </w:r>
          </w:p>
        </w:tc>
        <w:tc>
          <w:tcPr>
            <w:tcW w:w="0" w:type="auto"/>
            <w:tcBorders>
              <w:top w:val="nil"/>
              <w:left w:val="nil"/>
              <w:bottom w:val="single" w:sz="4" w:space="0" w:color="auto"/>
              <w:right w:val="single" w:sz="4" w:space="0" w:color="auto"/>
            </w:tcBorders>
            <w:noWrap/>
            <w:vAlign w:val="center"/>
            <w:hideMark/>
          </w:tcPr>
          <w:p w14:paraId="43523121"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HML</w:t>
            </w:r>
          </w:p>
        </w:tc>
        <w:tc>
          <w:tcPr>
            <w:tcW w:w="0" w:type="auto"/>
            <w:tcBorders>
              <w:top w:val="nil"/>
              <w:left w:val="nil"/>
              <w:bottom w:val="single" w:sz="4" w:space="0" w:color="auto"/>
              <w:right w:val="single" w:sz="4" w:space="0" w:color="auto"/>
            </w:tcBorders>
            <w:noWrap/>
            <w:vAlign w:val="center"/>
            <w:hideMark/>
          </w:tcPr>
          <w:p w14:paraId="433391A2"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0.061537</w:t>
            </w:r>
          </w:p>
        </w:tc>
        <w:tc>
          <w:tcPr>
            <w:tcW w:w="0" w:type="auto"/>
            <w:tcBorders>
              <w:top w:val="nil"/>
              <w:left w:val="nil"/>
              <w:bottom w:val="single" w:sz="4" w:space="0" w:color="auto"/>
              <w:right w:val="single" w:sz="4" w:space="0" w:color="auto"/>
            </w:tcBorders>
            <w:noWrap/>
            <w:vAlign w:val="center"/>
            <w:hideMark/>
          </w:tcPr>
          <w:p w14:paraId="2C66DB1B"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0.225951</w:t>
            </w:r>
          </w:p>
        </w:tc>
        <w:tc>
          <w:tcPr>
            <w:tcW w:w="0" w:type="auto"/>
            <w:tcBorders>
              <w:top w:val="nil"/>
              <w:left w:val="nil"/>
              <w:bottom w:val="single" w:sz="4" w:space="0" w:color="auto"/>
              <w:right w:val="single" w:sz="4" w:space="0" w:color="auto"/>
            </w:tcBorders>
            <w:noWrap/>
            <w:vAlign w:val="center"/>
            <w:hideMark/>
          </w:tcPr>
          <w:p w14:paraId="00F059D4"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0.272345</w:t>
            </w:r>
          </w:p>
        </w:tc>
        <w:tc>
          <w:tcPr>
            <w:tcW w:w="0" w:type="auto"/>
            <w:tcBorders>
              <w:top w:val="nil"/>
              <w:left w:val="nil"/>
              <w:bottom w:val="single" w:sz="4" w:space="0" w:color="auto"/>
              <w:right w:val="single" w:sz="4" w:space="0" w:color="auto"/>
            </w:tcBorders>
            <w:noWrap/>
            <w:vAlign w:val="center"/>
            <w:hideMark/>
          </w:tcPr>
          <w:p w14:paraId="1FB2C447"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0.789986</w:t>
            </w:r>
          </w:p>
        </w:tc>
      </w:tr>
      <w:tr w:rsidR="00CB5363" w:rsidRPr="00C06E78" w14:paraId="575400BC"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061B15C2"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12</w:t>
            </w:r>
          </w:p>
        </w:tc>
        <w:tc>
          <w:tcPr>
            <w:tcW w:w="0" w:type="auto"/>
            <w:tcBorders>
              <w:top w:val="nil"/>
              <w:left w:val="nil"/>
              <w:bottom w:val="single" w:sz="4" w:space="0" w:color="auto"/>
              <w:right w:val="single" w:sz="4" w:space="0" w:color="auto"/>
            </w:tcBorders>
            <w:noWrap/>
            <w:vAlign w:val="center"/>
            <w:hideMark/>
          </w:tcPr>
          <w:p w14:paraId="581E6245"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Global Financial Crisis</w:t>
            </w:r>
          </w:p>
        </w:tc>
        <w:tc>
          <w:tcPr>
            <w:tcW w:w="0" w:type="auto"/>
            <w:tcBorders>
              <w:top w:val="nil"/>
              <w:left w:val="nil"/>
              <w:bottom w:val="single" w:sz="4" w:space="0" w:color="auto"/>
              <w:right w:val="single" w:sz="4" w:space="0" w:color="auto"/>
            </w:tcBorders>
            <w:noWrap/>
            <w:vAlign w:val="center"/>
            <w:hideMark/>
          </w:tcPr>
          <w:p w14:paraId="20ACC866"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RMW</w:t>
            </w:r>
          </w:p>
        </w:tc>
        <w:tc>
          <w:tcPr>
            <w:tcW w:w="0" w:type="auto"/>
            <w:tcBorders>
              <w:top w:val="nil"/>
              <w:left w:val="nil"/>
              <w:bottom w:val="single" w:sz="4" w:space="0" w:color="auto"/>
              <w:right w:val="single" w:sz="4" w:space="0" w:color="auto"/>
            </w:tcBorders>
            <w:noWrap/>
            <w:vAlign w:val="center"/>
            <w:hideMark/>
          </w:tcPr>
          <w:p w14:paraId="1F90AC40"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0.168259</w:t>
            </w:r>
          </w:p>
        </w:tc>
        <w:tc>
          <w:tcPr>
            <w:tcW w:w="0" w:type="auto"/>
            <w:tcBorders>
              <w:top w:val="nil"/>
              <w:left w:val="nil"/>
              <w:bottom w:val="single" w:sz="4" w:space="0" w:color="auto"/>
              <w:right w:val="single" w:sz="4" w:space="0" w:color="auto"/>
            </w:tcBorders>
            <w:noWrap/>
            <w:vAlign w:val="center"/>
            <w:hideMark/>
          </w:tcPr>
          <w:p w14:paraId="0C2CD9C3"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0.178207</w:t>
            </w:r>
          </w:p>
        </w:tc>
        <w:tc>
          <w:tcPr>
            <w:tcW w:w="0" w:type="auto"/>
            <w:tcBorders>
              <w:top w:val="nil"/>
              <w:left w:val="nil"/>
              <w:bottom w:val="single" w:sz="4" w:space="0" w:color="auto"/>
              <w:right w:val="single" w:sz="4" w:space="0" w:color="auto"/>
            </w:tcBorders>
            <w:noWrap/>
            <w:vAlign w:val="center"/>
            <w:hideMark/>
          </w:tcPr>
          <w:p w14:paraId="2FAABE65"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0.944175</w:t>
            </w:r>
          </w:p>
        </w:tc>
        <w:tc>
          <w:tcPr>
            <w:tcW w:w="0" w:type="auto"/>
            <w:tcBorders>
              <w:top w:val="nil"/>
              <w:left w:val="nil"/>
              <w:bottom w:val="single" w:sz="4" w:space="0" w:color="auto"/>
              <w:right w:val="single" w:sz="4" w:space="0" w:color="auto"/>
            </w:tcBorders>
            <w:noWrap/>
            <w:vAlign w:val="center"/>
            <w:hideMark/>
          </w:tcPr>
          <w:p w14:paraId="4456F724"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0.363703</w:t>
            </w:r>
          </w:p>
        </w:tc>
      </w:tr>
      <w:tr w:rsidR="00CB5363" w:rsidRPr="00C06E78" w14:paraId="3571E8D2"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4CAD1246"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13</w:t>
            </w:r>
          </w:p>
        </w:tc>
        <w:tc>
          <w:tcPr>
            <w:tcW w:w="0" w:type="auto"/>
            <w:tcBorders>
              <w:top w:val="nil"/>
              <w:left w:val="nil"/>
              <w:bottom w:val="single" w:sz="4" w:space="0" w:color="auto"/>
              <w:right w:val="single" w:sz="4" w:space="0" w:color="auto"/>
            </w:tcBorders>
            <w:noWrap/>
            <w:vAlign w:val="center"/>
            <w:hideMark/>
          </w:tcPr>
          <w:p w14:paraId="26A2E970"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Global Financial Crisis</w:t>
            </w:r>
          </w:p>
        </w:tc>
        <w:tc>
          <w:tcPr>
            <w:tcW w:w="0" w:type="auto"/>
            <w:tcBorders>
              <w:top w:val="nil"/>
              <w:left w:val="nil"/>
              <w:bottom w:val="single" w:sz="4" w:space="0" w:color="auto"/>
              <w:right w:val="single" w:sz="4" w:space="0" w:color="auto"/>
            </w:tcBorders>
            <w:noWrap/>
            <w:vAlign w:val="center"/>
            <w:hideMark/>
          </w:tcPr>
          <w:p w14:paraId="52E237A4"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CMA</w:t>
            </w:r>
          </w:p>
        </w:tc>
        <w:tc>
          <w:tcPr>
            <w:tcW w:w="0" w:type="auto"/>
            <w:tcBorders>
              <w:top w:val="nil"/>
              <w:left w:val="nil"/>
              <w:bottom w:val="single" w:sz="4" w:space="0" w:color="auto"/>
              <w:right w:val="single" w:sz="4" w:space="0" w:color="auto"/>
            </w:tcBorders>
            <w:noWrap/>
            <w:vAlign w:val="center"/>
            <w:hideMark/>
          </w:tcPr>
          <w:p w14:paraId="4B7D7322"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0.165951</w:t>
            </w:r>
          </w:p>
        </w:tc>
        <w:tc>
          <w:tcPr>
            <w:tcW w:w="0" w:type="auto"/>
            <w:tcBorders>
              <w:top w:val="nil"/>
              <w:left w:val="nil"/>
              <w:bottom w:val="single" w:sz="4" w:space="0" w:color="auto"/>
              <w:right w:val="single" w:sz="4" w:space="0" w:color="auto"/>
            </w:tcBorders>
            <w:noWrap/>
            <w:vAlign w:val="center"/>
            <w:hideMark/>
          </w:tcPr>
          <w:p w14:paraId="26B6B00D"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0.258021</w:t>
            </w:r>
          </w:p>
        </w:tc>
        <w:tc>
          <w:tcPr>
            <w:tcW w:w="0" w:type="auto"/>
            <w:tcBorders>
              <w:top w:val="nil"/>
              <w:left w:val="nil"/>
              <w:bottom w:val="single" w:sz="4" w:space="0" w:color="auto"/>
              <w:right w:val="single" w:sz="4" w:space="0" w:color="auto"/>
            </w:tcBorders>
            <w:noWrap/>
            <w:vAlign w:val="center"/>
            <w:hideMark/>
          </w:tcPr>
          <w:p w14:paraId="498CAE40"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0.643168</w:t>
            </w:r>
          </w:p>
        </w:tc>
        <w:tc>
          <w:tcPr>
            <w:tcW w:w="0" w:type="auto"/>
            <w:tcBorders>
              <w:top w:val="nil"/>
              <w:left w:val="nil"/>
              <w:bottom w:val="single" w:sz="4" w:space="0" w:color="auto"/>
              <w:right w:val="single" w:sz="4" w:space="0" w:color="auto"/>
            </w:tcBorders>
            <w:noWrap/>
            <w:vAlign w:val="center"/>
            <w:hideMark/>
          </w:tcPr>
          <w:p w14:paraId="3505AAB0"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0.532213</w:t>
            </w:r>
          </w:p>
        </w:tc>
      </w:tr>
      <w:tr w:rsidR="00CB5363" w:rsidRPr="00C06E78" w14:paraId="4489E9BA"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6DFD93AF"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14</w:t>
            </w:r>
          </w:p>
        </w:tc>
        <w:tc>
          <w:tcPr>
            <w:tcW w:w="0" w:type="auto"/>
            <w:tcBorders>
              <w:top w:val="nil"/>
              <w:left w:val="nil"/>
              <w:bottom w:val="single" w:sz="4" w:space="0" w:color="auto"/>
              <w:right w:val="single" w:sz="4" w:space="0" w:color="auto"/>
            </w:tcBorders>
            <w:noWrap/>
            <w:vAlign w:val="center"/>
            <w:hideMark/>
          </w:tcPr>
          <w:p w14:paraId="341780C8"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Global Financial Crisis</w:t>
            </w:r>
          </w:p>
        </w:tc>
        <w:tc>
          <w:tcPr>
            <w:tcW w:w="0" w:type="auto"/>
            <w:tcBorders>
              <w:top w:val="nil"/>
              <w:left w:val="nil"/>
              <w:bottom w:val="single" w:sz="4" w:space="0" w:color="auto"/>
              <w:right w:val="single" w:sz="4" w:space="0" w:color="auto"/>
            </w:tcBorders>
            <w:noWrap/>
            <w:vAlign w:val="center"/>
            <w:hideMark/>
          </w:tcPr>
          <w:p w14:paraId="04B45B31"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UMD</w:t>
            </w:r>
          </w:p>
        </w:tc>
        <w:tc>
          <w:tcPr>
            <w:tcW w:w="0" w:type="auto"/>
            <w:tcBorders>
              <w:top w:val="nil"/>
              <w:left w:val="nil"/>
              <w:bottom w:val="single" w:sz="4" w:space="0" w:color="auto"/>
              <w:right w:val="single" w:sz="4" w:space="0" w:color="auto"/>
            </w:tcBorders>
            <w:noWrap/>
            <w:vAlign w:val="center"/>
            <w:hideMark/>
          </w:tcPr>
          <w:p w14:paraId="161B14CF"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0.365092</w:t>
            </w:r>
          </w:p>
        </w:tc>
        <w:tc>
          <w:tcPr>
            <w:tcW w:w="0" w:type="auto"/>
            <w:tcBorders>
              <w:top w:val="nil"/>
              <w:left w:val="nil"/>
              <w:bottom w:val="single" w:sz="4" w:space="0" w:color="auto"/>
              <w:right w:val="single" w:sz="4" w:space="0" w:color="auto"/>
            </w:tcBorders>
            <w:noWrap/>
            <w:vAlign w:val="center"/>
            <w:hideMark/>
          </w:tcPr>
          <w:p w14:paraId="27FA10E8"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0.15954</w:t>
            </w:r>
          </w:p>
        </w:tc>
        <w:tc>
          <w:tcPr>
            <w:tcW w:w="0" w:type="auto"/>
            <w:tcBorders>
              <w:top w:val="nil"/>
              <w:left w:val="nil"/>
              <w:bottom w:val="single" w:sz="4" w:space="0" w:color="auto"/>
              <w:right w:val="single" w:sz="4" w:space="0" w:color="auto"/>
            </w:tcBorders>
            <w:noWrap/>
            <w:vAlign w:val="center"/>
            <w:hideMark/>
          </w:tcPr>
          <w:p w14:paraId="3F67679A"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2.288403</w:t>
            </w:r>
          </w:p>
        </w:tc>
        <w:tc>
          <w:tcPr>
            <w:tcW w:w="0" w:type="auto"/>
            <w:tcBorders>
              <w:top w:val="nil"/>
              <w:left w:val="nil"/>
              <w:bottom w:val="single" w:sz="4" w:space="0" w:color="auto"/>
              <w:right w:val="single" w:sz="4" w:space="0" w:color="auto"/>
            </w:tcBorders>
            <w:noWrap/>
            <w:vAlign w:val="center"/>
            <w:hideMark/>
          </w:tcPr>
          <w:p w14:paraId="7CFE582E"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0.04105</w:t>
            </w:r>
          </w:p>
        </w:tc>
      </w:tr>
      <w:tr w:rsidR="00CB5363" w:rsidRPr="00C06E78" w14:paraId="78D7228B"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79D858B6"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15</w:t>
            </w:r>
          </w:p>
        </w:tc>
        <w:tc>
          <w:tcPr>
            <w:tcW w:w="0" w:type="auto"/>
            <w:tcBorders>
              <w:top w:val="nil"/>
              <w:left w:val="nil"/>
              <w:bottom w:val="single" w:sz="4" w:space="0" w:color="auto"/>
              <w:right w:val="single" w:sz="4" w:space="0" w:color="auto"/>
            </w:tcBorders>
            <w:noWrap/>
            <w:vAlign w:val="center"/>
            <w:hideMark/>
          </w:tcPr>
          <w:p w14:paraId="7BD03DA4"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Post-GFC Expansion</w:t>
            </w:r>
          </w:p>
        </w:tc>
        <w:tc>
          <w:tcPr>
            <w:tcW w:w="0" w:type="auto"/>
            <w:tcBorders>
              <w:top w:val="nil"/>
              <w:left w:val="nil"/>
              <w:bottom w:val="single" w:sz="4" w:space="0" w:color="auto"/>
              <w:right w:val="single" w:sz="4" w:space="0" w:color="auto"/>
            </w:tcBorders>
            <w:noWrap/>
            <w:vAlign w:val="center"/>
            <w:hideMark/>
          </w:tcPr>
          <w:p w14:paraId="7ED9C2C5"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(Intercept)</w:t>
            </w:r>
          </w:p>
        </w:tc>
        <w:tc>
          <w:tcPr>
            <w:tcW w:w="0" w:type="auto"/>
            <w:tcBorders>
              <w:top w:val="nil"/>
              <w:left w:val="nil"/>
              <w:bottom w:val="single" w:sz="4" w:space="0" w:color="auto"/>
              <w:right w:val="single" w:sz="4" w:space="0" w:color="auto"/>
            </w:tcBorders>
            <w:noWrap/>
            <w:vAlign w:val="center"/>
            <w:hideMark/>
          </w:tcPr>
          <w:p w14:paraId="03120C10"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0.001599</w:t>
            </w:r>
          </w:p>
        </w:tc>
        <w:tc>
          <w:tcPr>
            <w:tcW w:w="0" w:type="auto"/>
            <w:tcBorders>
              <w:top w:val="nil"/>
              <w:left w:val="nil"/>
              <w:bottom w:val="single" w:sz="4" w:space="0" w:color="auto"/>
              <w:right w:val="single" w:sz="4" w:space="0" w:color="auto"/>
            </w:tcBorders>
            <w:noWrap/>
            <w:vAlign w:val="center"/>
            <w:hideMark/>
          </w:tcPr>
          <w:p w14:paraId="6665651A"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0.002245</w:t>
            </w:r>
          </w:p>
        </w:tc>
        <w:tc>
          <w:tcPr>
            <w:tcW w:w="0" w:type="auto"/>
            <w:tcBorders>
              <w:top w:val="nil"/>
              <w:left w:val="nil"/>
              <w:bottom w:val="single" w:sz="4" w:space="0" w:color="auto"/>
              <w:right w:val="single" w:sz="4" w:space="0" w:color="auto"/>
            </w:tcBorders>
            <w:noWrap/>
            <w:vAlign w:val="center"/>
            <w:hideMark/>
          </w:tcPr>
          <w:p w14:paraId="5AE4857D"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0.712441</w:t>
            </w:r>
          </w:p>
        </w:tc>
        <w:tc>
          <w:tcPr>
            <w:tcW w:w="0" w:type="auto"/>
            <w:tcBorders>
              <w:top w:val="nil"/>
              <w:left w:val="nil"/>
              <w:bottom w:val="single" w:sz="4" w:space="0" w:color="auto"/>
              <w:right w:val="single" w:sz="4" w:space="0" w:color="auto"/>
            </w:tcBorders>
            <w:noWrap/>
            <w:vAlign w:val="center"/>
            <w:hideMark/>
          </w:tcPr>
          <w:p w14:paraId="0BE20499"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0.477587</w:t>
            </w:r>
          </w:p>
        </w:tc>
      </w:tr>
      <w:tr w:rsidR="00CB5363" w:rsidRPr="00C06E78" w14:paraId="6A2C01AE"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70551AD7"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16</w:t>
            </w:r>
          </w:p>
        </w:tc>
        <w:tc>
          <w:tcPr>
            <w:tcW w:w="0" w:type="auto"/>
            <w:tcBorders>
              <w:top w:val="nil"/>
              <w:left w:val="nil"/>
              <w:bottom w:val="single" w:sz="4" w:space="0" w:color="auto"/>
              <w:right w:val="single" w:sz="4" w:space="0" w:color="auto"/>
            </w:tcBorders>
            <w:noWrap/>
            <w:vAlign w:val="center"/>
            <w:hideMark/>
          </w:tcPr>
          <w:p w14:paraId="0BF39D20"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Post-GFC Expansion</w:t>
            </w:r>
          </w:p>
        </w:tc>
        <w:tc>
          <w:tcPr>
            <w:tcW w:w="0" w:type="auto"/>
            <w:tcBorders>
              <w:top w:val="nil"/>
              <w:left w:val="nil"/>
              <w:bottom w:val="single" w:sz="4" w:space="0" w:color="auto"/>
              <w:right w:val="single" w:sz="4" w:space="0" w:color="auto"/>
            </w:tcBorders>
            <w:noWrap/>
            <w:vAlign w:val="center"/>
            <w:hideMark/>
          </w:tcPr>
          <w:p w14:paraId="1BDF8136"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market</w:t>
            </w:r>
          </w:p>
        </w:tc>
        <w:tc>
          <w:tcPr>
            <w:tcW w:w="0" w:type="auto"/>
            <w:tcBorders>
              <w:top w:val="nil"/>
              <w:left w:val="nil"/>
              <w:bottom w:val="single" w:sz="4" w:space="0" w:color="auto"/>
              <w:right w:val="single" w:sz="4" w:space="0" w:color="auto"/>
            </w:tcBorders>
            <w:noWrap/>
            <w:vAlign w:val="center"/>
            <w:hideMark/>
          </w:tcPr>
          <w:p w14:paraId="686CAB03"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-0.092943</w:t>
            </w:r>
          </w:p>
        </w:tc>
        <w:tc>
          <w:tcPr>
            <w:tcW w:w="0" w:type="auto"/>
            <w:tcBorders>
              <w:top w:val="nil"/>
              <w:left w:val="nil"/>
              <w:bottom w:val="single" w:sz="4" w:space="0" w:color="auto"/>
              <w:right w:val="single" w:sz="4" w:space="0" w:color="auto"/>
            </w:tcBorders>
            <w:noWrap/>
            <w:vAlign w:val="center"/>
            <w:hideMark/>
          </w:tcPr>
          <w:p w14:paraId="2BE98D59"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0.033664</w:t>
            </w:r>
          </w:p>
        </w:tc>
        <w:tc>
          <w:tcPr>
            <w:tcW w:w="0" w:type="auto"/>
            <w:tcBorders>
              <w:top w:val="nil"/>
              <w:left w:val="nil"/>
              <w:bottom w:val="single" w:sz="4" w:space="0" w:color="auto"/>
              <w:right w:val="single" w:sz="4" w:space="0" w:color="auto"/>
            </w:tcBorders>
            <w:noWrap/>
            <w:vAlign w:val="center"/>
            <w:hideMark/>
          </w:tcPr>
          <w:p w14:paraId="39E06174"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-2.760926</w:t>
            </w:r>
          </w:p>
        </w:tc>
        <w:tc>
          <w:tcPr>
            <w:tcW w:w="0" w:type="auto"/>
            <w:tcBorders>
              <w:top w:val="nil"/>
              <w:left w:val="nil"/>
              <w:bottom w:val="single" w:sz="4" w:space="0" w:color="auto"/>
              <w:right w:val="single" w:sz="4" w:space="0" w:color="auto"/>
            </w:tcBorders>
            <w:noWrap/>
            <w:vAlign w:val="center"/>
            <w:hideMark/>
          </w:tcPr>
          <w:p w14:paraId="70077BF9"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0.006678</w:t>
            </w:r>
          </w:p>
        </w:tc>
      </w:tr>
      <w:tr w:rsidR="00CB5363" w:rsidRPr="00C06E78" w14:paraId="5419BC19"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354964BA"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17</w:t>
            </w:r>
          </w:p>
        </w:tc>
        <w:tc>
          <w:tcPr>
            <w:tcW w:w="0" w:type="auto"/>
            <w:tcBorders>
              <w:top w:val="nil"/>
              <w:left w:val="nil"/>
              <w:bottom w:val="single" w:sz="4" w:space="0" w:color="auto"/>
              <w:right w:val="single" w:sz="4" w:space="0" w:color="auto"/>
            </w:tcBorders>
            <w:noWrap/>
            <w:vAlign w:val="center"/>
            <w:hideMark/>
          </w:tcPr>
          <w:p w14:paraId="5BA9F85A"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Post-GFC Expansion</w:t>
            </w:r>
          </w:p>
        </w:tc>
        <w:tc>
          <w:tcPr>
            <w:tcW w:w="0" w:type="auto"/>
            <w:tcBorders>
              <w:top w:val="nil"/>
              <w:left w:val="nil"/>
              <w:bottom w:val="single" w:sz="4" w:space="0" w:color="auto"/>
              <w:right w:val="single" w:sz="4" w:space="0" w:color="auto"/>
            </w:tcBorders>
            <w:noWrap/>
            <w:vAlign w:val="center"/>
            <w:hideMark/>
          </w:tcPr>
          <w:p w14:paraId="22A98B29"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SMB</w:t>
            </w:r>
          </w:p>
        </w:tc>
        <w:tc>
          <w:tcPr>
            <w:tcW w:w="0" w:type="auto"/>
            <w:tcBorders>
              <w:top w:val="nil"/>
              <w:left w:val="nil"/>
              <w:bottom w:val="single" w:sz="4" w:space="0" w:color="auto"/>
              <w:right w:val="single" w:sz="4" w:space="0" w:color="auto"/>
            </w:tcBorders>
            <w:noWrap/>
            <w:vAlign w:val="center"/>
            <w:hideMark/>
          </w:tcPr>
          <w:p w14:paraId="5D4C5E0A"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0.076312</w:t>
            </w:r>
          </w:p>
        </w:tc>
        <w:tc>
          <w:tcPr>
            <w:tcW w:w="0" w:type="auto"/>
            <w:tcBorders>
              <w:top w:val="nil"/>
              <w:left w:val="nil"/>
              <w:bottom w:val="single" w:sz="4" w:space="0" w:color="auto"/>
              <w:right w:val="single" w:sz="4" w:space="0" w:color="auto"/>
            </w:tcBorders>
            <w:noWrap/>
            <w:vAlign w:val="center"/>
            <w:hideMark/>
          </w:tcPr>
          <w:p w14:paraId="55C07DAC"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0.06634</w:t>
            </w:r>
          </w:p>
        </w:tc>
        <w:tc>
          <w:tcPr>
            <w:tcW w:w="0" w:type="auto"/>
            <w:tcBorders>
              <w:top w:val="nil"/>
              <w:left w:val="nil"/>
              <w:bottom w:val="single" w:sz="4" w:space="0" w:color="auto"/>
              <w:right w:val="single" w:sz="4" w:space="0" w:color="auto"/>
            </w:tcBorders>
            <w:noWrap/>
            <w:vAlign w:val="center"/>
            <w:hideMark/>
          </w:tcPr>
          <w:p w14:paraId="54A219BB"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1.150317</w:t>
            </w:r>
          </w:p>
        </w:tc>
        <w:tc>
          <w:tcPr>
            <w:tcW w:w="0" w:type="auto"/>
            <w:tcBorders>
              <w:top w:val="nil"/>
              <w:left w:val="nil"/>
              <w:bottom w:val="single" w:sz="4" w:space="0" w:color="auto"/>
              <w:right w:val="single" w:sz="4" w:space="0" w:color="auto"/>
            </w:tcBorders>
            <w:noWrap/>
            <w:vAlign w:val="center"/>
            <w:hideMark/>
          </w:tcPr>
          <w:p w14:paraId="69C20A80"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0.25232</w:t>
            </w:r>
          </w:p>
        </w:tc>
      </w:tr>
      <w:tr w:rsidR="00CB5363" w:rsidRPr="00C06E78" w14:paraId="59F49109"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7A51DEA0"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18</w:t>
            </w:r>
          </w:p>
        </w:tc>
        <w:tc>
          <w:tcPr>
            <w:tcW w:w="0" w:type="auto"/>
            <w:tcBorders>
              <w:top w:val="nil"/>
              <w:left w:val="nil"/>
              <w:bottom w:val="single" w:sz="4" w:space="0" w:color="auto"/>
              <w:right w:val="single" w:sz="4" w:space="0" w:color="auto"/>
            </w:tcBorders>
            <w:noWrap/>
            <w:vAlign w:val="center"/>
            <w:hideMark/>
          </w:tcPr>
          <w:p w14:paraId="31D68E45"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Post-GFC Expansion</w:t>
            </w:r>
          </w:p>
        </w:tc>
        <w:tc>
          <w:tcPr>
            <w:tcW w:w="0" w:type="auto"/>
            <w:tcBorders>
              <w:top w:val="nil"/>
              <w:left w:val="nil"/>
              <w:bottom w:val="single" w:sz="4" w:space="0" w:color="auto"/>
              <w:right w:val="single" w:sz="4" w:space="0" w:color="auto"/>
            </w:tcBorders>
            <w:noWrap/>
            <w:vAlign w:val="center"/>
            <w:hideMark/>
          </w:tcPr>
          <w:p w14:paraId="0F1CC782"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HML</w:t>
            </w:r>
          </w:p>
        </w:tc>
        <w:tc>
          <w:tcPr>
            <w:tcW w:w="0" w:type="auto"/>
            <w:tcBorders>
              <w:top w:val="nil"/>
              <w:left w:val="nil"/>
              <w:bottom w:val="single" w:sz="4" w:space="0" w:color="auto"/>
              <w:right w:val="single" w:sz="4" w:space="0" w:color="auto"/>
            </w:tcBorders>
            <w:noWrap/>
            <w:vAlign w:val="center"/>
            <w:hideMark/>
          </w:tcPr>
          <w:p w14:paraId="5E1E82EB"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0.136698</w:t>
            </w:r>
          </w:p>
        </w:tc>
        <w:tc>
          <w:tcPr>
            <w:tcW w:w="0" w:type="auto"/>
            <w:tcBorders>
              <w:top w:val="nil"/>
              <w:left w:val="nil"/>
              <w:bottom w:val="single" w:sz="4" w:space="0" w:color="auto"/>
              <w:right w:val="single" w:sz="4" w:space="0" w:color="auto"/>
            </w:tcBorders>
            <w:noWrap/>
            <w:vAlign w:val="center"/>
            <w:hideMark/>
          </w:tcPr>
          <w:p w14:paraId="53915028"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0.064849</w:t>
            </w:r>
          </w:p>
        </w:tc>
        <w:tc>
          <w:tcPr>
            <w:tcW w:w="0" w:type="auto"/>
            <w:tcBorders>
              <w:top w:val="nil"/>
              <w:left w:val="nil"/>
              <w:bottom w:val="single" w:sz="4" w:space="0" w:color="auto"/>
              <w:right w:val="single" w:sz="4" w:space="0" w:color="auto"/>
            </w:tcBorders>
            <w:noWrap/>
            <w:vAlign w:val="center"/>
            <w:hideMark/>
          </w:tcPr>
          <w:p w14:paraId="08BCDFC2"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2.10794</w:t>
            </w:r>
          </w:p>
        </w:tc>
        <w:tc>
          <w:tcPr>
            <w:tcW w:w="0" w:type="auto"/>
            <w:tcBorders>
              <w:top w:val="nil"/>
              <w:left w:val="nil"/>
              <w:bottom w:val="single" w:sz="4" w:space="0" w:color="auto"/>
              <w:right w:val="single" w:sz="4" w:space="0" w:color="auto"/>
            </w:tcBorders>
            <w:noWrap/>
            <w:vAlign w:val="center"/>
            <w:hideMark/>
          </w:tcPr>
          <w:p w14:paraId="50E0C50E"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0.037135</w:t>
            </w:r>
          </w:p>
        </w:tc>
      </w:tr>
      <w:tr w:rsidR="00CB5363" w:rsidRPr="00C06E78" w14:paraId="0EA8A278"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166CF624"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19</w:t>
            </w:r>
          </w:p>
        </w:tc>
        <w:tc>
          <w:tcPr>
            <w:tcW w:w="0" w:type="auto"/>
            <w:tcBorders>
              <w:top w:val="nil"/>
              <w:left w:val="nil"/>
              <w:bottom w:val="single" w:sz="4" w:space="0" w:color="auto"/>
              <w:right w:val="single" w:sz="4" w:space="0" w:color="auto"/>
            </w:tcBorders>
            <w:noWrap/>
            <w:vAlign w:val="center"/>
            <w:hideMark/>
          </w:tcPr>
          <w:p w14:paraId="6D2B7DD2"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Post-GFC Expansion</w:t>
            </w:r>
          </w:p>
        </w:tc>
        <w:tc>
          <w:tcPr>
            <w:tcW w:w="0" w:type="auto"/>
            <w:tcBorders>
              <w:top w:val="nil"/>
              <w:left w:val="nil"/>
              <w:bottom w:val="single" w:sz="4" w:space="0" w:color="auto"/>
              <w:right w:val="single" w:sz="4" w:space="0" w:color="auto"/>
            </w:tcBorders>
            <w:noWrap/>
            <w:vAlign w:val="center"/>
            <w:hideMark/>
          </w:tcPr>
          <w:p w14:paraId="3886CAB7"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RMW</w:t>
            </w:r>
          </w:p>
        </w:tc>
        <w:tc>
          <w:tcPr>
            <w:tcW w:w="0" w:type="auto"/>
            <w:tcBorders>
              <w:top w:val="nil"/>
              <w:left w:val="nil"/>
              <w:bottom w:val="single" w:sz="4" w:space="0" w:color="auto"/>
              <w:right w:val="single" w:sz="4" w:space="0" w:color="auto"/>
            </w:tcBorders>
            <w:noWrap/>
            <w:vAlign w:val="center"/>
            <w:hideMark/>
          </w:tcPr>
          <w:p w14:paraId="261B97D6"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-0.020173</w:t>
            </w:r>
          </w:p>
        </w:tc>
        <w:tc>
          <w:tcPr>
            <w:tcW w:w="0" w:type="auto"/>
            <w:tcBorders>
              <w:top w:val="nil"/>
              <w:left w:val="nil"/>
              <w:bottom w:val="single" w:sz="4" w:space="0" w:color="auto"/>
              <w:right w:val="single" w:sz="4" w:space="0" w:color="auto"/>
            </w:tcBorders>
            <w:noWrap/>
            <w:vAlign w:val="center"/>
            <w:hideMark/>
          </w:tcPr>
          <w:p w14:paraId="0B9CBFEB"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0.064549</w:t>
            </w:r>
          </w:p>
        </w:tc>
        <w:tc>
          <w:tcPr>
            <w:tcW w:w="0" w:type="auto"/>
            <w:tcBorders>
              <w:top w:val="nil"/>
              <w:left w:val="nil"/>
              <w:bottom w:val="single" w:sz="4" w:space="0" w:color="auto"/>
              <w:right w:val="single" w:sz="4" w:space="0" w:color="auto"/>
            </w:tcBorders>
            <w:noWrap/>
            <w:vAlign w:val="center"/>
            <w:hideMark/>
          </w:tcPr>
          <w:p w14:paraId="177B3F50"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-0.312524</w:t>
            </w:r>
          </w:p>
        </w:tc>
        <w:tc>
          <w:tcPr>
            <w:tcW w:w="0" w:type="auto"/>
            <w:tcBorders>
              <w:top w:val="nil"/>
              <w:left w:val="nil"/>
              <w:bottom w:val="single" w:sz="4" w:space="0" w:color="auto"/>
              <w:right w:val="single" w:sz="4" w:space="0" w:color="auto"/>
            </w:tcBorders>
            <w:noWrap/>
            <w:vAlign w:val="center"/>
            <w:hideMark/>
          </w:tcPr>
          <w:p w14:paraId="6E38A897"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0.755189</w:t>
            </w:r>
          </w:p>
        </w:tc>
      </w:tr>
      <w:tr w:rsidR="00CB5363" w:rsidRPr="00C06E78" w14:paraId="07E60A64"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766D8193"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20</w:t>
            </w:r>
          </w:p>
        </w:tc>
        <w:tc>
          <w:tcPr>
            <w:tcW w:w="0" w:type="auto"/>
            <w:tcBorders>
              <w:top w:val="nil"/>
              <w:left w:val="nil"/>
              <w:bottom w:val="single" w:sz="4" w:space="0" w:color="auto"/>
              <w:right w:val="single" w:sz="4" w:space="0" w:color="auto"/>
            </w:tcBorders>
            <w:noWrap/>
            <w:vAlign w:val="center"/>
            <w:hideMark/>
          </w:tcPr>
          <w:p w14:paraId="6210D624"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Post-GFC Expansion</w:t>
            </w:r>
          </w:p>
        </w:tc>
        <w:tc>
          <w:tcPr>
            <w:tcW w:w="0" w:type="auto"/>
            <w:tcBorders>
              <w:top w:val="nil"/>
              <w:left w:val="nil"/>
              <w:bottom w:val="single" w:sz="4" w:space="0" w:color="auto"/>
              <w:right w:val="single" w:sz="4" w:space="0" w:color="auto"/>
            </w:tcBorders>
            <w:noWrap/>
            <w:vAlign w:val="center"/>
            <w:hideMark/>
          </w:tcPr>
          <w:p w14:paraId="3AF41917"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CMA</w:t>
            </w:r>
          </w:p>
        </w:tc>
        <w:tc>
          <w:tcPr>
            <w:tcW w:w="0" w:type="auto"/>
            <w:tcBorders>
              <w:top w:val="nil"/>
              <w:left w:val="nil"/>
              <w:bottom w:val="single" w:sz="4" w:space="0" w:color="auto"/>
              <w:right w:val="single" w:sz="4" w:space="0" w:color="auto"/>
            </w:tcBorders>
            <w:noWrap/>
            <w:vAlign w:val="center"/>
            <w:hideMark/>
          </w:tcPr>
          <w:p w14:paraId="4173646B"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0.090139</w:t>
            </w:r>
          </w:p>
        </w:tc>
        <w:tc>
          <w:tcPr>
            <w:tcW w:w="0" w:type="auto"/>
            <w:tcBorders>
              <w:top w:val="nil"/>
              <w:left w:val="nil"/>
              <w:bottom w:val="single" w:sz="4" w:space="0" w:color="auto"/>
              <w:right w:val="single" w:sz="4" w:space="0" w:color="auto"/>
            </w:tcBorders>
            <w:noWrap/>
            <w:vAlign w:val="center"/>
            <w:hideMark/>
          </w:tcPr>
          <w:p w14:paraId="02E02747"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0.07054</w:t>
            </w:r>
          </w:p>
        </w:tc>
        <w:tc>
          <w:tcPr>
            <w:tcW w:w="0" w:type="auto"/>
            <w:tcBorders>
              <w:top w:val="nil"/>
              <w:left w:val="nil"/>
              <w:bottom w:val="single" w:sz="4" w:space="0" w:color="auto"/>
              <w:right w:val="single" w:sz="4" w:space="0" w:color="auto"/>
            </w:tcBorders>
            <w:noWrap/>
            <w:vAlign w:val="center"/>
            <w:hideMark/>
          </w:tcPr>
          <w:p w14:paraId="6C4F906E"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1.277849</w:t>
            </w:r>
          </w:p>
        </w:tc>
        <w:tc>
          <w:tcPr>
            <w:tcW w:w="0" w:type="auto"/>
            <w:tcBorders>
              <w:top w:val="nil"/>
              <w:left w:val="nil"/>
              <w:bottom w:val="single" w:sz="4" w:space="0" w:color="auto"/>
              <w:right w:val="single" w:sz="4" w:space="0" w:color="auto"/>
            </w:tcBorders>
            <w:noWrap/>
            <w:vAlign w:val="center"/>
            <w:hideMark/>
          </w:tcPr>
          <w:p w14:paraId="4364AA4C"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0.20379</w:t>
            </w:r>
          </w:p>
        </w:tc>
      </w:tr>
      <w:tr w:rsidR="00CB5363" w:rsidRPr="00C06E78" w14:paraId="197BD270"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1F295D92"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21</w:t>
            </w:r>
          </w:p>
        </w:tc>
        <w:tc>
          <w:tcPr>
            <w:tcW w:w="0" w:type="auto"/>
            <w:tcBorders>
              <w:top w:val="nil"/>
              <w:left w:val="nil"/>
              <w:bottom w:val="single" w:sz="4" w:space="0" w:color="auto"/>
              <w:right w:val="single" w:sz="4" w:space="0" w:color="auto"/>
            </w:tcBorders>
            <w:noWrap/>
            <w:vAlign w:val="center"/>
            <w:hideMark/>
          </w:tcPr>
          <w:p w14:paraId="10F76935"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Post-GFC Expansion</w:t>
            </w:r>
          </w:p>
        </w:tc>
        <w:tc>
          <w:tcPr>
            <w:tcW w:w="0" w:type="auto"/>
            <w:tcBorders>
              <w:top w:val="nil"/>
              <w:left w:val="nil"/>
              <w:bottom w:val="single" w:sz="4" w:space="0" w:color="auto"/>
              <w:right w:val="single" w:sz="4" w:space="0" w:color="auto"/>
            </w:tcBorders>
            <w:noWrap/>
            <w:vAlign w:val="center"/>
            <w:hideMark/>
          </w:tcPr>
          <w:p w14:paraId="7E8BCE72"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UMD</w:t>
            </w:r>
          </w:p>
        </w:tc>
        <w:tc>
          <w:tcPr>
            <w:tcW w:w="0" w:type="auto"/>
            <w:tcBorders>
              <w:top w:val="nil"/>
              <w:left w:val="nil"/>
              <w:bottom w:val="single" w:sz="4" w:space="0" w:color="auto"/>
              <w:right w:val="single" w:sz="4" w:space="0" w:color="auto"/>
            </w:tcBorders>
            <w:noWrap/>
            <w:vAlign w:val="center"/>
            <w:hideMark/>
          </w:tcPr>
          <w:p w14:paraId="547BF475"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0.518716</w:t>
            </w:r>
          </w:p>
        </w:tc>
        <w:tc>
          <w:tcPr>
            <w:tcW w:w="0" w:type="auto"/>
            <w:tcBorders>
              <w:top w:val="nil"/>
              <w:left w:val="nil"/>
              <w:bottom w:val="single" w:sz="4" w:space="0" w:color="auto"/>
              <w:right w:val="single" w:sz="4" w:space="0" w:color="auto"/>
            </w:tcBorders>
            <w:noWrap/>
            <w:vAlign w:val="center"/>
            <w:hideMark/>
          </w:tcPr>
          <w:p w14:paraId="325E0EE3"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0.044686</w:t>
            </w:r>
          </w:p>
        </w:tc>
        <w:tc>
          <w:tcPr>
            <w:tcW w:w="0" w:type="auto"/>
            <w:tcBorders>
              <w:top w:val="nil"/>
              <w:left w:val="nil"/>
              <w:bottom w:val="single" w:sz="4" w:space="0" w:color="auto"/>
              <w:right w:val="single" w:sz="4" w:space="0" w:color="auto"/>
            </w:tcBorders>
            <w:noWrap/>
            <w:vAlign w:val="center"/>
            <w:hideMark/>
          </w:tcPr>
          <w:p w14:paraId="5D6DE0E5"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11.60811</w:t>
            </w:r>
          </w:p>
        </w:tc>
        <w:tc>
          <w:tcPr>
            <w:tcW w:w="0" w:type="auto"/>
            <w:tcBorders>
              <w:top w:val="nil"/>
              <w:left w:val="nil"/>
              <w:bottom w:val="single" w:sz="4" w:space="0" w:color="auto"/>
              <w:right w:val="single" w:sz="4" w:space="0" w:color="auto"/>
            </w:tcBorders>
            <w:noWrap/>
            <w:vAlign w:val="center"/>
            <w:hideMark/>
          </w:tcPr>
          <w:p w14:paraId="5B59A780"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2.7E-21</w:t>
            </w:r>
          </w:p>
        </w:tc>
      </w:tr>
      <w:tr w:rsidR="00CB5363" w:rsidRPr="00C06E78" w14:paraId="3BA0539C"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3E44CC9C"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22</w:t>
            </w:r>
          </w:p>
        </w:tc>
        <w:tc>
          <w:tcPr>
            <w:tcW w:w="0" w:type="auto"/>
            <w:tcBorders>
              <w:top w:val="nil"/>
              <w:left w:val="nil"/>
              <w:bottom w:val="single" w:sz="4" w:space="0" w:color="auto"/>
              <w:right w:val="single" w:sz="4" w:space="0" w:color="auto"/>
            </w:tcBorders>
            <w:noWrap/>
            <w:vAlign w:val="center"/>
            <w:hideMark/>
          </w:tcPr>
          <w:p w14:paraId="706A3FCE"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Pre-GFC Expansion</w:t>
            </w:r>
          </w:p>
        </w:tc>
        <w:tc>
          <w:tcPr>
            <w:tcW w:w="0" w:type="auto"/>
            <w:tcBorders>
              <w:top w:val="nil"/>
              <w:left w:val="nil"/>
              <w:bottom w:val="single" w:sz="4" w:space="0" w:color="auto"/>
              <w:right w:val="single" w:sz="4" w:space="0" w:color="auto"/>
            </w:tcBorders>
            <w:noWrap/>
            <w:vAlign w:val="center"/>
            <w:hideMark/>
          </w:tcPr>
          <w:p w14:paraId="371EB873"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(Intercept)</w:t>
            </w:r>
          </w:p>
        </w:tc>
        <w:tc>
          <w:tcPr>
            <w:tcW w:w="0" w:type="auto"/>
            <w:tcBorders>
              <w:top w:val="nil"/>
              <w:left w:val="nil"/>
              <w:bottom w:val="single" w:sz="4" w:space="0" w:color="auto"/>
              <w:right w:val="single" w:sz="4" w:space="0" w:color="auto"/>
            </w:tcBorders>
            <w:noWrap/>
            <w:vAlign w:val="center"/>
            <w:hideMark/>
          </w:tcPr>
          <w:p w14:paraId="3096DBEF"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0.004398</w:t>
            </w:r>
          </w:p>
        </w:tc>
        <w:tc>
          <w:tcPr>
            <w:tcW w:w="0" w:type="auto"/>
            <w:tcBorders>
              <w:top w:val="nil"/>
              <w:left w:val="nil"/>
              <w:bottom w:val="single" w:sz="4" w:space="0" w:color="auto"/>
              <w:right w:val="single" w:sz="4" w:space="0" w:color="auto"/>
            </w:tcBorders>
            <w:noWrap/>
            <w:vAlign w:val="center"/>
            <w:hideMark/>
          </w:tcPr>
          <w:p w14:paraId="26803698"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0.002993</w:t>
            </w:r>
          </w:p>
        </w:tc>
        <w:tc>
          <w:tcPr>
            <w:tcW w:w="0" w:type="auto"/>
            <w:tcBorders>
              <w:top w:val="nil"/>
              <w:left w:val="nil"/>
              <w:bottom w:val="single" w:sz="4" w:space="0" w:color="auto"/>
              <w:right w:val="single" w:sz="4" w:space="0" w:color="auto"/>
            </w:tcBorders>
            <w:noWrap/>
            <w:vAlign w:val="center"/>
            <w:hideMark/>
          </w:tcPr>
          <w:p w14:paraId="1FBB25BC"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1.469551</w:t>
            </w:r>
          </w:p>
        </w:tc>
        <w:tc>
          <w:tcPr>
            <w:tcW w:w="0" w:type="auto"/>
            <w:tcBorders>
              <w:top w:val="nil"/>
              <w:left w:val="nil"/>
              <w:bottom w:val="single" w:sz="4" w:space="0" w:color="auto"/>
              <w:right w:val="single" w:sz="4" w:space="0" w:color="auto"/>
            </w:tcBorders>
            <w:noWrap/>
            <w:vAlign w:val="center"/>
            <w:hideMark/>
          </w:tcPr>
          <w:p w14:paraId="69A35FD5"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0.146434</w:t>
            </w:r>
          </w:p>
        </w:tc>
      </w:tr>
      <w:tr w:rsidR="00CB5363" w:rsidRPr="00C06E78" w14:paraId="0567E0EB"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10B44A5C"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23</w:t>
            </w:r>
          </w:p>
        </w:tc>
        <w:tc>
          <w:tcPr>
            <w:tcW w:w="0" w:type="auto"/>
            <w:tcBorders>
              <w:top w:val="nil"/>
              <w:left w:val="nil"/>
              <w:bottom w:val="single" w:sz="4" w:space="0" w:color="auto"/>
              <w:right w:val="single" w:sz="4" w:space="0" w:color="auto"/>
            </w:tcBorders>
            <w:noWrap/>
            <w:vAlign w:val="center"/>
            <w:hideMark/>
          </w:tcPr>
          <w:p w14:paraId="6F957839"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Pre-GFC Expansion</w:t>
            </w:r>
          </w:p>
        </w:tc>
        <w:tc>
          <w:tcPr>
            <w:tcW w:w="0" w:type="auto"/>
            <w:tcBorders>
              <w:top w:val="nil"/>
              <w:left w:val="nil"/>
              <w:bottom w:val="single" w:sz="4" w:space="0" w:color="auto"/>
              <w:right w:val="single" w:sz="4" w:space="0" w:color="auto"/>
            </w:tcBorders>
            <w:noWrap/>
            <w:vAlign w:val="center"/>
            <w:hideMark/>
          </w:tcPr>
          <w:p w14:paraId="54320383"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market</w:t>
            </w:r>
          </w:p>
        </w:tc>
        <w:tc>
          <w:tcPr>
            <w:tcW w:w="0" w:type="auto"/>
            <w:tcBorders>
              <w:top w:val="nil"/>
              <w:left w:val="nil"/>
              <w:bottom w:val="single" w:sz="4" w:space="0" w:color="auto"/>
              <w:right w:val="single" w:sz="4" w:space="0" w:color="auto"/>
            </w:tcBorders>
            <w:noWrap/>
            <w:vAlign w:val="center"/>
            <w:hideMark/>
          </w:tcPr>
          <w:p w14:paraId="1DBDAC82"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-0.007231</w:t>
            </w:r>
          </w:p>
        </w:tc>
        <w:tc>
          <w:tcPr>
            <w:tcW w:w="0" w:type="auto"/>
            <w:tcBorders>
              <w:top w:val="nil"/>
              <w:left w:val="nil"/>
              <w:bottom w:val="single" w:sz="4" w:space="0" w:color="auto"/>
              <w:right w:val="single" w:sz="4" w:space="0" w:color="auto"/>
            </w:tcBorders>
            <w:noWrap/>
            <w:vAlign w:val="center"/>
            <w:hideMark/>
          </w:tcPr>
          <w:p w14:paraId="108FAAA1"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0.033075</w:t>
            </w:r>
          </w:p>
        </w:tc>
        <w:tc>
          <w:tcPr>
            <w:tcW w:w="0" w:type="auto"/>
            <w:tcBorders>
              <w:top w:val="nil"/>
              <w:left w:val="nil"/>
              <w:bottom w:val="single" w:sz="4" w:space="0" w:color="auto"/>
              <w:right w:val="single" w:sz="4" w:space="0" w:color="auto"/>
            </w:tcBorders>
            <w:noWrap/>
            <w:vAlign w:val="center"/>
            <w:hideMark/>
          </w:tcPr>
          <w:p w14:paraId="7291AD30"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-0.218633</w:t>
            </w:r>
          </w:p>
        </w:tc>
        <w:tc>
          <w:tcPr>
            <w:tcW w:w="0" w:type="auto"/>
            <w:tcBorders>
              <w:top w:val="nil"/>
              <w:left w:val="nil"/>
              <w:bottom w:val="single" w:sz="4" w:space="0" w:color="auto"/>
              <w:right w:val="single" w:sz="4" w:space="0" w:color="auto"/>
            </w:tcBorders>
            <w:noWrap/>
            <w:vAlign w:val="center"/>
            <w:hideMark/>
          </w:tcPr>
          <w:p w14:paraId="59AE0E4F"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0.82761</w:t>
            </w:r>
          </w:p>
        </w:tc>
      </w:tr>
      <w:tr w:rsidR="00CB5363" w:rsidRPr="00C06E78" w14:paraId="5635B6D8"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7D2C4047"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24</w:t>
            </w:r>
          </w:p>
        </w:tc>
        <w:tc>
          <w:tcPr>
            <w:tcW w:w="0" w:type="auto"/>
            <w:tcBorders>
              <w:top w:val="nil"/>
              <w:left w:val="nil"/>
              <w:bottom w:val="single" w:sz="4" w:space="0" w:color="auto"/>
              <w:right w:val="single" w:sz="4" w:space="0" w:color="auto"/>
            </w:tcBorders>
            <w:noWrap/>
            <w:vAlign w:val="center"/>
            <w:hideMark/>
          </w:tcPr>
          <w:p w14:paraId="25AAEABE"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Pre-GFC Expansion</w:t>
            </w:r>
          </w:p>
        </w:tc>
        <w:tc>
          <w:tcPr>
            <w:tcW w:w="0" w:type="auto"/>
            <w:tcBorders>
              <w:top w:val="nil"/>
              <w:left w:val="nil"/>
              <w:bottom w:val="single" w:sz="4" w:space="0" w:color="auto"/>
              <w:right w:val="single" w:sz="4" w:space="0" w:color="auto"/>
            </w:tcBorders>
            <w:noWrap/>
            <w:vAlign w:val="center"/>
            <w:hideMark/>
          </w:tcPr>
          <w:p w14:paraId="28FC33BF"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SMB</w:t>
            </w:r>
          </w:p>
        </w:tc>
        <w:tc>
          <w:tcPr>
            <w:tcW w:w="0" w:type="auto"/>
            <w:tcBorders>
              <w:top w:val="nil"/>
              <w:left w:val="nil"/>
              <w:bottom w:val="single" w:sz="4" w:space="0" w:color="auto"/>
              <w:right w:val="single" w:sz="4" w:space="0" w:color="auto"/>
            </w:tcBorders>
            <w:noWrap/>
            <w:vAlign w:val="center"/>
            <w:hideMark/>
          </w:tcPr>
          <w:p w14:paraId="6E59ED1E"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-0.134124</w:t>
            </w:r>
          </w:p>
        </w:tc>
        <w:tc>
          <w:tcPr>
            <w:tcW w:w="0" w:type="auto"/>
            <w:tcBorders>
              <w:top w:val="nil"/>
              <w:left w:val="nil"/>
              <w:bottom w:val="single" w:sz="4" w:space="0" w:color="auto"/>
              <w:right w:val="single" w:sz="4" w:space="0" w:color="auto"/>
            </w:tcBorders>
            <w:noWrap/>
            <w:vAlign w:val="center"/>
            <w:hideMark/>
          </w:tcPr>
          <w:p w14:paraId="0AEA83B9"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0.07347</w:t>
            </w:r>
          </w:p>
        </w:tc>
        <w:tc>
          <w:tcPr>
            <w:tcW w:w="0" w:type="auto"/>
            <w:tcBorders>
              <w:top w:val="nil"/>
              <w:left w:val="nil"/>
              <w:bottom w:val="single" w:sz="4" w:space="0" w:color="auto"/>
              <w:right w:val="single" w:sz="4" w:space="0" w:color="auto"/>
            </w:tcBorders>
            <w:noWrap/>
            <w:vAlign w:val="center"/>
            <w:hideMark/>
          </w:tcPr>
          <w:p w14:paraId="61CC125E"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-1.825572</w:t>
            </w:r>
          </w:p>
        </w:tc>
        <w:tc>
          <w:tcPr>
            <w:tcW w:w="0" w:type="auto"/>
            <w:tcBorders>
              <w:top w:val="nil"/>
              <w:left w:val="nil"/>
              <w:bottom w:val="single" w:sz="4" w:space="0" w:color="auto"/>
              <w:right w:val="single" w:sz="4" w:space="0" w:color="auto"/>
            </w:tcBorders>
            <w:noWrap/>
            <w:vAlign w:val="center"/>
            <w:hideMark/>
          </w:tcPr>
          <w:p w14:paraId="6CE988E5"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0.072439</w:t>
            </w:r>
          </w:p>
        </w:tc>
      </w:tr>
      <w:tr w:rsidR="00CB5363" w:rsidRPr="00C06E78" w14:paraId="3817BCD1"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65B46DD5"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25</w:t>
            </w:r>
          </w:p>
        </w:tc>
        <w:tc>
          <w:tcPr>
            <w:tcW w:w="0" w:type="auto"/>
            <w:tcBorders>
              <w:top w:val="nil"/>
              <w:left w:val="nil"/>
              <w:bottom w:val="single" w:sz="4" w:space="0" w:color="auto"/>
              <w:right w:val="single" w:sz="4" w:space="0" w:color="auto"/>
            </w:tcBorders>
            <w:noWrap/>
            <w:vAlign w:val="center"/>
            <w:hideMark/>
          </w:tcPr>
          <w:p w14:paraId="55E67DC3"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Pre-GFC Expansion</w:t>
            </w:r>
          </w:p>
        </w:tc>
        <w:tc>
          <w:tcPr>
            <w:tcW w:w="0" w:type="auto"/>
            <w:tcBorders>
              <w:top w:val="nil"/>
              <w:left w:val="nil"/>
              <w:bottom w:val="single" w:sz="4" w:space="0" w:color="auto"/>
              <w:right w:val="single" w:sz="4" w:space="0" w:color="auto"/>
            </w:tcBorders>
            <w:noWrap/>
            <w:vAlign w:val="center"/>
            <w:hideMark/>
          </w:tcPr>
          <w:p w14:paraId="06738593"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HML</w:t>
            </w:r>
          </w:p>
        </w:tc>
        <w:tc>
          <w:tcPr>
            <w:tcW w:w="0" w:type="auto"/>
            <w:tcBorders>
              <w:top w:val="nil"/>
              <w:left w:val="nil"/>
              <w:bottom w:val="single" w:sz="4" w:space="0" w:color="auto"/>
              <w:right w:val="single" w:sz="4" w:space="0" w:color="auto"/>
            </w:tcBorders>
            <w:noWrap/>
            <w:vAlign w:val="center"/>
            <w:hideMark/>
          </w:tcPr>
          <w:p w14:paraId="18D802D1"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-0.04848</w:t>
            </w:r>
          </w:p>
        </w:tc>
        <w:tc>
          <w:tcPr>
            <w:tcW w:w="0" w:type="auto"/>
            <w:tcBorders>
              <w:top w:val="nil"/>
              <w:left w:val="nil"/>
              <w:bottom w:val="single" w:sz="4" w:space="0" w:color="auto"/>
              <w:right w:val="single" w:sz="4" w:space="0" w:color="auto"/>
            </w:tcBorders>
            <w:noWrap/>
            <w:vAlign w:val="center"/>
            <w:hideMark/>
          </w:tcPr>
          <w:p w14:paraId="31F0B80F"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0.076946</w:t>
            </w:r>
          </w:p>
        </w:tc>
        <w:tc>
          <w:tcPr>
            <w:tcW w:w="0" w:type="auto"/>
            <w:tcBorders>
              <w:top w:val="nil"/>
              <w:left w:val="nil"/>
              <w:bottom w:val="single" w:sz="4" w:space="0" w:color="auto"/>
              <w:right w:val="single" w:sz="4" w:space="0" w:color="auto"/>
            </w:tcBorders>
            <w:noWrap/>
            <w:vAlign w:val="center"/>
            <w:hideMark/>
          </w:tcPr>
          <w:p w14:paraId="7AD1F0C3"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-0.63005</w:t>
            </w:r>
          </w:p>
        </w:tc>
        <w:tc>
          <w:tcPr>
            <w:tcW w:w="0" w:type="auto"/>
            <w:tcBorders>
              <w:top w:val="nil"/>
              <w:left w:val="nil"/>
              <w:bottom w:val="single" w:sz="4" w:space="0" w:color="auto"/>
              <w:right w:val="single" w:sz="4" w:space="0" w:color="auto"/>
            </w:tcBorders>
            <w:noWrap/>
            <w:vAlign w:val="center"/>
            <w:hideMark/>
          </w:tcPr>
          <w:p w14:paraId="630E5675"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0.530838</w:t>
            </w:r>
          </w:p>
        </w:tc>
      </w:tr>
      <w:tr w:rsidR="00CB5363" w:rsidRPr="00C06E78" w14:paraId="27903D3A"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01B37080"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26</w:t>
            </w:r>
          </w:p>
        </w:tc>
        <w:tc>
          <w:tcPr>
            <w:tcW w:w="0" w:type="auto"/>
            <w:tcBorders>
              <w:top w:val="nil"/>
              <w:left w:val="nil"/>
              <w:bottom w:val="single" w:sz="4" w:space="0" w:color="auto"/>
              <w:right w:val="single" w:sz="4" w:space="0" w:color="auto"/>
            </w:tcBorders>
            <w:noWrap/>
            <w:vAlign w:val="center"/>
            <w:hideMark/>
          </w:tcPr>
          <w:p w14:paraId="5BEF986B"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Pre-GFC Expansion</w:t>
            </w:r>
          </w:p>
        </w:tc>
        <w:tc>
          <w:tcPr>
            <w:tcW w:w="0" w:type="auto"/>
            <w:tcBorders>
              <w:top w:val="nil"/>
              <w:left w:val="nil"/>
              <w:bottom w:val="single" w:sz="4" w:space="0" w:color="auto"/>
              <w:right w:val="single" w:sz="4" w:space="0" w:color="auto"/>
            </w:tcBorders>
            <w:noWrap/>
            <w:vAlign w:val="center"/>
            <w:hideMark/>
          </w:tcPr>
          <w:p w14:paraId="11B72A60"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RMW</w:t>
            </w:r>
          </w:p>
        </w:tc>
        <w:tc>
          <w:tcPr>
            <w:tcW w:w="0" w:type="auto"/>
            <w:tcBorders>
              <w:top w:val="nil"/>
              <w:left w:val="nil"/>
              <w:bottom w:val="single" w:sz="4" w:space="0" w:color="auto"/>
              <w:right w:val="single" w:sz="4" w:space="0" w:color="auto"/>
            </w:tcBorders>
            <w:noWrap/>
            <w:vAlign w:val="center"/>
            <w:hideMark/>
          </w:tcPr>
          <w:p w14:paraId="3AE165C3"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0.284822</w:t>
            </w:r>
          </w:p>
        </w:tc>
        <w:tc>
          <w:tcPr>
            <w:tcW w:w="0" w:type="auto"/>
            <w:tcBorders>
              <w:top w:val="nil"/>
              <w:left w:val="nil"/>
              <w:bottom w:val="single" w:sz="4" w:space="0" w:color="auto"/>
              <w:right w:val="single" w:sz="4" w:space="0" w:color="auto"/>
            </w:tcBorders>
            <w:noWrap/>
            <w:vAlign w:val="center"/>
            <w:hideMark/>
          </w:tcPr>
          <w:p w14:paraId="7409CF37"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0.089515</w:t>
            </w:r>
          </w:p>
        </w:tc>
        <w:tc>
          <w:tcPr>
            <w:tcW w:w="0" w:type="auto"/>
            <w:tcBorders>
              <w:top w:val="nil"/>
              <w:left w:val="nil"/>
              <w:bottom w:val="single" w:sz="4" w:space="0" w:color="auto"/>
              <w:right w:val="single" w:sz="4" w:space="0" w:color="auto"/>
            </w:tcBorders>
            <w:noWrap/>
            <w:vAlign w:val="center"/>
            <w:hideMark/>
          </w:tcPr>
          <w:p w14:paraId="375F67F8"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3.181832</w:t>
            </w:r>
          </w:p>
        </w:tc>
        <w:tc>
          <w:tcPr>
            <w:tcW w:w="0" w:type="auto"/>
            <w:tcBorders>
              <w:top w:val="nil"/>
              <w:left w:val="nil"/>
              <w:bottom w:val="single" w:sz="4" w:space="0" w:color="auto"/>
              <w:right w:val="single" w:sz="4" w:space="0" w:color="auto"/>
            </w:tcBorders>
            <w:noWrap/>
            <w:vAlign w:val="center"/>
            <w:hideMark/>
          </w:tcPr>
          <w:p w14:paraId="622459A7"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0.002232</w:t>
            </w:r>
          </w:p>
        </w:tc>
      </w:tr>
      <w:tr w:rsidR="00CB5363" w:rsidRPr="00C06E78" w14:paraId="2274905C"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6389A093"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27</w:t>
            </w:r>
          </w:p>
        </w:tc>
        <w:tc>
          <w:tcPr>
            <w:tcW w:w="0" w:type="auto"/>
            <w:tcBorders>
              <w:top w:val="nil"/>
              <w:left w:val="nil"/>
              <w:bottom w:val="single" w:sz="4" w:space="0" w:color="auto"/>
              <w:right w:val="single" w:sz="4" w:space="0" w:color="auto"/>
            </w:tcBorders>
            <w:noWrap/>
            <w:vAlign w:val="center"/>
            <w:hideMark/>
          </w:tcPr>
          <w:p w14:paraId="31E224AF"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Pre-GFC Expansion</w:t>
            </w:r>
          </w:p>
        </w:tc>
        <w:tc>
          <w:tcPr>
            <w:tcW w:w="0" w:type="auto"/>
            <w:tcBorders>
              <w:top w:val="nil"/>
              <w:left w:val="nil"/>
              <w:bottom w:val="single" w:sz="4" w:space="0" w:color="auto"/>
              <w:right w:val="single" w:sz="4" w:space="0" w:color="auto"/>
            </w:tcBorders>
            <w:noWrap/>
            <w:vAlign w:val="center"/>
            <w:hideMark/>
          </w:tcPr>
          <w:p w14:paraId="4BA61C06"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CMA</w:t>
            </w:r>
          </w:p>
        </w:tc>
        <w:tc>
          <w:tcPr>
            <w:tcW w:w="0" w:type="auto"/>
            <w:tcBorders>
              <w:top w:val="nil"/>
              <w:left w:val="nil"/>
              <w:bottom w:val="single" w:sz="4" w:space="0" w:color="auto"/>
              <w:right w:val="single" w:sz="4" w:space="0" w:color="auto"/>
            </w:tcBorders>
            <w:noWrap/>
            <w:vAlign w:val="center"/>
            <w:hideMark/>
          </w:tcPr>
          <w:p w14:paraId="3E8DF2D6"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-0.102533</w:t>
            </w:r>
          </w:p>
        </w:tc>
        <w:tc>
          <w:tcPr>
            <w:tcW w:w="0" w:type="auto"/>
            <w:tcBorders>
              <w:top w:val="nil"/>
              <w:left w:val="nil"/>
              <w:bottom w:val="single" w:sz="4" w:space="0" w:color="auto"/>
              <w:right w:val="single" w:sz="4" w:space="0" w:color="auto"/>
            </w:tcBorders>
            <w:noWrap/>
            <w:vAlign w:val="center"/>
            <w:hideMark/>
          </w:tcPr>
          <w:p w14:paraId="66A9E1B8"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0.115202</w:t>
            </w:r>
          </w:p>
        </w:tc>
        <w:tc>
          <w:tcPr>
            <w:tcW w:w="0" w:type="auto"/>
            <w:tcBorders>
              <w:top w:val="nil"/>
              <w:left w:val="nil"/>
              <w:bottom w:val="single" w:sz="4" w:space="0" w:color="auto"/>
              <w:right w:val="single" w:sz="4" w:space="0" w:color="auto"/>
            </w:tcBorders>
            <w:noWrap/>
            <w:vAlign w:val="center"/>
            <w:hideMark/>
          </w:tcPr>
          <w:p w14:paraId="1E4531DA"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-0.890031</w:t>
            </w:r>
          </w:p>
        </w:tc>
        <w:tc>
          <w:tcPr>
            <w:tcW w:w="0" w:type="auto"/>
            <w:tcBorders>
              <w:top w:val="nil"/>
              <w:left w:val="nil"/>
              <w:bottom w:val="single" w:sz="4" w:space="0" w:color="auto"/>
              <w:right w:val="single" w:sz="4" w:space="0" w:color="auto"/>
            </w:tcBorders>
            <w:noWrap/>
            <w:vAlign w:val="center"/>
            <w:hideMark/>
          </w:tcPr>
          <w:p w14:paraId="5F964226"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0.376682</w:t>
            </w:r>
          </w:p>
        </w:tc>
      </w:tr>
      <w:tr w:rsidR="00CB5363" w:rsidRPr="00C06E78" w14:paraId="7DF8491D"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6CD2EA1E"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28</w:t>
            </w:r>
          </w:p>
        </w:tc>
        <w:tc>
          <w:tcPr>
            <w:tcW w:w="0" w:type="auto"/>
            <w:tcBorders>
              <w:top w:val="nil"/>
              <w:left w:val="nil"/>
              <w:bottom w:val="single" w:sz="4" w:space="0" w:color="auto"/>
              <w:right w:val="single" w:sz="4" w:space="0" w:color="auto"/>
            </w:tcBorders>
            <w:noWrap/>
            <w:vAlign w:val="center"/>
            <w:hideMark/>
          </w:tcPr>
          <w:p w14:paraId="726C72C9"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Pre-GFC Expansion</w:t>
            </w:r>
          </w:p>
        </w:tc>
        <w:tc>
          <w:tcPr>
            <w:tcW w:w="0" w:type="auto"/>
            <w:tcBorders>
              <w:top w:val="nil"/>
              <w:left w:val="nil"/>
              <w:bottom w:val="single" w:sz="4" w:space="0" w:color="auto"/>
              <w:right w:val="single" w:sz="4" w:space="0" w:color="auto"/>
            </w:tcBorders>
            <w:noWrap/>
            <w:vAlign w:val="center"/>
            <w:hideMark/>
          </w:tcPr>
          <w:p w14:paraId="457C8CD2"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UMD</w:t>
            </w:r>
          </w:p>
        </w:tc>
        <w:tc>
          <w:tcPr>
            <w:tcW w:w="0" w:type="auto"/>
            <w:tcBorders>
              <w:top w:val="nil"/>
              <w:left w:val="nil"/>
              <w:bottom w:val="single" w:sz="4" w:space="0" w:color="auto"/>
              <w:right w:val="single" w:sz="4" w:space="0" w:color="auto"/>
            </w:tcBorders>
            <w:noWrap/>
            <w:vAlign w:val="center"/>
            <w:hideMark/>
          </w:tcPr>
          <w:p w14:paraId="56331B3F"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0.221607</w:t>
            </w:r>
          </w:p>
        </w:tc>
        <w:tc>
          <w:tcPr>
            <w:tcW w:w="0" w:type="auto"/>
            <w:tcBorders>
              <w:top w:val="nil"/>
              <w:left w:val="nil"/>
              <w:bottom w:val="single" w:sz="4" w:space="0" w:color="auto"/>
              <w:right w:val="single" w:sz="4" w:space="0" w:color="auto"/>
            </w:tcBorders>
            <w:noWrap/>
            <w:vAlign w:val="center"/>
            <w:hideMark/>
          </w:tcPr>
          <w:p w14:paraId="01A91A41"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0.077885</w:t>
            </w:r>
          </w:p>
        </w:tc>
        <w:tc>
          <w:tcPr>
            <w:tcW w:w="0" w:type="auto"/>
            <w:tcBorders>
              <w:top w:val="nil"/>
              <w:left w:val="nil"/>
              <w:bottom w:val="single" w:sz="4" w:space="0" w:color="auto"/>
              <w:right w:val="single" w:sz="4" w:space="0" w:color="auto"/>
            </w:tcBorders>
            <w:noWrap/>
            <w:vAlign w:val="center"/>
            <w:hideMark/>
          </w:tcPr>
          <w:p w14:paraId="4F60E556"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2.845316</w:t>
            </w:r>
          </w:p>
        </w:tc>
        <w:tc>
          <w:tcPr>
            <w:tcW w:w="0" w:type="auto"/>
            <w:tcBorders>
              <w:top w:val="nil"/>
              <w:left w:val="nil"/>
              <w:bottom w:val="single" w:sz="4" w:space="0" w:color="auto"/>
              <w:right w:val="single" w:sz="4" w:space="0" w:color="auto"/>
            </w:tcBorders>
            <w:noWrap/>
            <w:vAlign w:val="center"/>
            <w:hideMark/>
          </w:tcPr>
          <w:p w14:paraId="534AF726" w14:textId="77777777" w:rsidR="00CB5363" w:rsidRPr="00C06E78" w:rsidRDefault="00CB5363" w:rsidP="0051756F">
            <w:pPr>
              <w:widowControl/>
              <w:spacing w:after="0"/>
              <w:jc w:val="both"/>
              <w:rPr>
                <w:rFonts w:ascii="Times New Roman" w:eastAsia="宋体" w:hAnsi="Times New Roman" w:cs="Times New Roman"/>
                <w:color w:val="000000"/>
                <w:kern w:val="0"/>
                <w:szCs w:val="22"/>
                <w14:ligatures w14:val="none"/>
              </w:rPr>
            </w:pPr>
            <w:r w:rsidRPr="00C06E78">
              <w:rPr>
                <w:rFonts w:ascii="Times New Roman" w:eastAsia="宋体" w:hAnsi="Times New Roman" w:cs="Times New Roman"/>
                <w:color w:val="000000"/>
                <w:kern w:val="0"/>
                <w:szCs w:val="22"/>
                <w14:ligatures w14:val="none"/>
              </w:rPr>
              <w:t>0.005904</w:t>
            </w:r>
          </w:p>
        </w:tc>
      </w:tr>
    </w:tbl>
    <w:p w14:paraId="3919D559" w14:textId="77777777" w:rsidR="00CB5363" w:rsidRPr="00C06E78" w:rsidRDefault="00CB5363" w:rsidP="00C460D5">
      <w:pPr>
        <w:numPr>
          <w:ilvl w:val="0"/>
          <w:numId w:val="14"/>
        </w:numPr>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Result description</w:t>
      </w:r>
      <w:bookmarkEnd w:id="33"/>
      <w:bookmarkEnd w:id="34"/>
      <w:r w:rsidRPr="00C06E78">
        <w:rPr>
          <w:rFonts w:ascii="Times New Roman" w:eastAsia="宋体" w:hAnsi="Times New Roman" w:cs="Times New Roman"/>
          <w:szCs w:val="22"/>
          <w14:ligatures w14:val="none"/>
        </w:rPr>
        <w:t>:</w:t>
      </w:r>
    </w:p>
    <w:p w14:paraId="2F1A7BE5"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bookmarkStart w:id="35" w:name="OLE_LINK27"/>
      <w:bookmarkStart w:id="36" w:name="OLE_LINK28"/>
      <w:r w:rsidRPr="00C06E78">
        <w:rPr>
          <w:rFonts w:ascii="Times New Roman" w:eastAsia="宋体" w:hAnsi="Times New Roman" w:cs="Times New Roman"/>
          <w:szCs w:val="22"/>
          <w14:ligatures w14:val="none"/>
        </w:rPr>
        <w:t>By conducting multiple factor regressions for each stage separately, we can observe that the momentum factor (UMD) exhibits a significant positive impact at all stages of the economic cycle and is the core driving force for strategic returns. And the risk-free excess returns (α) were not significant, indicating that the strategy returns are mainly explained by factor exposure. It is worth mentioning that during the pandemic and financial crisis, the exposure of strategic factors is more concentrated on momentum, while the impact of other factors weakens.</w:t>
      </w:r>
    </w:p>
    <w:bookmarkEnd w:id="35"/>
    <w:bookmarkEnd w:id="36"/>
    <w:p w14:paraId="260FBB63" w14:textId="77777777" w:rsidR="00CB5363" w:rsidRPr="00C06E78" w:rsidRDefault="00CB5363" w:rsidP="0051756F">
      <w:pPr>
        <w:spacing w:after="0"/>
        <w:jc w:val="both"/>
        <w:rPr>
          <w:rFonts w:ascii="Times New Roman" w:eastAsia="宋体" w:hAnsi="Times New Roman" w:cs="Times New Roman"/>
          <w:b/>
          <w:szCs w:val="22"/>
          <w14:ligatures w14:val="none"/>
        </w:rPr>
      </w:pPr>
      <w:r w:rsidRPr="00C06E78">
        <w:rPr>
          <w:rFonts w:ascii="Times New Roman" w:eastAsia="宋体" w:hAnsi="Times New Roman" w:cs="Times New Roman"/>
          <w:b/>
          <w:szCs w:val="22"/>
          <w14:ligatures w14:val="none"/>
        </w:rPr>
        <w:lastRenderedPageBreak/>
        <w:t>4.</w:t>
      </w:r>
      <w:r w:rsidRPr="00C06E78">
        <w:rPr>
          <w:rFonts w:ascii="Times New Roman" w:eastAsia="宋体" w:hAnsi="Times New Roman" w:cs="Times New Roman"/>
          <w:szCs w:val="22"/>
          <w14:ligatures w14:val="none"/>
        </w:rPr>
        <w:t xml:space="preserve"> </w:t>
      </w:r>
      <w:r w:rsidRPr="00C06E78">
        <w:rPr>
          <w:rFonts w:ascii="Times New Roman" w:eastAsia="宋体" w:hAnsi="Times New Roman" w:cs="Times New Roman"/>
          <w:b/>
          <w:szCs w:val="22"/>
          <w14:ligatures w14:val="none"/>
        </w:rPr>
        <w:t>Impact of transaction costs (using different rebalance frequency)</w:t>
      </w:r>
    </w:p>
    <w:p w14:paraId="44948B79" w14:textId="57BFFEC9" w:rsidR="00CB5363" w:rsidRPr="00C06E78" w:rsidRDefault="00CB5363" w:rsidP="00C460D5">
      <w:pPr>
        <w:pStyle w:val="ae"/>
        <w:numPr>
          <w:ilvl w:val="0"/>
          <w:numId w:val="15"/>
        </w:numPr>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Basic principles:</w:t>
      </w:r>
    </w:p>
    <w:p w14:paraId="11B777E1"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proofErr w:type="gramStart"/>
      <w:r w:rsidRPr="00C06E78">
        <w:rPr>
          <w:rFonts w:ascii="Times New Roman" w:eastAsia="宋体" w:hAnsi="Times New Roman" w:cs="Times New Roman"/>
          <w:szCs w:val="22"/>
          <w14:ligatures w14:val="none"/>
        </w:rPr>
        <w:t>In order to</w:t>
      </w:r>
      <w:proofErr w:type="gramEnd"/>
      <w:r w:rsidRPr="00C06E78">
        <w:rPr>
          <w:rFonts w:ascii="Times New Roman" w:eastAsia="宋体" w:hAnsi="Times New Roman" w:cs="Times New Roman"/>
          <w:szCs w:val="22"/>
          <w14:ligatures w14:val="none"/>
        </w:rPr>
        <w:t xml:space="preserve"> evaluate the impact of transaction costs on the net profit of the strategy, we simulated the consumption of transaction costs under different adjustment frequencies. The specific steps are as follows:</w:t>
      </w:r>
    </w:p>
    <w:p w14:paraId="467E9AD3" w14:textId="742250F4"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1)</w:t>
      </w:r>
      <w:r w:rsidR="00C460D5" w:rsidRPr="00C06E78">
        <w:rPr>
          <w:rFonts w:ascii="Times New Roman" w:eastAsia="宋体" w:hAnsi="Times New Roman" w:cs="Times New Roman"/>
          <w:szCs w:val="22"/>
          <w14:ligatures w14:val="none"/>
        </w:rPr>
        <w:t xml:space="preserve"> </w:t>
      </w:r>
      <w:r w:rsidRPr="00C06E78">
        <w:rPr>
          <w:rFonts w:ascii="Times New Roman" w:eastAsia="宋体" w:hAnsi="Times New Roman" w:cs="Times New Roman"/>
          <w:szCs w:val="22"/>
          <w14:ligatures w14:val="none"/>
        </w:rPr>
        <w:t>Assuming transaction cost: Set the round-trip transaction cost to 1</w:t>
      </w:r>
      <w:r w:rsidR="00C460D5" w:rsidRPr="00C06E78">
        <w:rPr>
          <w:rFonts w:ascii="Times New Roman" w:eastAsia="宋体" w:hAnsi="Times New Roman" w:cs="Times New Roman"/>
          <w:szCs w:val="22"/>
          <w14:ligatures w14:val="none"/>
        </w:rPr>
        <w:t>%.</w:t>
      </w:r>
    </w:p>
    <w:p w14:paraId="02067150" w14:textId="4B0DA52D"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2)</w:t>
      </w:r>
      <w:r w:rsidR="00C460D5" w:rsidRPr="00C06E78">
        <w:rPr>
          <w:rFonts w:ascii="Times New Roman" w:eastAsia="宋体" w:hAnsi="Times New Roman" w:cs="Times New Roman"/>
          <w:szCs w:val="22"/>
          <w14:ligatures w14:val="none"/>
        </w:rPr>
        <w:t xml:space="preserve"> </w:t>
      </w:r>
      <w:r w:rsidRPr="00C06E78">
        <w:rPr>
          <w:rFonts w:ascii="Times New Roman" w:eastAsia="宋体" w:hAnsi="Times New Roman" w:cs="Times New Roman"/>
          <w:szCs w:val="22"/>
          <w14:ligatures w14:val="none"/>
        </w:rPr>
        <w:t xml:space="preserve">Adjustment frequency setting: Simulate four types of frequency: monthly, quarterly, </w:t>
      </w:r>
      <w:proofErr w:type="gramStart"/>
      <w:r w:rsidR="00C460D5" w:rsidRPr="00C06E78">
        <w:rPr>
          <w:rFonts w:ascii="Times New Roman" w:eastAsia="宋体" w:hAnsi="Times New Roman" w:cs="Times New Roman"/>
          <w:szCs w:val="22"/>
          <w14:ligatures w14:val="none"/>
        </w:rPr>
        <w:t>semiannual</w:t>
      </w:r>
      <w:proofErr w:type="gramEnd"/>
      <w:r w:rsidRPr="00C06E78">
        <w:rPr>
          <w:rFonts w:ascii="Times New Roman" w:eastAsia="宋体" w:hAnsi="Times New Roman" w:cs="Times New Roman"/>
          <w:szCs w:val="22"/>
          <w14:ligatures w14:val="none"/>
        </w:rPr>
        <w:t xml:space="preserve"> and annual adjustment.</w:t>
      </w:r>
    </w:p>
    <w:p w14:paraId="4C35C9AD" w14:textId="07C3BBEE"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3)</w:t>
      </w:r>
      <w:r w:rsidR="00C460D5" w:rsidRPr="00C06E78">
        <w:rPr>
          <w:rFonts w:ascii="Times New Roman" w:eastAsia="宋体" w:hAnsi="Times New Roman" w:cs="Times New Roman"/>
          <w:szCs w:val="22"/>
          <w14:ligatures w14:val="none"/>
        </w:rPr>
        <w:t xml:space="preserve"> </w:t>
      </w:r>
      <w:r w:rsidRPr="00C06E78">
        <w:rPr>
          <w:rFonts w:ascii="Times New Roman" w:eastAsia="宋体" w:hAnsi="Times New Roman" w:cs="Times New Roman"/>
          <w:szCs w:val="22"/>
          <w14:ligatures w14:val="none"/>
        </w:rPr>
        <w:t>Cost sharing: Spread 1% of the total transaction cost evenly over each month based on the frequency of inventory adjustments.</w:t>
      </w:r>
    </w:p>
    <w:p w14:paraId="4686D3DB" w14:textId="4C5935EE"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4)</w:t>
      </w:r>
      <w:r w:rsidR="00C460D5" w:rsidRPr="00C06E78">
        <w:rPr>
          <w:rFonts w:ascii="Times New Roman" w:eastAsia="宋体" w:hAnsi="Times New Roman" w:cs="Times New Roman"/>
          <w:szCs w:val="22"/>
          <w14:ligatures w14:val="none"/>
        </w:rPr>
        <w:t xml:space="preserve"> </w:t>
      </w:r>
      <w:r w:rsidRPr="00C06E78">
        <w:rPr>
          <w:rFonts w:ascii="Times New Roman" w:eastAsia="宋体" w:hAnsi="Times New Roman" w:cs="Times New Roman"/>
          <w:szCs w:val="22"/>
          <w14:ligatures w14:val="none"/>
        </w:rPr>
        <w:t xml:space="preserve">Cumulative net profit: Calculate the cumulative net profit after deducting transaction </w:t>
      </w:r>
      <w:r w:rsidR="00C460D5" w:rsidRPr="00C06E78">
        <w:rPr>
          <w:rFonts w:ascii="Times New Roman" w:eastAsia="宋体" w:hAnsi="Times New Roman" w:cs="Times New Roman"/>
          <w:szCs w:val="22"/>
          <w14:ligatures w14:val="none"/>
        </w:rPr>
        <w:t>costs and</w:t>
      </w:r>
      <w:r w:rsidRPr="00C06E78">
        <w:rPr>
          <w:rFonts w:ascii="Times New Roman" w:eastAsia="宋体" w:hAnsi="Times New Roman" w:cs="Times New Roman"/>
          <w:szCs w:val="22"/>
          <w14:ligatures w14:val="none"/>
        </w:rPr>
        <w:t xml:space="preserve"> observe the changes in strategy returns under different frequency of position adjustments.</w:t>
      </w:r>
    </w:p>
    <w:p w14:paraId="3D7A5984" w14:textId="3EA69AA2" w:rsidR="00CB5363" w:rsidRPr="00C06E78" w:rsidRDefault="00CB5363" w:rsidP="00C460D5">
      <w:pPr>
        <w:pStyle w:val="ae"/>
        <w:numPr>
          <w:ilvl w:val="0"/>
          <w:numId w:val="15"/>
        </w:numPr>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Display results generated by R code</w:t>
      </w:r>
      <w:r w:rsidRPr="00C06E78">
        <w:rPr>
          <w:rFonts w:ascii="Times New Roman" w:eastAsia="宋体" w:hAnsi="Times New Roman" w:cs="Times New Roman"/>
          <w:szCs w:val="22"/>
          <w14:ligatures w14:val="none"/>
        </w:rPr>
        <w:t>：</w:t>
      </w:r>
    </w:p>
    <w:p w14:paraId="19C8F871"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noProof/>
          <w:szCs w:val="22"/>
          <w14:ligatures w14:val="none"/>
        </w:rPr>
        <w:drawing>
          <wp:inline distT="0" distB="0" distL="0" distR="0" wp14:anchorId="7DF461D7" wp14:editId="70966C2D">
            <wp:extent cx="4606925" cy="2708275"/>
            <wp:effectExtent l="0" t="0" r="317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6925" cy="2708275"/>
                    </a:xfrm>
                    <a:prstGeom prst="rect">
                      <a:avLst/>
                    </a:prstGeom>
                    <a:noFill/>
                    <a:ln>
                      <a:noFill/>
                    </a:ln>
                  </pic:spPr>
                </pic:pic>
              </a:graphicData>
            </a:graphic>
          </wp:inline>
        </w:drawing>
      </w:r>
    </w:p>
    <w:p w14:paraId="7873EBBD" w14:textId="77777777" w:rsidR="00855DCF" w:rsidRPr="00C06E78" w:rsidRDefault="00855DCF" w:rsidP="00C460D5">
      <w:pPr>
        <w:pStyle w:val="ae"/>
        <w:numPr>
          <w:ilvl w:val="0"/>
          <w:numId w:val="15"/>
        </w:numPr>
        <w:spacing w:after="0"/>
        <w:contextualSpacing w:val="0"/>
        <w:jc w:val="both"/>
        <w:rPr>
          <w:rFonts w:ascii="Times New Roman" w:eastAsia="宋体" w:hAnsi="Times New Roman" w:cs="Times New Roman"/>
          <w:szCs w:val="22"/>
          <w14:ligatures w14:val="none"/>
        </w:rPr>
      </w:pPr>
      <w:bookmarkStart w:id="37" w:name="OLE_LINK22"/>
      <w:r w:rsidRPr="00C06E78">
        <w:rPr>
          <w:rFonts w:ascii="Times New Roman" w:eastAsia="宋体" w:hAnsi="Times New Roman" w:cs="Times New Roman"/>
          <w:szCs w:val="22"/>
          <w14:ligatures w14:val="none"/>
        </w:rPr>
        <w:t xml:space="preserve">Risk analysis: </w:t>
      </w:r>
    </w:p>
    <w:p w14:paraId="1227A25B" w14:textId="51F8F712"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 xml:space="preserve">  The risk analysis reveals important insights about the strategy's performance across different time horizons. The maximum drawdown shows a clear pattern of decreasing severity as the time window expands, with the most extreme single-month drawdown reaching -80.44</w:t>
      </w:r>
      <w:r w:rsidR="002754CE" w:rsidRPr="00C06E78">
        <w:rPr>
          <w:rFonts w:ascii="Times New Roman" w:eastAsia="宋体" w:hAnsi="Times New Roman" w:cs="Times New Roman"/>
          <w:szCs w:val="22"/>
          <w14:ligatures w14:val="none"/>
        </w:rPr>
        <w:t>%,</w:t>
      </w:r>
      <w:r w:rsidRPr="00C06E78">
        <w:rPr>
          <w:rFonts w:ascii="Times New Roman" w:eastAsia="宋体" w:hAnsi="Times New Roman" w:cs="Times New Roman"/>
          <w:szCs w:val="22"/>
          <w14:ligatures w14:val="none"/>
        </w:rPr>
        <w:t xml:space="preserve"> while the 12-month maximum drawdown was significantly lower at -29.22</w:t>
      </w:r>
      <w:proofErr w:type="gramStart"/>
      <w:r w:rsidRPr="00C06E78">
        <w:rPr>
          <w:rFonts w:ascii="Times New Roman" w:eastAsia="宋体" w:hAnsi="Times New Roman" w:cs="Times New Roman"/>
          <w:szCs w:val="22"/>
          <w14:ligatures w14:val="none"/>
        </w:rPr>
        <w:t>% .</w:t>
      </w:r>
      <w:proofErr w:type="gramEnd"/>
      <w:r w:rsidRPr="00C06E78">
        <w:rPr>
          <w:rFonts w:ascii="Times New Roman" w:eastAsia="宋体" w:hAnsi="Times New Roman" w:cs="Times New Roman"/>
          <w:szCs w:val="22"/>
          <w14:ligatures w14:val="none"/>
        </w:rPr>
        <w:t xml:space="preserve"> This suggests that while the strategy may experience severe short-term losses, the risk of sustained drawdowns diminishes over longer periods. The 95% Value at Risk (</w:t>
      </w:r>
      <w:proofErr w:type="spellStart"/>
      <w:r w:rsidRPr="00C06E78">
        <w:rPr>
          <w:rFonts w:ascii="Times New Roman" w:eastAsia="宋体" w:hAnsi="Times New Roman" w:cs="Times New Roman"/>
          <w:szCs w:val="22"/>
          <w14:ligatures w14:val="none"/>
        </w:rPr>
        <w:t>VaR</w:t>
      </w:r>
      <w:proofErr w:type="spellEnd"/>
      <w:r w:rsidRPr="00C06E78">
        <w:rPr>
          <w:rFonts w:ascii="Times New Roman" w:eastAsia="宋体" w:hAnsi="Times New Roman" w:cs="Times New Roman"/>
          <w:szCs w:val="22"/>
          <w14:ligatures w14:val="none"/>
        </w:rPr>
        <w:t xml:space="preserve">) metrics follow a logical progression, with average expected losses increasing from -0.42% for 1-month periods to -4.19% for 12-month periods, reflecting the compounding effect of risk over time. These results indicate that the strategy exhibits higher volatility in the short </w:t>
      </w:r>
      <w:r w:rsidR="002754CE" w:rsidRPr="00C06E78">
        <w:rPr>
          <w:rFonts w:ascii="Times New Roman" w:eastAsia="宋体" w:hAnsi="Times New Roman" w:cs="Times New Roman"/>
          <w:szCs w:val="22"/>
          <w14:ligatures w14:val="none"/>
        </w:rPr>
        <w:t>term,</w:t>
      </w:r>
      <w:r w:rsidRPr="00C06E78">
        <w:rPr>
          <w:rFonts w:ascii="Times New Roman" w:eastAsia="宋体" w:hAnsi="Times New Roman" w:cs="Times New Roman"/>
          <w:szCs w:val="22"/>
          <w14:ligatures w14:val="none"/>
        </w:rPr>
        <w:t xml:space="preserve"> with extreme monthly drawdowns that could test investor patience, but demonstrates better risk control over longer </w:t>
      </w:r>
      <w:proofErr w:type="gramStart"/>
      <w:r w:rsidRPr="00C06E78">
        <w:rPr>
          <w:rFonts w:ascii="Times New Roman" w:eastAsia="宋体" w:hAnsi="Times New Roman" w:cs="Times New Roman"/>
          <w:szCs w:val="22"/>
          <w14:ligatures w14:val="none"/>
        </w:rPr>
        <w:t>horizons .</w:t>
      </w:r>
      <w:proofErr w:type="gramEnd"/>
      <w:r w:rsidRPr="00C06E78">
        <w:rPr>
          <w:rFonts w:ascii="Times New Roman" w:eastAsia="宋体" w:hAnsi="Times New Roman" w:cs="Times New Roman"/>
          <w:szCs w:val="22"/>
          <w14:ligatures w14:val="none"/>
        </w:rPr>
        <w:t xml:space="preserve"> The relatively stable </w:t>
      </w:r>
      <w:proofErr w:type="spellStart"/>
      <w:r w:rsidRPr="00C06E78">
        <w:rPr>
          <w:rFonts w:ascii="Times New Roman" w:eastAsia="宋体" w:hAnsi="Times New Roman" w:cs="Times New Roman"/>
          <w:szCs w:val="22"/>
          <w14:ligatures w14:val="none"/>
        </w:rPr>
        <w:t>VaR</w:t>
      </w:r>
      <w:proofErr w:type="spellEnd"/>
      <w:r w:rsidRPr="00C06E78">
        <w:rPr>
          <w:rFonts w:ascii="Times New Roman" w:eastAsia="宋体" w:hAnsi="Times New Roman" w:cs="Times New Roman"/>
          <w:szCs w:val="22"/>
          <w14:ligatures w14:val="none"/>
        </w:rPr>
        <w:t xml:space="preserve"> values across different timeframes suggest </w:t>
      </w:r>
      <w:r w:rsidRPr="00C06E78">
        <w:rPr>
          <w:rFonts w:ascii="Times New Roman" w:eastAsia="宋体" w:hAnsi="Times New Roman" w:cs="Times New Roman"/>
          <w:szCs w:val="22"/>
          <w14:ligatures w14:val="none"/>
        </w:rPr>
        <w:lastRenderedPageBreak/>
        <w:t xml:space="preserve">consistent risk exposure, though the increasing </w:t>
      </w:r>
      <w:proofErr w:type="spellStart"/>
      <w:r w:rsidRPr="00C06E78">
        <w:rPr>
          <w:rFonts w:ascii="Times New Roman" w:eastAsia="宋体" w:hAnsi="Times New Roman" w:cs="Times New Roman"/>
          <w:szCs w:val="22"/>
          <w14:ligatures w14:val="none"/>
        </w:rPr>
        <w:t>VaR</w:t>
      </w:r>
      <w:proofErr w:type="spellEnd"/>
      <w:r w:rsidRPr="00C06E78">
        <w:rPr>
          <w:rFonts w:ascii="Times New Roman" w:eastAsia="宋体" w:hAnsi="Times New Roman" w:cs="Times New Roman"/>
          <w:szCs w:val="22"/>
          <w14:ligatures w14:val="none"/>
        </w:rPr>
        <w:t xml:space="preserve"> with longer windows implies that investors should be prepared for larger potential losses when holding positions for extended periods. This analysis would be particularly useful for determining appropriate investment horizons and setting risk tolerance thresholds when implementing this strategy.</w:t>
      </w:r>
    </w:p>
    <w:p w14:paraId="31B2F85D" w14:textId="06975FA1" w:rsidR="008B090E" w:rsidRPr="00C06E78" w:rsidRDefault="008B090E"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noProof/>
          <w:szCs w:val="22"/>
          <w14:ligatures w14:val="none"/>
        </w:rPr>
        <w:drawing>
          <wp:inline distT="0" distB="0" distL="0" distR="0" wp14:anchorId="783C6007" wp14:editId="25070418">
            <wp:extent cx="5274310" cy="3515995"/>
            <wp:effectExtent l="0" t="0" r="0" b="1905"/>
            <wp:docPr id="775006452"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06452" name="Picture 2" descr="A graph of different colored lin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82633" cy="3521543"/>
                    </a:xfrm>
                    <a:prstGeom prst="rect">
                      <a:avLst/>
                    </a:prstGeom>
                  </pic:spPr>
                </pic:pic>
              </a:graphicData>
            </a:graphic>
          </wp:inline>
        </w:drawing>
      </w:r>
    </w:p>
    <w:tbl>
      <w:tblPr>
        <w:tblStyle w:val="a7"/>
        <w:tblW w:w="0" w:type="auto"/>
        <w:jc w:val="center"/>
        <w:tblLook w:val="04A0" w:firstRow="1" w:lastRow="0" w:firstColumn="1" w:lastColumn="0" w:noHBand="0" w:noVBand="1"/>
      </w:tblPr>
      <w:tblGrid>
        <w:gridCol w:w="2840"/>
        <w:gridCol w:w="2841"/>
        <w:gridCol w:w="2841"/>
      </w:tblGrid>
      <w:tr w:rsidR="00855DCF" w:rsidRPr="00C06E78" w14:paraId="715E49BD" w14:textId="77777777" w:rsidTr="008B090E">
        <w:trPr>
          <w:jc w:val="center"/>
        </w:trPr>
        <w:tc>
          <w:tcPr>
            <w:tcW w:w="2840" w:type="dxa"/>
          </w:tcPr>
          <w:p w14:paraId="158C37BB"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Month</w:t>
            </w:r>
          </w:p>
        </w:tc>
        <w:tc>
          <w:tcPr>
            <w:tcW w:w="2841" w:type="dxa"/>
          </w:tcPr>
          <w:p w14:paraId="3F42BD07"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Max Drawdown</w:t>
            </w:r>
          </w:p>
        </w:tc>
        <w:tc>
          <w:tcPr>
            <w:tcW w:w="2841" w:type="dxa"/>
          </w:tcPr>
          <w:p w14:paraId="7E5A82F1"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proofErr w:type="spellStart"/>
            <w:proofErr w:type="gramStart"/>
            <w:r w:rsidRPr="00C06E78">
              <w:rPr>
                <w:rFonts w:ascii="Times New Roman" w:eastAsia="宋体" w:hAnsi="Times New Roman" w:cs="Times New Roman"/>
                <w:szCs w:val="22"/>
                <w14:ligatures w14:val="none"/>
              </w:rPr>
              <w:t>VaR</w:t>
            </w:r>
            <w:proofErr w:type="spellEnd"/>
            <w:r w:rsidRPr="00C06E78">
              <w:rPr>
                <w:rFonts w:ascii="Times New Roman" w:eastAsia="宋体" w:hAnsi="Times New Roman" w:cs="Times New Roman"/>
                <w:szCs w:val="22"/>
                <w14:ligatures w14:val="none"/>
              </w:rPr>
              <w:t>(</w:t>
            </w:r>
            <w:proofErr w:type="gramEnd"/>
            <w:r w:rsidRPr="00C06E78">
              <w:rPr>
                <w:rFonts w:ascii="Times New Roman" w:eastAsia="宋体" w:hAnsi="Times New Roman" w:cs="Times New Roman"/>
                <w:szCs w:val="22"/>
                <w14:ligatures w14:val="none"/>
              </w:rPr>
              <w:t>95%)</w:t>
            </w:r>
          </w:p>
        </w:tc>
      </w:tr>
      <w:tr w:rsidR="00855DCF" w:rsidRPr="00C06E78" w14:paraId="2B11B228" w14:textId="77777777" w:rsidTr="008B090E">
        <w:trPr>
          <w:jc w:val="center"/>
        </w:trPr>
        <w:tc>
          <w:tcPr>
            <w:tcW w:w="2840" w:type="dxa"/>
          </w:tcPr>
          <w:p w14:paraId="493FD0F8"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1</w:t>
            </w:r>
          </w:p>
        </w:tc>
        <w:tc>
          <w:tcPr>
            <w:tcW w:w="2841" w:type="dxa"/>
          </w:tcPr>
          <w:p w14:paraId="304096EE"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-80.44%</w:t>
            </w:r>
          </w:p>
        </w:tc>
        <w:tc>
          <w:tcPr>
            <w:tcW w:w="2841" w:type="dxa"/>
          </w:tcPr>
          <w:p w14:paraId="38EB0453"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-0.42%</w:t>
            </w:r>
          </w:p>
        </w:tc>
      </w:tr>
      <w:tr w:rsidR="00855DCF" w:rsidRPr="00C06E78" w14:paraId="64BCB0C3" w14:textId="77777777" w:rsidTr="008B090E">
        <w:trPr>
          <w:jc w:val="center"/>
        </w:trPr>
        <w:tc>
          <w:tcPr>
            <w:tcW w:w="2840" w:type="dxa"/>
          </w:tcPr>
          <w:p w14:paraId="60EC5F61"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3</w:t>
            </w:r>
          </w:p>
        </w:tc>
        <w:tc>
          <w:tcPr>
            <w:tcW w:w="2841" w:type="dxa"/>
          </w:tcPr>
          <w:p w14:paraId="6713E494"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-36.98%</w:t>
            </w:r>
          </w:p>
        </w:tc>
        <w:tc>
          <w:tcPr>
            <w:tcW w:w="2841" w:type="dxa"/>
          </w:tcPr>
          <w:p w14:paraId="0134E187"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-2.43%</w:t>
            </w:r>
          </w:p>
        </w:tc>
      </w:tr>
      <w:tr w:rsidR="00855DCF" w:rsidRPr="00C06E78" w14:paraId="2A8F0675" w14:textId="77777777" w:rsidTr="008B090E">
        <w:trPr>
          <w:jc w:val="center"/>
        </w:trPr>
        <w:tc>
          <w:tcPr>
            <w:tcW w:w="2840" w:type="dxa"/>
          </w:tcPr>
          <w:p w14:paraId="35D615F0"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6</w:t>
            </w:r>
          </w:p>
        </w:tc>
        <w:tc>
          <w:tcPr>
            <w:tcW w:w="2841" w:type="dxa"/>
          </w:tcPr>
          <w:p w14:paraId="7114691B"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-31.91%</w:t>
            </w:r>
          </w:p>
        </w:tc>
        <w:tc>
          <w:tcPr>
            <w:tcW w:w="2841" w:type="dxa"/>
          </w:tcPr>
          <w:p w14:paraId="3711379B"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-3.44%</w:t>
            </w:r>
          </w:p>
        </w:tc>
      </w:tr>
      <w:tr w:rsidR="00855DCF" w:rsidRPr="00C06E78" w14:paraId="75165FEA" w14:textId="77777777" w:rsidTr="008B090E">
        <w:trPr>
          <w:jc w:val="center"/>
        </w:trPr>
        <w:tc>
          <w:tcPr>
            <w:tcW w:w="2840" w:type="dxa"/>
          </w:tcPr>
          <w:p w14:paraId="4BF7857A"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12</w:t>
            </w:r>
          </w:p>
        </w:tc>
        <w:tc>
          <w:tcPr>
            <w:tcW w:w="2841" w:type="dxa"/>
          </w:tcPr>
          <w:p w14:paraId="71C88464"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-29.22%</w:t>
            </w:r>
          </w:p>
        </w:tc>
        <w:tc>
          <w:tcPr>
            <w:tcW w:w="2841" w:type="dxa"/>
          </w:tcPr>
          <w:p w14:paraId="348BDFD3"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-4.19%</w:t>
            </w:r>
          </w:p>
        </w:tc>
      </w:tr>
    </w:tbl>
    <w:p w14:paraId="09115198" w14:textId="77777777" w:rsidR="00855DCF" w:rsidRPr="00C06E78" w:rsidRDefault="00855DCF" w:rsidP="0051756F">
      <w:pPr>
        <w:spacing w:after="0"/>
        <w:jc w:val="both"/>
        <w:rPr>
          <w:rFonts w:ascii="Times New Roman" w:eastAsia="宋体" w:hAnsi="Times New Roman" w:cs="Times New Roman"/>
          <w:szCs w:val="22"/>
          <w14:ligatures w14:val="none"/>
        </w:rPr>
      </w:pPr>
    </w:p>
    <w:p w14:paraId="4DEFD892" w14:textId="091BC2EA" w:rsidR="00CB5363" w:rsidRPr="00C06E78" w:rsidRDefault="00CB5363" w:rsidP="00C460D5">
      <w:pPr>
        <w:numPr>
          <w:ilvl w:val="0"/>
          <w:numId w:val="15"/>
        </w:numPr>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Result description:</w:t>
      </w:r>
    </w:p>
    <w:p w14:paraId="05544ADC"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bookmarkStart w:id="38" w:name="OLE_LINK29"/>
      <w:bookmarkEnd w:id="37"/>
      <w:r w:rsidRPr="00C06E78">
        <w:rPr>
          <w:rFonts w:ascii="Times New Roman" w:eastAsia="宋体" w:hAnsi="Times New Roman" w:cs="Times New Roman"/>
          <w:szCs w:val="22"/>
          <w14:ligatures w14:val="none"/>
        </w:rPr>
        <w:t xml:space="preserve">We can conclude that the frequency of position adjustments has a significant impact on the performance of momentum strategies, while too frequent position adjustments can </w:t>
      </w:r>
      <w:proofErr w:type="gramStart"/>
      <w:r w:rsidRPr="00C06E78">
        <w:rPr>
          <w:rFonts w:ascii="Times New Roman" w:eastAsia="宋体" w:hAnsi="Times New Roman" w:cs="Times New Roman"/>
          <w:szCs w:val="22"/>
          <w14:ligatures w14:val="none"/>
        </w:rPr>
        <w:t>actually drag</w:t>
      </w:r>
      <w:proofErr w:type="gramEnd"/>
      <w:r w:rsidRPr="00C06E78">
        <w:rPr>
          <w:rFonts w:ascii="Times New Roman" w:eastAsia="宋体" w:hAnsi="Times New Roman" w:cs="Times New Roman"/>
          <w:szCs w:val="22"/>
          <w14:ligatures w14:val="none"/>
        </w:rPr>
        <w:t xml:space="preserve"> down returns. Especially in the medium to long term (6-12 months), the adjustment period is more conducive to stable growth and maximizing returns of the </w:t>
      </w:r>
      <w:proofErr w:type="spellStart"/>
      <w:r w:rsidRPr="00C06E78">
        <w:rPr>
          <w:rFonts w:ascii="Times New Roman" w:eastAsia="宋体" w:hAnsi="Times New Roman" w:cs="Times New Roman"/>
          <w:szCs w:val="22"/>
          <w14:ligatures w14:val="none"/>
        </w:rPr>
        <w:t>momentun</w:t>
      </w:r>
      <w:proofErr w:type="spellEnd"/>
      <w:r w:rsidRPr="00C06E78">
        <w:rPr>
          <w:rFonts w:ascii="Times New Roman" w:eastAsia="宋体" w:hAnsi="Times New Roman" w:cs="Times New Roman"/>
          <w:szCs w:val="22"/>
          <w14:ligatures w14:val="none"/>
        </w:rPr>
        <w:t xml:space="preserve"> strategy. This simulation helps investors understand the actual feasibility of strategies and design reasonable adjustment cycles to balance returns and costs.</w:t>
      </w:r>
    </w:p>
    <w:bookmarkEnd w:id="38"/>
    <w:p w14:paraId="0DC88A07" w14:textId="77777777" w:rsidR="00CB5363" w:rsidRPr="00C06E78" w:rsidRDefault="00CB5363" w:rsidP="0051756F">
      <w:pPr>
        <w:spacing w:after="0"/>
        <w:jc w:val="both"/>
        <w:rPr>
          <w:rFonts w:ascii="Times New Roman" w:eastAsia="宋体" w:hAnsi="Times New Roman" w:cs="Times New Roman"/>
          <w:b/>
          <w:szCs w:val="22"/>
          <w14:ligatures w14:val="none"/>
        </w:rPr>
      </w:pPr>
      <w:r w:rsidRPr="00C06E78">
        <w:rPr>
          <w:rFonts w:ascii="Times New Roman" w:eastAsia="宋体" w:hAnsi="Times New Roman" w:cs="Times New Roman"/>
          <w:b/>
          <w:szCs w:val="22"/>
          <w14:ligatures w14:val="none"/>
        </w:rPr>
        <w:t>5.Out-of-sample tests (for market-timing strategy)</w:t>
      </w:r>
    </w:p>
    <w:p w14:paraId="6163F98B" w14:textId="572B48E0"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The momentum strategy is based on the past performance of the stock itself (the past 6 months' returns) to select "winner stocks" to buy and "loser stocks" to sell. Essentially, it is a prediction and timing of individual stock performance, belonging to stock timing or cross-sectional timing. Therefore, there is no need to conduct Out of sample tests</w:t>
      </w:r>
    </w:p>
    <w:p w14:paraId="3297A353" w14:textId="77777777" w:rsidR="002754CE" w:rsidRPr="00C06E78" w:rsidRDefault="002754CE" w:rsidP="0051756F">
      <w:pPr>
        <w:spacing w:after="0"/>
        <w:ind w:firstLineChars="100" w:firstLine="220"/>
        <w:jc w:val="both"/>
        <w:rPr>
          <w:rFonts w:ascii="Times New Roman" w:eastAsia="宋体" w:hAnsi="Times New Roman" w:cs="Times New Roman"/>
          <w:szCs w:val="22"/>
          <w14:ligatures w14:val="none"/>
        </w:rPr>
      </w:pPr>
    </w:p>
    <w:p w14:paraId="536942E1" w14:textId="77777777" w:rsidR="00CB5363" w:rsidRPr="00C06E78" w:rsidRDefault="00CB5363" w:rsidP="0051756F">
      <w:pPr>
        <w:spacing w:after="0"/>
        <w:jc w:val="both"/>
        <w:rPr>
          <w:rFonts w:ascii="Times New Roman" w:eastAsia="宋体" w:hAnsi="Times New Roman" w:cs="Times New Roman"/>
          <w:b/>
          <w:szCs w:val="22"/>
          <w14:ligatures w14:val="none"/>
        </w:rPr>
      </w:pPr>
      <w:r w:rsidRPr="00C06E78">
        <w:rPr>
          <w:rFonts w:ascii="Times New Roman" w:eastAsia="宋体" w:hAnsi="Times New Roman" w:cs="Times New Roman"/>
          <w:b/>
          <w:szCs w:val="22"/>
          <w14:ligatures w14:val="none"/>
        </w:rPr>
        <w:lastRenderedPageBreak/>
        <w:t>6. Impact of using different weights for securities in a portfolio</w:t>
      </w:r>
    </w:p>
    <w:p w14:paraId="08379579" w14:textId="77777777" w:rsidR="00CB5363" w:rsidRPr="00C06E78" w:rsidRDefault="00CB5363" w:rsidP="0051756F">
      <w:pPr>
        <w:spacing w:after="0"/>
        <w:jc w:val="both"/>
        <w:rPr>
          <w:rFonts w:ascii="Times New Roman" w:eastAsia="宋体" w:hAnsi="Times New Roman" w:cs="Times New Roman"/>
          <w:szCs w:val="22"/>
          <w14:ligatures w14:val="none"/>
        </w:rPr>
      </w:pPr>
      <w:bookmarkStart w:id="39" w:name="OLE_LINK23"/>
      <w:bookmarkStart w:id="40" w:name="OLE_LINK24"/>
      <w:r w:rsidRPr="00C06E78">
        <w:rPr>
          <w:rFonts w:ascii="Times New Roman" w:eastAsia="宋体" w:hAnsi="Times New Roman" w:cs="Times New Roman"/>
          <w:szCs w:val="22"/>
          <w14:ligatures w14:val="none"/>
        </w:rPr>
        <w:t>(1) Basic principles:</w:t>
      </w:r>
    </w:p>
    <w:p w14:paraId="576DED5E"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bookmarkStart w:id="41" w:name="OLE_LINK38"/>
      <w:bookmarkStart w:id="42" w:name="OLE_LINK18"/>
      <w:bookmarkEnd w:id="39"/>
      <w:bookmarkEnd w:id="40"/>
      <w:r w:rsidRPr="00C06E78">
        <w:rPr>
          <w:rFonts w:ascii="Times New Roman" w:eastAsia="宋体" w:hAnsi="Times New Roman" w:cs="Times New Roman"/>
          <w:szCs w:val="22"/>
          <w14:ligatures w14:val="none"/>
        </w:rPr>
        <w:t xml:space="preserve">Construct equal-weighted and </w:t>
      </w:r>
      <w:bookmarkStart w:id="43" w:name="OLE_LINK46"/>
      <w:bookmarkStart w:id="44" w:name="OLE_LINK45"/>
      <w:r w:rsidRPr="00C06E78">
        <w:rPr>
          <w:rFonts w:ascii="Times New Roman" w:eastAsia="宋体" w:hAnsi="Times New Roman" w:cs="Times New Roman"/>
          <w:szCs w:val="22"/>
          <w14:ligatures w14:val="none"/>
        </w:rPr>
        <w:t>market</w:t>
      </w:r>
      <w:bookmarkEnd w:id="43"/>
      <w:bookmarkEnd w:id="44"/>
      <w:r w:rsidRPr="00C06E78">
        <w:rPr>
          <w:rFonts w:ascii="Times New Roman" w:eastAsia="宋体" w:hAnsi="Times New Roman" w:cs="Times New Roman"/>
          <w:szCs w:val="22"/>
          <w14:ligatures w14:val="none"/>
        </w:rPr>
        <w:t xml:space="preserve">-cap-weighted </w:t>
      </w:r>
      <w:r w:rsidRPr="00C06E78">
        <w:rPr>
          <w:rFonts w:ascii="Times New Roman" w:eastAsia="宋体" w:hAnsi="Times New Roman" w:cs="Times New Roman"/>
          <w:kern w:val="0"/>
          <w:szCs w:val="22"/>
          <w14:ligatures w14:val="none"/>
        </w:rPr>
        <w:t>portfolios</w:t>
      </w:r>
      <w:r w:rsidRPr="00C06E78">
        <w:rPr>
          <w:rFonts w:ascii="Times New Roman" w:eastAsia="宋体" w:hAnsi="Times New Roman" w:cs="Times New Roman"/>
          <w:szCs w:val="22"/>
          <w14:ligatures w14:val="none"/>
        </w:rPr>
        <w:t xml:space="preserve"> separately, </w:t>
      </w:r>
      <w:bookmarkEnd w:id="41"/>
      <w:r w:rsidRPr="00C06E78">
        <w:rPr>
          <w:rFonts w:ascii="Times New Roman" w:eastAsia="宋体" w:hAnsi="Times New Roman" w:cs="Times New Roman"/>
          <w:szCs w:val="22"/>
          <w14:ligatures w14:val="none"/>
        </w:rPr>
        <w:t xml:space="preserve">calculate the annualized return, volatility, and Sharpe ratio of the two </w:t>
      </w:r>
      <w:r w:rsidRPr="00C06E78">
        <w:rPr>
          <w:rFonts w:ascii="Times New Roman" w:eastAsia="宋体" w:hAnsi="Times New Roman" w:cs="Times New Roman"/>
          <w:kern w:val="0"/>
          <w:szCs w:val="22"/>
          <w14:ligatures w14:val="none"/>
        </w:rPr>
        <w:t>portfolios</w:t>
      </w:r>
      <w:r w:rsidRPr="00C06E78">
        <w:rPr>
          <w:rFonts w:ascii="Times New Roman" w:eastAsia="宋体" w:hAnsi="Times New Roman" w:cs="Times New Roman"/>
          <w:szCs w:val="22"/>
          <w14:ligatures w14:val="none"/>
        </w:rPr>
        <w:t>, and compare the impact of different weight schemes on strategic risk return.</w:t>
      </w:r>
    </w:p>
    <w:bookmarkEnd w:id="42"/>
    <w:p w14:paraId="2F3801A5" w14:textId="7E617AD8" w:rsidR="00CB5363" w:rsidRPr="00C06E78" w:rsidRDefault="00CB5363" w:rsidP="0051756F">
      <w:pPr>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(2)</w:t>
      </w:r>
      <w:r w:rsidR="002754CE" w:rsidRPr="00C06E78">
        <w:rPr>
          <w:rFonts w:ascii="Times New Roman" w:eastAsia="宋体" w:hAnsi="Times New Roman" w:cs="Times New Roman"/>
          <w:szCs w:val="22"/>
          <w14:ligatures w14:val="none"/>
        </w:rPr>
        <w:t xml:space="preserve"> </w:t>
      </w:r>
      <w:r w:rsidRPr="00C06E78">
        <w:rPr>
          <w:rFonts w:ascii="Times New Roman" w:eastAsia="宋体" w:hAnsi="Times New Roman" w:cs="Times New Roman"/>
          <w:szCs w:val="22"/>
          <w14:ligatures w14:val="none"/>
        </w:rPr>
        <w:t>Display results generated by R code</w:t>
      </w:r>
      <w:r w:rsidRPr="00C06E78">
        <w:rPr>
          <w:rFonts w:ascii="Times New Roman" w:eastAsia="宋体" w:hAnsi="Times New Roman" w:cs="Times New Roman"/>
          <w:szCs w:val="22"/>
          <w14:ligatures w14:val="none"/>
        </w:rPr>
        <w:t>：</w:t>
      </w:r>
    </w:p>
    <w:p w14:paraId="12A3F042" w14:textId="77777777" w:rsidR="00CB5363" w:rsidRPr="00C06E78" w:rsidRDefault="00CB5363" w:rsidP="0051756F">
      <w:pPr>
        <w:spacing w:after="0"/>
        <w:ind w:left="370"/>
        <w:jc w:val="both"/>
        <w:rPr>
          <w:rFonts w:ascii="Times New Roman" w:eastAsia="宋体" w:hAnsi="Times New Roman" w:cs="Times New Roman"/>
          <w:szCs w:val="22"/>
          <w14:ligatures w14:val="none"/>
        </w:rPr>
      </w:pPr>
      <w:bookmarkStart w:id="45" w:name="OLE_LINK43"/>
      <w:bookmarkStart w:id="46" w:name="OLE_LINK44"/>
      <w:r w:rsidRPr="00C06E78">
        <w:rPr>
          <w:rFonts w:ascii="Times New Roman" w:eastAsia="宋体" w:hAnsi="Times New Roman" w:cs="Times New Roman"/>
          <w:szCs w:val="22"/>
          <w14:ligatures w14:val="none"/>
        </w:rPr>
        <w:t>For equal-weighted</w:t>
      </w:r>
      <w:bookmarkStart w:id="47" w:name="OLE_LINK39"/>
      <w:r w:rsidRPr="00C06E78">
        <w:rPr>
          <w:rFonts w:ascii="Times New Roman" w:eastAsia="宋体" w:hAnsi="Times New Roman" w:cs="Times New Roman"/>
          <w:szCs w:val="22"/>
          <w14:ligatures w14:val="none"/>
        </w:rPr>
        <w:t xml:space="preserve"> portfolios</w:t>
      </w:r>
      <w:bookmarkEnd w:id="47"/>
      <w:r w:rsidRPr="00C06E78">
        <w:rPr>
          <w:rFonts w:ascii="Times New Roman" w:eastAsia="宋体" w:hAnsi="Times New Roman" w:cs="Times New Roman"/>
          <w:szCs w:val="22"/>
          <w14:ligatures w14:val="none"/>
        </w:rPr>
        <w:t>:</w:t>
      </w:r>
    </w:p>
    <w:tbl>
      <w:tblPr>
        <w:tblStyle w:val="14"/>
        <w:tblW w:w="0" w:type="auto"/>
        <w:jc w:val="center"/>
        <w:tblLook w:val="04A0" w:firstRow="1" w:lastRow="0" w:firstColumn="1" w:lastColumn="0" w:noHBand="0" w:noVBand="1"/>
      </w:tblPr>
      <w:tblGrid>
        <w:gridCol w:w="2130"/>
        <w:gridCol w:w="2131"/>
        <w:gridCol w:w="2131"/>
      </w:tblGrid>
      <w:tr w:rsidR="00CB5363" w:rsidRPr="00C06E78" w14:paraId="5CA67665" w14:textId="77777777" w:rsidTr="007130DC">
        <w:trPr>
          <w:jc w:val="center"/>
        </w:trPr>
        <w:tc>
          <w:tcPr>
            <w:tcW w:w="2130" w:type="dxa"/>
            <w:tcBorders>
              <w:top w:val="single" w:sz="4" w:space="0" w:color="auto"/>
              <w:left w:val="single" w:sz="4" w:space="0" w:color="auto"/>
              <w:bottom w:val="single" w:sz="4" w:space="0" w:color="auto"/>
              <w:right w:val="single" w:sz="4" w:space="0" w:color="auto"/>
            </w:tcBorders>
            <w:hideMark/>
          </w:tcPr>
          <w:p w14:paraId="3644DB3C"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bookmarkStart w:id="48" w:name="_Hlk197780979"/>
            <w:bookmarkEnd w:id="45"/>
            <w:bookmarkEnd w:id="46"/>
            <w:r w:rsidRPr="00C06E78">
              <w:rPr>
                <w:rFonts w:ascii="Times New Roman" w:eastAsia="宋体" w:hAnsi="Times New Roman"/>
                <w:color w:val="000000"/>
                <w:kern w:val="0"/>
                <w:szCs w:val="22"/>
                <w14:ligatures w14:val="none"/>
              </w:rPr>
              <w:t>Annualized Return</w:t>
            </w:r>
          </w:p>
        </w:tc>
        <w:tc>
          <w:tcPr>
            <w:tcW w:w="2131" w:type="dxa"/>
            <w:tcBorders>
              <w:top w:val="single" w:sz="4" w:space="0" w:color="auto"/>
              <w:left w:val="single" w:sz="4" w:space="0" w:color="auto"/>
              <w:bottom w:val="single" w:sz="4" w:space="0" w:color="auto"/>
              <w:right w:val="single" w:sz="4" w:space="0" w:color="auto"/>
            </w:tcBorders>
            <w:hideMark/>
          </w:tcPr>
          <w:p w14:paraId="0A9B5CAD"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Annualized Volatility</w:t>
            </w:r>
          </w:p>
        </w:tc>
        <w:tc>
          <w:tcPr>
            <w:tcW w:w="2131" w:type="dxa"/>
            <w:tcBorders>
              <w:top w:val="single" w:sz="4" w:space="0" w:color="auto"/>
              <w:left w:val="single" w:sz="4" w:space="0" w:color="auto"/>
              <w:bottom w:val="single" w:sz="4" w:space="0" w:color="auto"/>
              <w:right w:val="single" w:sz="4" w:space="0" w:color="auto"/>
            </w:tcBorders>
            <w:hideMark/>
          </w:tcPr>
          <w:p w14:paraId="053EFE17"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Sharpe Ratio</w:t>
            </w:r>
          </w:p>
        </w:tc>
      </w:tr>
      <w:tr w:rsidR="00CB5363" w:rsidRPr="00C06E78" w14:paraId="3D51695D" w14:textId="77777777" w:rsidTr="007130DC">
        <w:trPr>
          <w:jc w:val="center"/>
        </w:trPr>
        <w:tc>
          <w:tcPr>
            <w:tcW w:w="2130" w:type="dxa"/>
            <w:tcBorders>
              <w:top w:val="single" w:sz="4" w:space="0" w:color="auto"/>
              <w:left w:val="single" w:sz="4" w:space="0" w:color="auto"/>
              <w:bottom w:val="single" w:sz="4" w:space="0" w:color="auto"/>
              <w:right w:val="single" w:sz="4" w:space="0" w:color="auto"/>
            </w:tcBorders>
            <w:hideMark/>
          </w:tcPr>
          <w:p w14:paraId="7918E9D0"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0.098</w:t>
            </w:r>
            <w:r w:rsidRPr="00C06E78">
              <w:rPr>
                <w:rFonts w:ascii="Times New Roman" w:eastAsia="宋体" w:hAnsi="Times New Roman"/>
                <w:color w:val="000000"/>
                <w:kern w:val="0"/>
                <w:szCs w:val="22"/>
                <w:u w:val="single"/>
                <w14:ligatures w14:val="none"/>
              </w:rPr>
              <w:t>9</w:t>
            </w:r>
          </w:p>
        </w:tc>
        <w:tc>
          <w:tcPr>
            <w:tcW w:w="2131" w:type="dxa"/>
            <w:tcBorders>
              <w:top w:val="single" w:sz="4" w:space="0" w:color="auto"/>
              <w:left w:val="single" w:sz="4" w:space="0" w:color="auto"/>
              <w:bottom w:val="single" w:sz="4" w:space="0" w:color="auto"/>
              <w:right w:val="single" w:sz="4" w:space="0" w:color="auto"/>
            </w:tcBorders>
            <w:hideMark/>
          </w:tcPr>
          <w:p w14:paraId="4BCECAB2"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0.236</w:t>
            </w:r>
          </w:p>
        </w:tc>
        <w:tc>
          <w:tcPr>
            <w:tcW w:w="2131" w:type="dxa"/>
            <w:tcBorders>
              <w:top w:val="single" w:sz="4" w:space="0" w:color="auto"/>
              <w:left w:val="single" w:sz="4" w:space="0" w:color="auto"/>
              <w:bottom w:val="single" w:sz="4" w:space="0" w:color="auto"/>
              <w:right w:val="single" w:sz="4" w:space="0" w:color="auto"/>
            </w:tcBorders>
            <w:hideMark/>
          </w:tcPr>
          <w:p w14:paraId="5742EB80"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0.419</w:t>
            </w:r>
          </w:p>
        </w:tc>
      </w:tr>
    </w:tbl>
    <w:bookmarkEnd w:id="48"/>
    <w:p w14:paraId="7743E2C8" w14:textId="77777777" w:rsidR="00CB5363" w:rsidRPr="00C06E78" w:rsidRDefault="00CB5363" w:rsidP="0051756F">
      <w:pPr>
        <w:spacing w:after="0"/>
        <w:ind w:left="37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 xml:space="preserve">For </w:t>
      </w:r>
      <w:r w:rsidRPr="00C06E78">
        <w:rPr>
          <w:rFonts w:ascii="Times New Roman" w:eastAsia="宋体" w:hAnsi="Times New Roman" w:cs="Times New Roman"/>
          <w:kern w:val="0"/>
          <w:szCs w:val="22"/>
          <w14:ligatures w14:val="none"/>
        </w:rPr>
        <w:t>market-cap</w:t>
      </w:r>
      <w:r w:rsidRPr="00C06E78">
        <w:rPr>
          <w:rFonts w:ascii="Times New Roman" w:eastAsia="宋体" w:hAnsi="Times New Roman" w:cs="Times New Roman"/>
          <w:szCs w:val="22"/>
          <w14:ligatures w14:val="none"/>
        </w:rPr>
        <w:t>-weighted portfolios:</w:t>
      </w:r>
    </w:p>
    <w:tbl>
      <w:tblPr>
        <w:tblStyle w:val="14"/>
        <w:tblW w:w="0" w:type="auto"/>
        <w:jc w:val="center"/>
        <w:tblLook w:val="04A0" w:firstRow="1" w:lastRow="0" w:firstColumn="1" w:lastColumn="0" w:noHBand="0" w:noVBand="1"/>
      </w:tblPr>
      <w:tblGrid>
        <w:gridCol w:w="2130"/>
        <w:gridCol w:w="2131"/>
        <w:gridCol w:w="2131"/>
      </w:tblGrid>
      <w:tr w:rsidR="00CB5363" w:rsidRPr="00C06E78" w14:paraId="6087AA06" w14:textId="77777777" w:rsidTr="007130DC">
        <w:trPr>
          <w:jc w:val="center"/>
        </w:trPr>
        <w:tc>
          <w:tcPr>
            <w:tcW w:w="2130" w:type="dxa"/>
            <w:tcBorders>
              <w:top w:val="single" w:sz="4" w:space="0" w:color="auto"/>
              <w:left w:val="single" w:sz="4" w:space="0" w:color="auto"/>
              <w:bottom w:val="single" w:sz="4" w:space="0" w:color="auto"/>
              <w:right w:val="single" w:sz="4" w:space="0" w:color="auto"/>
            </w:tcBorders>
            <w:hideMark/>
          </w:tcPr>
          <w:p w14:paraId="0260163C"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Annualized Return</w:t>
            </w:r>
          </w:p>
        </w:tc>
        <w:tc>
          <w:tcPr>
            <w:tcW w:w="2131" w:type="dxa"/>
            <w:tcBorders>
              <w:top w:val="single" w:sz="4" w:space="0" w:color="auto"/>
              <w:left w:val="single" w:sz="4" w:space="0" w:color="auto"/>
              <w:bottom w:val="single" w:sz="4" w:space="0" w:color="auto"/>
              <w:right w:val="single" w:sz="4" w:space="0" w:color="auto"/>
            </w:tcBorders>
            <w:hideMark/>
          </w:tcPr>
          <w:p w14:paraId="3B41ADC6"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Annualized Volatility</w:t>
            </w:r>
          </w:p>
        </w:tc>
        <w:tc>
          <w:tcPr>
            <w:tcW w:w="2131" w:type="dxa"/>
            <w:tcBorders>
              <w:top w:val="single" w:sz="4" w:space="0" w:color="auto"/>
              <w:left w:val="single" w:sz="4" w:space="0" w:color="auto"/>
              <w:bottom w:val="single" w:sz="4" w:space="0" w:color="auto"/>
              <w:right w:val="single" w:sz="4" w:space="0" w:color="auto"/>
            </w:tcBorders>
            <w:hideMark/>
          </w:tcPr>
          <w:p w14:paraId="61B464B0"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Sharpe Ratio</w:t>
            </w:r>
          </w:p>
        </w:tc>
      </w:tr>
      <w:tr w:rsidR="00CB5363" w:rsidRPr="00C06E78" w14:paraId="00474947" w14:textId="77777777" w:rsidTr="007130DC">
        <w:trPr>
          <w:jc w:val="center"/>
        </w:trPr>
        <w:tc>
          <w:tcPr>
            <w:tcW w:w="2130" w:type="dxa"/>
            <w:tcBorders>
              <w:top w:val="single" w:sz="4" w:space="0" w:color="auto"/>
              <w:left w:val="single" w:sz="4" w:space="0" w:color="auto"/>
              <w:bottom w:val="single" w:sz="4" w:space="0" w:color="auto"/>
              <w:right w:val="single" w:sz="4" w:space="0" w:color="auto"/>
            </w:tcBorders>
            <w:hideMark/>
          </w:tcPr>
          <w:p w14:paraId="4F928C35"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0.110</w:t>
            </w:r>
          </w:p>
        </w:tc>
        <w:tc>
          <w:tcPr>
            <w:tcW w:w="2131" w:type="dxa"/>
            <w:tcBorders>
              <w:top w:val="single" w:sz="4" w:space="0" w:color="auto"/>
              <w:left w:val="single" w:sz="4" w:space="0" w:color="auto"/>
              <w:bottom w:val="single" w:sz="4" w:space="0" w:color="auto"/>
              <w:right w:val="single" w:sz="4" w:space="0" w:color="auto"/>
            </w:tcBorders>
            <w:hideMark/>
          </w:tcPr>
          <w:p w14:paraId="4419B9E6"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0.239</w:t>
            </w:r>
          </w:p>
        </w:tc>
        <w:tc>
          <w:tcPr>
            <w:tcW w:w="2131" w:type="dxa"/>
            <w:tcBorders>
              <w:top w:val="single" w:sz="4" w:space="0" w:color="auto"/>
              <w:left w:val="single" w:sz="4" w:space="0" w:color="auto"/>
              <w:bottom w:val="single" w:sz="4" w:space="0" w:color="auto"/>
              <w:right w:val="single" w:sz="4" w:space="0" w:color="auto"/>
            </w:tcBorders>
            <w:hideMark/>
          </w:tcPr>
          <w:p w14:paraId="29FD94EE" w14:textId="77777777" w:rsidR="00CB5363" w:rsidRPr="00C06E78" w:rsidRDefault="00CB5363" w:rsidP="0051756F">
            <w:pPr>
              <w:widowControl/>
              <w:spacing w:after="0"/>
              <w:jc w:val="both"/>
              <w:rPr>
                <w:rFonts w:ascii="Times New Roman" w:eastAsia="宋体" w:hAnsi="Times New Roman"/>
                <w:color w:val="000000"/>
                <w:kern w:val="0"/>
                <w:szCs w:val="22"/>
                <w14:ligatures w14:val="none"/>
              </w:rPr>
            </w:pPr>
            <w:r w:rsidRPr="00C06E78">
              <w:rPr>
                <w:rFonts w:ascii="Times New Roman" w:eastAsia="宋体" w:hAnsi="Times New Roman"/>
                <w:color w:val="000000"/>
                <w:kern w:val="0"/>
                <w:szCs w:val="22"/>
                <w14:ligatures w14:val="none"/>
              </w:rPr>
              <w:t>0.463</w:t>
            </w:r>
          </w:p>
        </w:tc>
      </w:tr>
    </w:tbl>
    <w:p w14:paraId="49D2E1F7"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bookmarkStart w:id="49" w:name="OLE_LINK17"/>
      <w:bookmarkStart w:id="50" w:name="OLE_LINK30"/>
      <w:r w:rsidRPr="00C06E78">
        <w:rPr>
          <w:rFonts w:ascii="Times New Roman" w:eastAsia="宋体" w:hAnsi="Times New Roman" w:cs="Times New Roman"/>
          <w:szCs w:val="22"/>
          <w14:ligatures w14:val="none"/>
        </w:rPr>
        <w:t>The cumulative return curve of two weight portfolios is plotted as follows</w:t>
      </w:r>
      <w:r w:rsidRPr="00C06E78">
        <w:rPr>
          <w:rFonts w:ascii="Times New Roman" w:eastAsia="宋体" w:hAnsi="Times New Roman" w:cs="Times New Roman"/>
          <w:szCs w:val="22"/>
          <w14:ligatures w14:val="none"/>
        </w:rPr>
        <w:t>：</w:t>
      </w:r>
    </w:p>
    <w:bookmarkEnd w:id="49"/>
    <w:bookmarkEnd w:id="50"/>
    <w:p w14:paraId="3A338AE9" w14:textId="77777777" w:rsidR="00CB5363" w:rsidRPr="00C06E78" w:rsidRDefault="00CB5363" w:rsidP="002754CE">
      <w:pPr>
        <w:spacing w:after="0"/>
        <w:jc w:val="center"/>
        <w:rPr>
          <w:rFonts w:ascii="Times New Roman" w:eastAsia="宋体" w:hAnsi="Times New Roman" w:cs="Times New Roman"/>
          <w:szCs w:val="22"/>
          <w14:ligatures w14:val="none"/>
        </w:rPr>
      </w:pPr>
      <w:r w:rsidRPr="00C06E78">
        <w:rPr>
          <w:rFonts w:ascii="Times New Roman" w:eastAsia="宋体" w:hAnsi="Times New Roman" w:cs="Times New Roman"/>
          <w:noProof/>
          <w:szCs w:val="22"/>
          <w14:ligatures w14:val="none"/>
        </w:rPr>
        <w:drawing>
          <wp:inline distT="0" distB="0" distL="0" distR="0" wp14:anchorId="5CE39105" wp14:editId="702BBF96">
            <wp:extent cx="4152908" cy="2933114"/>
            <wp:effectExtent l="0" t="0" r="0" b="6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0970" cy="2938808"/>
                    </a:xfrm>
                    <a:prstGeom prst="rect">
                      <a:avLst/>
                    </a:prstGeom>
                    <a:noFill/>
                    <a:ln>
                      <a:noFill/>
                    </a:ln>
                  </pic:spPr>
                </pic:pic>
              </a:graphicData>
            </a:graphic>
          </wp:inline>
        </w:drawing>
      </w:r>
    </w:p>
    <w:p w14:paraId="02F1BF02" w14:textId="77777777" w:rsidR="00855DCF" w:rsidRPr="00C06E78" w:rsidRDefault="00855DCF" w:rsidP="002754CE">
      <w:pPr>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(3) Risk analysis:</w:t>
      </w:r>
    </w:p>
    <w:p w14:paraId="0F3958A4"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 xml:space="preserve">  The risk analysis reveals that both the equal-weighted and market-weighted strategies exhibit remarkably similar risk profiles, with nearly identical maximum drawdowns and Value at Risk (</w:t>
      </w:r>
      <w:proofErr w:type="spellStart"/>
      <w:r w:rsidRPr="00C06E78">
        <w:rPr>
          <w:rFonts w:ascii="Times New Roman" w:eastAsia="宋体" w:hAnsi="Times New Roman" w:cs="Times New Roman"/>
          <w:szCs w:val="22"/>
          <w14:ligatures w14:val="none"/>
        </w:rPr>
        <w:t>VaR</w:t>
      </w:r>
      <w:proofErr w:type="spellEnd"/>
      <w:r w:rsidRPr="00C06E78">
        <w:rPr>
          <w:rFonts w:ascii="Times New Roman" w:eastAsia="宋体" w:hAnsi="Times New Roman" w:cs="Times New Roman"/>
          <w:szCs w:val="22"/>
          <w14:ligatures w14:val="none"/>
        </w:rPr>
        <w:t xml:space="preserve">) metrics. The equal-weighted portfolio showed a maximum drawdown of ​​-52.09%​​, slightly less severe than the market-weighted portfolio's ​​-52.23%​​, indicating marginally better capital preservation during market downturns. Similarly, the 95% </w:t>
      </w:r>
      <w:proofErr w:type="spellStart"/>
      <w:r w:rsidRPr="00C06E78">
        <w:rPr>
          <w:rFonts w:ascii="Times New Roman" w:eastAsia="宋体" w:hAnsi="Times New Roman" w:cs="Times New Roman"/>
          <w:szCs w:val="22"/>
          <w14:ligatures w14:val="none"/>
        </w:rPr>
        <w:t>VaR</w:t>
      </w:r>
      <w:proofErr w:type="spellEnd"/>
      <w:r w:rsidRPr="00C06E78">
        <w:rPr>
          <w:rFonts w:ascii="Times New Roman" w:eastAsia="宋体" w:hAnsi="Times New Roman" w:cs="Times New Roman"/>
          <w:szCs w:val="22"/>
          <w14:ligatures w14:val="none"/>
        </w:rPr>
        <w:t xml:space="preserve"> stood at ​​-9.49%​​ for the equal-weighted strategy compared to ​​-9.72%​​ for the market-weighted approach, suggesting comparable short-term downside risk. These results imply that neither weighting method provides a distinct advantage in terms of risk mitigation, as both strategies faced substantial losses during adverse market conditions. The minimal differences in risk metrics may reflect similar underlying exposures or market sensitivities, despite their different weighting methodologies. Investors choosing between these approaches should consider other </w:t>
      </w:r>
      <w:r w:rsidRPr="00C06E78">
        <w:rPr>
          <w:rFonts w:ascii="Times New Roman" w:eastAsia="宋体" w:hAnsi="Times New Roman" w:cs="Times New Roman"/>
          <w:szCs w:val="22"/>
          <w14:ligatures w14:val="none"/>
        </w:rPr>
        <w:lastRenderedPageBreak/>
        <w:t>factors such as return potential or diversification benefits, as the risk characteristics appear largely equivalent.</w:t>
      </w:r>
    </w:p>
    <w:p w14:paraId="5000FFF0" w14:textId="6A216E68" w:rsidR="005D04CE" w:rsidRPr="00C06E78" w:rsidRDefault="008B090E" w:rsidP="002754CE">
      <w:pPr>
        <w:spacing w:after="0"/>
        <w:ind w:firstLineChars="100" w:firstLine="220"/>
        <w:jc w:val="center"/>
        <w:rPr>
          <w:rFonts w:ascii="Times New Roman" w:eastAsia="宋体" w:hAnsi="Times New Roman" w:cs="Times New Roman"/>
          <w:szCs w:val="22"/>
          <w14:ligatures w14:val="none"/>
        </w:rPr>
      </w:pPr>
      <w:r w:rsidRPr="00C06E78">
        <w:rPr>
          <w:rFonts w:ascii="Times New Roman" w:eastAsia="宋体" w:hAnsi="Times New Roman" w:cs="Times New Roman"/>
          <w:noProof/>
          <w:szCs w:val="22"/>
          <w14:ligatures w14:val="none"/>
        </w:rPr>
        <w:drawing>
          <wp:inline distT="0" distB="0" distL="0" distR="0" wp14:anchorId="1F957907" wp14:editId="105842CA">
            <wp:extent cx="4445391" cy="2963416"/>
            <wp:effectExtent l="0" t="0" r="0" b="0"/>
            <wp:docPr id="2092908640" name="Picture 1" descr="A graph of stock market grow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08640" name="Picture 1" descr="A graph of stock market growth&#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33953" cy="3022454"/>
                    </a:xfrm>
                    <a:prstGeom prst="rect">
                      <a:avLst/>
                    </a:prstGeom>
                  </pic:spPr>
                </pic:pic>
              </a:graphicData>
            </a:graphic>
          </wp:inline>
        </w:drawing>
      </w:r>
    </w:p>
    <w:tbl>
      <w:tblPr>
        <w:tblStyle w:val="a7"/>
        <w:tblW w:w="0" w:type="auto"/>
        <w:tblLook w:val="04A0" w:firstRow="1" w:lastRow="0" w:firstColumn="1" w:lastColumn="0" w:noHBand="0" w:noVBand="1"/>
      </w:tblPr>
      <w:tblGrid>
        <w:gridCol w:w="2840"/>
        <w:gridCol w:w="2841"/>
        <w:gridCol w:w="2841"/>
      </w:tblGrid>
      <w:tr w:rsidR="00855DCF" w:rsidRPr="00C06E78" w14:paraId="1D72958F" w14:textId="77777777" w:rsidTr="00B27756">
        <w:tc>
          <w:tcPr>
            <w:tcW w:w="2840" w:type="dxa"/>
          </w:tcPr>
          <w:p w14:paraId="260A45CD"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Method</w:t>
            </w:r>
          </w:p>
        </w:tc>
        <w:tc>
          <w:tcPr>
            <w:tcW w:w="2841" w:type="dxa"/>
          </w:tcPr>
          <w:p w14:paraId="7324991E"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Max Drawdown</w:t>
            </w:r>
          </w:p>
        </w:tc>
        <w:tc>
          <w:tcPr>
            <w:tcW w:w="2841" w:type="dxa"/>
          </w:tcPr>
          <w:p w14:paraId="5E131752"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Var (95%)</w:t>
            </w:r>
          </w:p>
        </w:tc>
      </w:tr>
      <w:tr w:rsidR="00855DCF" w:rsidRPr="00C06E78" w14:paraId="64A1E60D" w14:textId="77777777" w:rsidTr="00B27756">
        <w:tc>
          <w:tcPr>
            <w:tcW w:w="2840" w:type="dxa"/>
          </w:tcPr>
          <w:p w14:paraId="4FE05096"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Equal-weighted</w:t>
            </w:r>
          </w:p>
        </w:tc>
        <w:tc>
          <w:tcPr>
            <w:tcW w:w="2841" w:type="dxa"/>
          </w:tcPr>
          <w:p w14:paraId="6B8068D3"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-52.09%</w:t>
            </w:r>
          </w:p>
        </w:tc>
        <w:tc>
          <w:tcPr>
            <w:tcW w:w="2841" w:type="dxa"/>
          </w:tcPr>
          <w:p w14:paraId="38425ACB"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-9.49%</w:t>
            </w:r>
          </w:p>
        </w:tc>
      </w:tr>
      <w:tr w:rsidR="00855DCF" w:rsidRPr="00C06E78" w14:paraId="31E7EDD1" w14:textId="77777777" w:rsidTr="00B27756">
        <w:tc>
          <w:tcPr>
            <w:tcW w:w="2840" w:type="dxa"/>
          </w:tcPr>
          <w:p w14:paraId="3203656D"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Market-weighted</w:t>
            </w:r>
          </w:p>
        </w:tc>
        <w:tc>
          <w:tcPr>
            <w:tcW w:w="2841" w:type="dxa"/>
          </w:tcPr>
          <w:p w14:paraId="4756E53B"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-52.23%</w:t>
            </w:r>
          </w:p>
        </w:tc>
        <w:tc>
          <w:tcPr>
            <w:tcW w:w="2841" w:type="dxa"/>
          </w:tcPr>
          <w:p w14:paraId="6BA4F215" w14:textId="77777777" w:rsidR="00855DCF" w:rsidRPr="00C06E78" w:rsidRDefault="00855DCF"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-9.72</w:t>
            </w:r>
          </w:p>
        </w:tc>
      </w:tr>
    </w:tbl>
    <w:p w14:paraId="60521911" w14:textId="20971777" w:rsidR="00855DCF" w:rsidRPr="00C06E78" w:rsidRDefault="00855DCF" w:rsidP="002754CE">
      <w:pPr>
        <w:pStyle w:val="ae"/>
        <w:numPr>
          <w:ilvl w:val="0"/>
          <w:numId w:val="14"/>
        </w:numPr>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Result description:</w:t>
      </w:r>
    </w:p>
    <w:p w14:paraId="49102787"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The above figure can be observed that:</w:t>
      </w:r>
    </w:p>
    <w:p w14:paraId="0BC94116" w14:textId="7448B2A0"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 xml:space="preserve">1)The cumulative return of market value weighted portfolios is generally higher than that of equally weighted portfolios, especially in recent years with greater volatility and stronger growth </w:t>
      </w:r>
      <w:r w:rsidR="002754CE" w:rsidRPr="00C06E78">
        <w:rPr>
          <w:rFonts w:ascii="Times New Roman" w:eastAsia="宋体" w:hAnsi="Times New Roman" w:cs="Times New Roman"/>
          <w:szCs w:val="22"/>
          <w14:ligatures w14:val="none"/>
        </w:rPr>
        <w:t>momentum.</w:t>
      </w:r>
    </w:p>
    <w:p w14:paraId="42D290B4"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2)The trends of the two curves are similar, but the market value weighted combination performs better at most points in time.</w:t>
      </w:r>
    </w:p>
    <w:p w14:paraId="23062D92"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In summary, the weight scheme has a significant impact on the performance of the strategy. Market value weighted portfolios tend to favor large cap stocks, which may benefit from their steady growth and liquidity advantages, resulting in higher risk adjusted returns. Equal weight combination enhances diversity by balancing the weights of various assets, but may not necessarily result in higher returns, making it suitable for investors who emphasize risk diversification.</w:t>
      </w:r>
    </w:p>
    <w:p w14:paraId="3F0F0E42" w14:textId="1B8AC66F" w:rsidR="00CB5363" w:rsidRPr="00C06E78" w:rsidRDefault="002754CE" w:rsidP="002754CE">
      <w:pPr>
        <w:spacing w:after="0"/>
        <w:jc w:val="both"/>
        <w:rPr>
          <w:rFonts w:ascii="Times New Roman" w:eastAsia="宋体" w:hAnsi="Times New Roman" w:cs="Times New Roman"/>
          <w:b/>
          <w:szCs w:val="22"/>
          <w14:ligatures w14:val="none"/>
        </w:rPr>
      </w:pPr>
      <w:r w:rsidRPr="00C06E78">
        <w:rPr>
          <w:rFonts w:ascii="Times New Roman" w:eastAsia="宋体" w:hAnsi="Times New Roman" w:cs="Times New Roman"/>
          <w:b/>
          <w:szCs w:val="22"/>
          <w14:ligatures w14:val="none"/>
        </w:rPr>
        <w:t>7. Conclusion</w:t>
      </w:r>
    </w:p>
    <w:p w14:paraId="3FA2DA1C"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This part of research focuses on the performance of a certain momentum strategy, combined with benchmark regression analysis, multi factor risk elimination, staged regression of economic cycles, and simulation of adjustment frequency. The following comprehensive conclusions are drawn:</w:t>
      </w:r>
    </w:p>
    <w:p w14:paraId="65963FBB"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 xml:space="preserve">Firstly, the regression results based on strategy returns and benchmark returns show that the strategy still exhibits significant positive excess returns (α) after excluding the impact of </w:t>
      </w:r>
      <w:r w:rsidRPr="00C06E78">
        <w:rPr>
          <w:rFonts w:ascii="Times New Roman" w:eastAsia="宋体" w:hAnsi="Times New Roman" w:cs="Times New Roman"/>
          <w:szCs w:val="22"/>
          <w14:ligatures w14:val="none"/>
        </w:rPr>
        <w:lastRenderedPageBreak/>
        <w:t>benchmark risk, indicating that the strategy has independent ability to create returns. At the same time, the benchmark return coefficient is negative and significant, indicating a negative correlation between strategy returns and market performance, with certain defensive and hedging characteristics. This is reflected in the overall risk adjustment performance of the strategy - the strategy not only achieved annualized returns higher than the benchmark, but also had significantly lower volatility, with a Sharpe ratio significantly better than the benchmark, indicating that the strategy's returns under unit risk are more attractive.</w:t>
      </w:r>
    </w:p>
    <w:p w14:paraId="5017E7C9"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 xml:space="preserve">Secondly, delving deeper into multi factor regression analysis, especially after removing the </w:t>
      </w:r>
      <w:proofErr w:type="spellStart"/>
      <w:r w:rsidRPr="00C06E78">
        <w:rPr>
          <w:rFonts w:ascii="Times New Roman" w:eastAsia="宋体" w:hAnsi="Times New Roman" w:cs="Times New Roman"/>
          <w:szCs w:val="22"/>
          <w14:ligatures w14:val="none"/>
        </w:rPr>
        <w:t>Fama</w:t>
      </w:r>
      <w:proofErr w:type="spellEnd"/>
      <w:r w:rsidRPr="00C06E78">
        <w:rPr>
          <w:rFonts w:ascii="Times New Roman" w:eastAsia="宋体" w:hAnsi="Times New Roman" w:cs="Times New Roman"/>
          <w:szCs w:val="22"/>
          <w14:ligatures w14:val="none"/>
        </w:rPr>
        <w:t xml:space="preserve"> French five factor and momentum factors, it was found that the excess return α of the strategy was not significant, indicating that the strategy's returns mainly came from exposure to systemic risk factors, especially the significant positive effect of momentum factors that penetrated through various stages of the economic cycle. Staged regression further reveals that the momentum factor (UMD) is the core driving force behind strategy returns, exhibiting strong influence in different economic environments including epidemics and financial crises, while the contributions of other factors are relatively weakened in extreme economic stages, reflecting the dynamic changes in strategy factor exposure.</w:t>
      </w:r>
    </w:p>
    <w:p w14:paraId="4023F7B7" w14:textId="77777777" w:rsidR="00CB5363" w:rsidRPr="00C06E78" w:rsidRDefault="00CB5363" w:rsidP="0051756F">
      <w:pPr>
        <w:spacing w:after="0"/>
        <w:ind w:firstLineChars="100" w:firstLine="220"/>
        <w:jc w:val="both"/>
        <w:rPr>
          <w:rFonts w:ascii="Times New Roman" w:eastAsia="宋体" w:hAnsi="Times New Roman" w:cs="Times New Roman"/>
          <w:szCs w:val="22"/>
          <w14:ligatures w14:val="none"/>
        </w:rPr>
      </w:pPr>
      <w:bookmarkStart w:id="51" w:name="OLE_LINK31"/>
      <w:bookmarkStart w:id="52" w:name="OLE_LINK32"/>
      <w:r w:rsidRPr="00C06E78">
        <w:rPr>
          <w:rFonts w:ascii="Times New Roman" w:eastAsia="宋体" w:hAnsi="Times New Roman" w:cs="Times New Roman"/>
          <w:szCs w:val="22"/>
          <w14:ligatures w14:val="none"/>
        </w:rPr>
        <w:t>Finally, regarding the impact of stock adjustment frequency on strategy performance, simulation results clearly show that stock adjustment frequency has a significant effect on momentum strategy performance. Frequent portfolio adjustments (such as monthly adjustments) can drag down strategy returns due to transaction costs and signal noise, while medium to long-term (6 to 12 months) portfolio adjustment cycles are more conducive to stable growth and maximizing returns for the strategy. This simulation provides important practical reference for investors, helping to balance the relationship between trading costs and returns, and designing reasonable adjustment periods to enhance the net return of the strategy.</w:t>
      </w:r>
      <w:bookmarkEnd w:id="6"/>
    </w:p>
    <w:bookmarkEnd w:id="51"/>
    <w:bookmarkEnd w:id="52"/>
    <w:p w14:paraId="25437DA3" w14:textId="77777777" w:rsidR="00E81F2D" w:rsidRPr="00C06E78" w:rsidRDefault="00E81F2D" w:rsidP="0051756F">
      <w:pPr>
        <w:jc w:val="both"/>
        <w:rPr>
          <w:rFonts w:ascii="Times New Roman" w:hAnsi="Times New Roman" w:cs="Times New Roman"/>
          <w:b/>
          <w:sz w:val="32"/>
          <w:szCs w:val="32"/>
        </w:rPr>
      </w:pPr>
    </w:p>
    <w:p w14:paraId="293794A2" w14:textId="28F77503" w:rsidR="00796644" w:rsidRPr="00C06E78" w:rsidRDefault="00F719FA" w:rsidP="0051756F">
      <w:pPr>
        <w:pStyle w:val="ae"/>
        <w:numPr>
          <w:ilvl w:val="0"/>
          <w:numId w:val="6"/>
        </w:numPr>
        <w:jc w:val="both"/>
        <w:rPr>
          <w:rFonts w:ascii="Times New Roman" w:hAnsi="Times New Roman" w:cs="Times New Roman"/>
          <w:b/>
          <w:sz w:val="32"/>
          <w:szCs w:val="32"/>
        </w:rPr>
      </w:pPr>
      <w:r w:rsidRPr="00C06E78">
        <w:rPr>
          <w:rFonts w:ascii="Times New Roman" w:hAnsi="Times New Roman" w:cs="Times New Roman"/>
          <w:b/>
          <w:sz w:val="32"/>
          <w:szCs w:val="32"/>
        </w:rPr>
        <w:t>Conclusion</w:t>
      </w:r>
      <w:r w:rsidR="00796644" w:rsidRPr="00C06E78">
        <w:rPr>
          <w:rFonts w:ascii="Times New Roman" w:hAnsi="Times New Roman" w:cs="Times New Roman"/>
          <w:b/>
          <w:sz w:val="32"/>
          <w:szCs w:val="32"/>
        </w:rPr>
        <w:t xml:space="preserve"> and Discussion</w:t>
      </w:r>
    </w:p>
    <w:p w14:paraId="32BBF5CB" w14:textId="10F9207B" w:rsidR="001A3889" w:rsidRPr="00C06E78" w:rsidRDefault="001A3889" w:rsidP="001A3889">
      <w:pPr>
        <w:pStyle w:val="ae"/>
        <w:numPr>
          <w:ilvl w:val="1"/>
          <w:numId w:val="6"/>
        </w:numPr>
        <w:spacing w:after="0"/>
        <w:jc w:val="both"/>
        <w:rPr>
          <w:rFonts w:ascii="Times New Roman" w:eastAsia="宋体" w:hAnsi="Times New Roman" w:cs="Times New Roman"/>
          <w:b/>
          <w:sz w:val="32"/>
          <w:szCs w:val="32"/>
          <w14:ligatures w14:val="none"/>
        </w:rPr>
      </w:pPr>
      <w:r w:rsidRPr="00C06E78">
        <w:rPr>
          <w:rFonts w:ascii="Times New Roman" w:hAnsi="Times New Roman" w:cs="Times New Roman"/>
          <w:b/>
          <w:sz w:val="32"/>
          <w:szCs w:val="32"/>
        </w:rPr>
        <w:t>Conclusion</w:t>
      </w:r>
    </w:p>
    <w:p w14:paraId="6850387A" w14:textId="77777777" w:rsidR="00EF4944" w:rsidRPr="00C06E78" w:rsidRDefault="000D30B0" w:rsidP="0051756F">
      <w:pPr>
        <w:spacing w:after="0"/>
        <w:ind w:firstLineChars="100" w:firstLine="221"/>
        <w:jc w:val="both"/>
        <w:rPr>
          <w:rFonts w:ascii="Times New Roman" w:eastAsia="宋体" w:hAnsi="Times New Roman" w:cs="Times New Roman"/>
          <w:b/>
          <w:bCs/>
          <w:szCs w:val="22"/>
          <w14:ligatures w14:val="none"/>
        </w:rPr>
      </w:pPr>
      <w:r w:rsidRPr="00C06E78">
        <w:rPr>
          <w:rFonts w:ascii="Times New Roman" w:eastAsia="宋体" w:hAnsi="Times New Roman" w:cs="Times New Roman"/>
          <w:b/>
          <w:bCs/>
          <w:szCs w:val="22"/>
          <w14:ligatures w14:val="none"/>
        </w:rPr>
        <w:t>1. Overall Performance</w:t>
      </w:r>
    </w:p>
    <w:p w14:paraId="544DCA17" w14:textId="0B30C05C" w:rsidR="000D30B0" w:rsidRPr="00C06E78" w:rsidRDefault="000D30B0"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The momentum strategy has some good points in long-term returns, risk control, and risk-adjusted returns. But there are problems that where its returns come from and how well it can adapt to different market situations. In the long run, the strategy can make positive returns. It gets higher returns than the benchmark and controls risk well. Its risk-adjusted returns are more appealing. However, its returns mainly depend on systematic risk factors, especially the momentum factor. And it's not stable in extreme market conditions.</w:t>
      </w:r>
    </w:p>
    <w:p w14:paraId="2A72F69F" w14:textId="77777777" w:rsidR="00EF4944" w:rsidRPr="00C06E78" w:rsidRDefault="000D30B0" w:rsidP="0051756F">
      <w:pPr>
        <w:spacing w:after="0"/>
        <w:ind w:firstLineChars="100" w:firstLine="221"/>
        <w:jc w:val="both"/>
        <w:rPr>
          <w:rFonts w:ascii="Times New Roman" w:eastAsia="宋体" w:hAnsi="Times New Roman" w:cs="Times New Roman"/>
          <w:b/>
          <w:bCs/>
          <w:szCs w:val="22"/>
          <w14:ligatures w14:val="none"/>
        </w:rPr>
      </w:pPr>
      <w:r w:rsidRPr="00C06E78">
        <w:rPr>
          <w:rFonts w:ascii="Times New Roman" w:eastAsia="宋体" w:hAnsi="Times New Roman" w:cs="Times New Roman"/>
          <w:b/>
          <w:bCs/>
          <w:szCs w:val="22"/>
          <w14:ligatures w14:val="none"/>
        </w:rPr>
        <w:t>2. Effectiveness of Trading Rules</w:t>
      </w:r>
    </w:p>
    <w:p w14:paraId="474EB9E2" w14:textId="3A56AE8C" w:rsidR="000D30B0" w:rsidRPr="00C06E78" w:rsidRDefault="000D30B0"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 xml:space="preserve">The trading rules that use the cumulative returns of the past 6 months (not including the </w:t>
      </w:r>
      <w:r w:rsidRPr="00C06E78">
        <w:rPr>
          <w:rFonts w:ascii="Times New Roman" w:eastAsia="宋体" w:hAnsi="Times New Roman" w:cs="Times New Roman"/>
          <w:szCs w:val="22"/>
          <w14:ligatures w14:val="none"/>
        </w:rPr>
        <w:lastRenderedPageBreak/>
        <w:t>most recent month) to make portfolios bring positive returns over a long time. From 2005 to 2025, the cumulative return went up a lot. The annualized return was 8 - 10%. This shows these rules can catch the medium - term momentum effect. But during the 2008 financial crisis, the strategy had big fluctuations. It means the current trading rules can't keep stable performance in extreme market conditions.</w:t>
      </w:r>
    </w:p>
    <w:p w14:paraId="190C98F2" w14:textId="77777777" w:rsidR="00EF4944" w:rsidRPr="00C06E78" w:rsidRDefault="000D30B0" w:rsidP="0051756F">
      <w:pPr>
        <w:spacing w:after="0"/>
        <w:ind w:firstLineChars="100" w:firstLine="221"/>
        <w:jc w:val="both"/>
        <w:rPr>
          <w:rFonts w:ascii="Times New Roman" w:eastAsia="宋体" w:hAnsi="Times New Roman" w:cs="Times New Roman"/>
          <w:b/>
          <w:bCs/>
          <w:szCs w:val="22"/>
          <w14:ligatures w14:val="none"/>
        </w:rPr>
      </w:pPr>
      <w:r w:rsidRPr="00C06E78">
        <w:rPr>
          <w:rFonts w:ascii="Times New Roman" w:eastAsia="宋体" w:hAnsi="Times New Roman" w:cs="Times New Roman"/>
          <w:b/>
          <w:bCs/>
          <w:szCs w:val="22"/>
          <w14:ligatures w14:val="none"/>
        </w:rPr>
        <w:t>3. Results of Performance Measurement</w:t>
      </w:r>
    </w:p>
    <w:p w14:paraId="323DF1AA" w14:textId="4C6D52C1" w:rsidR="000D30B0" w:rsidRPr="00C06E78" w:rsidRDefault="000D30B0"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When we compare the strategy's returns with the benchmark through regression, we find the strategy has appear positive excess return (alpha) after considering benchmark risk. It has a higher annualized return, lower volatility, and a better Sharpe ratio. But when we include more risk factors in the regression, the alpha is no longer significant. This shows the strategy's returns mainly come from being exposed to systematic risk factors. Especially the momentum factor (UMD). It has a big positive effect in every stage of the economic cycle and is the main reason for the strategy's returns.</w:t>
      </w:r>
    </w:p>
    <w:p w14:paraId="7E99F894" w14:textId="77777777" w:rsidR="00EF4944" w:rsidRPr="00C06E78" w:rsidRDefault="000D30B0" w:rsidP="0051756F">
      <w:pPr>
        <w:spacing w:after="0"/>
        <w:ind w:firstLineChars="100" w:firstLine="221"/>
        <w:jc w:val="both"/>
        <w:rPr>
          <w:rFonts w:ascii="Times New Roman" w:eastAsia="宋体" w:hAnsi="Times New Roman" w:cs="Times New Roman"/>
          <w:b/>
          <w:bCs/>
          <w:szCs w:val="22"/>
          <w14:ligatures w14:val="none"/>
        </w:rPr>
      </w:pPr>
      <w:r w:rsidRPr="00C06E78">
        <w:rPr>
          <w:rFonts w:ascii="Times New Roman" w:eastAsia="宋体" w:hAnsi="Times New Roman" w:cs="Times New Roman"/>
          <w:b/>
          <w:bCs/>
          <w:szCs w:val="22"/>
          <w14:ligatures w14:val="none"/>
        </w:rPr>
        <w:t>4. Effectiveness of Risk Management</w:t>
      </w:r>
    </w:p>
    <w:p w14:paraId="0D6CC314" w14:textId="3D3DF86A" w:rsidR="000D30B0" w:rsidRPr="00C06E78" w:rsidRDefault="000D30B0"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 xml:space="preserve">The strategy is better than the benchmark in risk management. Its maximum drawdown (-26.43%) is much lower than the benchmark's (-70.97%). The </w:t>
      </w:r>
      <w:proofErr w:type="spellStart"/>
      <w:r w:rsidRPr="00C06E78">
        <w:rPr>
          <w:rFonts w:ascii="Times New Roman" w:eastAsia="宋体" w:hAnsi="Times New Roman" w:cs="Times New Roman"/>
          <w:szCs w:val="22"/>
          <w14:ligatures w14:val="none"/>
        </w:rPr>
        <w:t>VaR</w:t>
      </w:r>
      <w:proofErr w:type="spellEnd"/>
      <w:r w:rsidRPr="00C06E78">
        <w:rPr>
          <w:rFonts w:ascii="Times New Roman" w:eastAsia="宋体" w:hAnsi="Times New Roman" w:cs="Times New Roman"/>
          <w:szCs w:val="22"/>
          <w14:ligatures w14:val="none"/>
        </w:rPr>
        <w:t xml:space="preserve"> at a 95% confidence level (-4.87%) is also lower than the benchmark's (-9.7%). But the strategy is more volatile in the short term. The maximum 1-month drawdown can be -80.44%. However, as the holding period gets longer, the risk gets lower. The 12-month maximum drawdown is -29.22%.</w:t>
      </w:r>
    </w:p>
    <w:p w14:paraId="0D6FDA58" w14:textId="4B4339D9" w:rsidR="00EF4944" w:rsidRPr="00C06E78" w:rsidRDefault="00EF4944" w:rsidP="00EF4944">
      <w:pPr>
        <w:pStyle w:val="ae"/>
        <w:numPr>
          <w:ilvl w:val="1"/>
          <w:numId w:val="6"/>
        </w:numPr>
        <w:spacing w:after="0"/>
        <w:jc w:val="both"/>
        <w:rPr>
          <w:rFonts w:ascii="Times New Roman" w:eastAsia="宋体" w:hAnsi="Times New Roman" w:cs="Times New Roman"/>
          <w:b/>
          <w:bCs/>
          <w:sz w:val="32"/>
          <w:szCs w:val="32"/>
          <w14:ligatures w14:val="none"/>
        </w:rPr>
      </w:pPr>
      <w:r w:rsidRPr="00C06E78">
        <w:rPr>
          <w:rFonts w:ascii="Times New Roman" w:eastAsia="宋体" w:hAnsi="Times New Roman" w:cs="Times New Roman"/>
          <w:b/>
          <w:bCs/>
          <w:sz w:val="32"/>
          <w:szCs w:val="32"/>
          <w14:ligatures w14:val="none"/>
        </w:rPr>
        <w:t>Discussion</w:t>
      </w:r>
    </w:p>
    <w:p w14:paraId="20849236" w14:textId="13D01302" w:rsidR="000D30B0" w:rsidRPr="00C06E78" w:rsidRDefault="00EF4944" w:rsidP="0051756F">
      <w:pPr>
        <w:spacing w:after="0"/>
        <w:ind w:firstLineChars="100" w:firstLine="221"/>
        <w:jc w:val="both"/>
        <w:rPr>
          <w:rFonts w:ascii="Times New Roman" w:eastAsia="宋体" w:hAnsi="Times New Roman" w:cs="Times New Roman"/>
          <w:b/>
          <w:bCs/>
          <w:szCs w:val="22"/>
          <w14:ligatures w14:val="none"/>
        </w:rPr>
      </w:pPr>
      <w:r w:rsidRPr="00C06E78">
        <w:rPr>
          <w:rFonts w:ascii="Times New Roman" w:eastAsia="宋体" w:hAnsi="Times New Roman" w:cs="Times New Roman"/>
          <w:b/>
          <w:bCs/>
          <w:szCs w:val="22"/>
          <w14:ligatures w14:val="none"/>
        </w:rPr>
        <w:t>1</w:t>
      </w:r>
      <w:r w:rsidR="001A3889" w:rsidRPr="00C06E78">
        <w:rPr>
          <w:rFonts w:ascii="Times New Roman" w:eastAsia="宋体" w:hAnsi="Times New Roman" w:cs="Times New Roman"/>
          <w:b/>
          <w:bCs/>
          <w:szCs w:val="22"/>
          <w14:ligatures w14:val="none"/>
        </w:rPr>
        <w:t xml:space="preserve">. </w:t>
      </w:r>
      <w:r w:rsidR="000D30B0" w:rsidRPr="00C06E78">
        <w:rPr>
          <w:rFonts w:ascii="Times New Roman" w:eastAsia="宋体" w:hAnsi="Times New Roman" w:cs="Times New Roman"/>
          <w:b/>
          <w:bCs/>
          <w:szCs w:val="22"/>
          <w14:ligatures w14:val="none"/>
        </w:rPr>
        <w:t>Reasons Why the Strategy Works</w:t>
      </w:r>
    </w:p>
    <w:p w14:paraId="18E9E116" w14:textId="77777777" w:rsidR="000D30B0" w:rsidRPr="00C06E78" w:rsidRDefault="000D30B0"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(1) Utilization of the Momentum Effect: This strategy makes good use of the momentum effect in the market. Stocks that did well in the past (winner portfolio) usually keep doing well later. Stocks that did badly (loser portfolio) do the opposite. By buying the winner portfolio and selling the loser portfolio, the strategy can make money when the trend keeps going. For example, after 2020, when tech stocks were very strong in the market, the strategy's returns increased a lot.</w:t>
      </w:r>
    </w:p>
    <w:p w14:paraId="5F6CB6B2" w14:textId="77777777" w:rsidR="000D30B0" w:rsidRPr="00C06E78" w:rsidRDefault="000D30B0"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 xml:space="preserve">(2) Risk Control Mechanisms: It does a good job in risk control. The lower volatility, maximum drawdown, and </w:t>
      </w:r>
      <w:proofErr w:type="spellStart"/>
      <w:r w:rsidRPr="00C06E78">
        <w:rPr>
          <w:rFonts w:ascii="Times New Roman" w:eastAsia="宋体" w:hAnsi="Times New Roman" w:cs="Times New Roman"/>
          <w:szCs w:val="22"/>
          <w14:ligatures w14:val="none"/>
        </w:rPr>
        <w:t>VaR</w:t>
      </w:r>
      <w:proofErr w:type="spellEnd"/>
      <w:r w:rsidRPr="00C06E78">
        <w:rPr>
          <w:rFonts w:ascii="Times New Roman" w:eastAsia="宋体" w:hAnsi="Times New Roman" w:cs="Times New Roman"/>
          <w:szCs w:val="22"/>
          <w14:ligatures w14:val="none"/>
        </w:rPr>
        <w:t xml:space="preserve"> show that the strategy has good risk control methods. These can help protect investors' money when the market goes down.</w:t>
      </w:r>
    </w:p>
    <w:p w14:paraId="68A9C339" w14:textId="77777777" w:rsidR="000D30B0" w:rsidRPr="00C06E78" w:rsidRDefault="000D30B0"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(3) Advantages of Weighting Schemes: Both the equal-weighting and market-cap-weighting methods have their good sides. The equal-weighting method makes the assets more diverse. The market-cap-weighting method is good for large-cap stocks. It can use the stable growth and good liquidity of large-cap stocks to improve risk-adjusted returns.</w:t>
      </w:r>
    </w:p>
    <w:p w14:paraId="53B34583" w14:textId="46B638F5" w:rsidR="000D30B0" w:rsidRPr="00C06E78" w:rsidRDefault="007869FF" w:rsidP="0051756F">
      <w:pPr>
        <w:spacing w:after="0"/>
        <w:ind w:firstLineChars="100" w:firstLine="221"/>
        <w:jc w:val="both"/>
        <w:rPr>
          <w:rFonts w:ascii="Times New Roman" w:eastAsia="宋体" w:hAnsi="Times New Roman" w:cs="Times New Roman"/>
          <w:b/>
          <w:bCs/>
          <w:szCs w:val="22"/>
          <w14:ligatures w14:val="none"/>
        </w:rPr>
      </w:pPr>
      <w:r w:rsidRPr="00C06E78">
        <w:rPr>
          <w:rFonts w:ascii="Times New Roman" w:eastAsia="宋体" w:hAnsi="Times New Roman" w:cs="Times New Roman"/>
          <w:b/>
          <w:bCs/>
          <w:szCs w:val="22"/>
          <w14:ligatures w14:val="none"/>
        </w:rPr>
        <w:t xml:space="preserve">2. </w:t>
      </w:r>
      <w:r w:rsidR="000D30B0" w:rsidRPr="00C06E78">
        <w:rPr>
          <w:rFonts w:ascii="Times New Roman" w:eastAsia="宋体" w:hAnsi="Times New Roman" w:cs="Times New Roman"/>
          <w:b/>
          <w:bCs/>
          <w:szCs w:val="22"/>
          <w14:ligatures w14:val="none"/>
        </w:rPr>
        <w:t>However, there are still some drawbacks to this strategy</w:t>
      </w:r>
    </w:p>
    <w:p w14:paraId="1F7E8A55" w14:textId="77777777" w:rsidR="000D30B0" w:rsidRPr="00C06E78" w:rsidRDefault="000D30B0"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 xml:space="preserve">(1) Dependence on Systematic Risk Factors: The strategy's returns depend too much on systematic risk factors, especially the momentum factor. If the momentum factor doesn't work or the market changes and the momentum effect get weaker, the strategy's performance will </w:t>
      </w:r>
      <w:r w:rsidRPr="00C06E78">
        <w:rPr>
          <w:rFonts w:ascii="Times New Roman" w:eastAsia="宋体" w:hAnsi="Times New Roman" w:cs="Times New Roman"/>
          <w:szCs w:val="22"/>
          <w14:ligatures w14:val="none"/>
        </w:rPr>
        <w:lastRenderedPageBreak/>
        <w:t>be affected. In the multi-factor regression, when we take away the risk factors, the strategy's extra return is not significant. This means it can't make returns on its own very well.</w:t>
      </w:r>
    </w:p>
    <w:p w14:paraId="548DAD41" w14:textId="77777777" w:rsidR="000D30B0" w:rsidRPr="00C06E78" w:rsidRDefault="000D30B0"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(2) Impact of Transaction Costs: Adjusting the portfolio too often can reduce returns because of transaction costs. The simulation shows that when we adjust the portfolio monthly, transaction costs have a big negative effect on returns. (But a 6 - 12 - month adjustment cycle is better for making the returns grow steadily and getting the most returns.)</w:t>
      </w:r>
    </w:p>
    <w:p w14:paraId="5A3C704D" w14:textId="77777777" w:rsidR="000D30B0" w:rsidRPr="00C06E78" w:rsidRDefault="000D30B0" w:rsidP="0051756F">
      <w:pPr>
        <w:spacing w:after="0"/>
        <w:ind w:firstLineChars="100" w:firstLine="22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t>(3) Poor Adaptability to Market Environments: In extreme market conditions, like during the 2008 financial crisis, the strategy has big problems. Market liquidity shocks and short-term reversals can mess up the momentum effect. This makes the strategy more volatile, which means it can't adapt well to extreme market conditions.</w:t>
      </w:r>
    </w:p>
    <w:bookmarkEnd w:id="0"/>
    <w:bookmarkEnd w:id="1"/>
    <w:p w14:paraId="5BAD2412" w14:textId="77777777" w:rsidR="000D30B0" w:rsidRPr="00C06E78" w:rsidRDefault="000D30B0" w:rsidP="0051756F">
      <w:pPr>
        <w:spacing w:after="0"/>
        <w:ind w:firstLineChars="100" w:firstLine="220"/>
        <w:jc w:val="both"/>
        <w:rPr>
          <w:rFonts w:ascii="Times New Roman" w:eastAsia="宋体" w:hAnsi="Times New Roman" w:cs="Times New Roman"/>
          <w:szCs w:val="22"/>
          <w14:ligatures w14:val="none"/>
        </w:rPr>
      </w:pPr>
    </w:p>
    <w:p w14:paraId="1C4DA82C" w14:textId="77777777" w:rsidR="000D30B0" w:rsidRPr="00C06E78" w:rsidRDefault="000D30B0" w:rsidP="0051756F">
      <w:pPr>
        <w:widowControl/>
        <w:spacing w:after="0"/>
        <w:jc w:val="both"/>
        <w:rPr>
          <w:rFonts w:ascii="Times New Roman" w:eastAsia="宋体" w:hAnsi="Times New Roman" w:cs="Times New Roman"/>
          <w:szCs w:val="22"/>
          <w14:ligatures w14:val="none"/>
        </w:rPr>
      </w:pPr>
    </w:p>
    <w:p w14:paraId="6A396D75" w14:textId="77777777" w:rsidR="000D30B0" w:rsidRPr="00C06E78" w:rsidRDefault="000D30B0" w:rsidP="0051756F">
      <w:pPr>
        <w:widowControl/>
        <w:spacing w:after="0"/>
        <w:jc w:val="both"/>
        <w:rPr>
          <w:rFonts w:ascii="Times New Roman" w:eastAsia="宋体" w:hAnsi="Times New Roman" w:cs="Times New Roman"/>
          <w:szCs w:val="22"/>
          <w14:ligatures w14:val="none"/>
        </w:rPr>
      </w:pPr>
      <w:r w:rsidRPr="00C06E78">
        <w:rPr>
          <w:rFonts w:ascii="Times New Roman" w:eastAsia="宋体" w:hAnsi="Times New Roman" w:cs="Times New Roman"/>
          <w:szCs w:val="22"/>
          <w14:ligatures w14:val="none"/>
        </w:rPr>
        <w:br w:type="page"/>
      </w:r>
    </w:p>
    <w:p w14:paraId="38291AAA" w14:textId="77777777" w:rsidR="005A326B" w:rsidRPr="00C06E78" w:rsidRDefault="005A326B" w:rsidP="00AF10BE">
      <w:pPr>
        <w:spacing w:after="0"/>
        <w:ind w:firstLineChars="100" w:firstLine="320"/>
        <w:jc w:val="center"/>
        <w:rPr>
          <w:rFonts w:ascii="Times New Roman" w:hAnsi="Times New Roman" w:cs="Times New Roman"/>
          <w:b/>
          <w:sz w:val="32"/>
          <w:szCs w:val="32"/>
        </w:rPr>
      </w:pPr>
      <w:r w:rsidRPr="00C06E78">
        <w:rPr>
          <w:rFonts w:ascii="Times New Roman" w:hAnsi="Times New Roman" w:cs="Times New Roman"/>
          <w:b/>
          <w:sz w:val="32"/>
          <w:szCs w:val="32"/>
        </w:rPr>
        <w:lastRenderedPageBreak/>
        <w:t>R</w:t>
      </w:r>
      <w:r w:rsidR="00D55EED" w:rsidRPr="00C06E78">
        <w:rPr>
          <w:rFonts w:ascii="Times New Roman" w:hAnsi="Times New Roman" w:cs="Times New Roman"/>
          <w:b/>
          <w:sz w:val="32"/>
          <w:szCs w:val="32"/>
        </w:rPr>
        <w:t>EFERENCES</w:t>
      </w:r>
    </w:p>
    <w:p w14:paraId="1BF0BA96" w14:textId="77777777" w:rsidR="00D55EED" w:rsidRPr="00C06E78" w:rsidRDefault="00D55EED" w:rsidP="0051756F">
      <w:pPr>
        <w:spacing w:after="0"/>
        <w:ind w:firstLine="480"/>
        <w:jc w:val="both"/>
        <w:rPr>
          <w:rFonts w:ascii="Times New Roman" w:eastAsia="宋体" w:hAnsi="Times New Roman" w:cs="Times New Roman"/>
          <w:szCs w:val="22"/>
          <w:lang w:val="en-GB"/>
          <w14:ligatures w14:val="none"/>
        </w:rPr>
      </w:pPr>
      <w:bookmarkStart w:id="53" w:name="OLE_LINK4"/>
      <w:proofErr w:type="spellStart"/>
      <w:r w:rsidRPr="00C06E78">
        <w:rPr>
          <w:rFonts w:ascii="Times New Roman" w:eastAsia="宋体" w:hAnsi="Times New Roman" w:cs="Times New Roman"/>
          <w:szCs w:val="22"/>
          <w:lang w:val="en-GB"/>
          <w14:ligatures w14:val="none"/>
        </w:rPr>
        <w:t>Jegadeesh</w:t>
      </w:r>
      <w:proofErr w:type="spellEnd"/>
      <w:r w:rsidRPr="00C06E78">
        <w:rPr>
          <w:rFonts w:ascii="Times New Roman" w:eastAsia="宋体" w:hAnsi="Times New Roman" w:cs="Times New Roman"/>
          <w:szCs w:val="22"/>
          <w:lang w:val="en-GB"/>
          <w14:ligatures w14:val="none"/>
        </w:rPr>
        <w:t xml:space="preserve">, N., &amp; Titman, S. (1993). Returns to Buying Winners and Selling Losers: Implications for Stock Market Efficiency. </w:t>
      </w:r>
      <w:r w:rsidRPr="00C06E78">
        <w:rPr>
          <w:rFonts w:ascii="Times New Roman" w:eastAsia="宋体" w:hAnsi="Times New Roman" w:cs="Times New Roman"/>
          <w:i/>
          <w:iCs/>
          <w:szCs w:val="22"/>
          <w:lang w:val="en-GB"/>
          <w14:ligatures w14:val="none"/>
        </w:rPr>
        <w:t>Journal of Finance</w:t>
      </w:r>
      <w:r w:rsidRPr="00C06E78">
        <w:rPr>
          <w:rFonts w:ascii="Times New Roman" w:eastAsia="宋体" w:hAnsi="Times New Roman" w:cs="Times New Roman"/>
          <w:szCs w:val="22"/>
          <w:lang w:val="en-GB"/>
          <w14:ligatures w14:val="none"/>
        </w:rPr>
        <w:t xml:space="preserve">, </w:t>
      </w:r>
      <w:r w:rsidRPr="00C06E78">
        <w:rPr>
          <w:rFonts w:ascii="Times New Roman" w:eastAsia="宋体" w:hAnsi="Times New Roman" w:cs="Times New Roman"/>
          <w:i/>
          <w:iCs/>
          <w:szCs w:val="22"/>
          <w:lang w:val="en-GB"/>
          <w14:ligatures w14:val="none"/>
        </w:rPr>
        <w:t>48</w:t>
      </w:r>
      <w:r w:rsidRPr="00C06E78">
        <w:rPr>
          <w:rFonts w:ascii="Times New Roman" w:eastAsia="宋体" w:hAnsi="Times New Roman" w:cs="Times New Roman"/>
          <w:szCs w:val="22"/>
          <w:lang w:val="en-GB"/>
          <w14:ligatures w14:val="none"/>
        </w:rPr>
        <w:t>(1), 65-91.</w:t>
      </w:r>
    </w:p>
    <w:p w14:paraId="7D32C343" w14:textId="77777777" w:rsidR="00D55EED" w:rsidRPr="00C06E78" w:rsidRDefault="00D55EED" w:rsidP="0051756F">
      <w:pPr>
        <w:spacing w:after="0"/>
        <w:ind w:firstLine="480"/>
        <w:jc w:val="both"/>
        <w:rPr>
          <w:rFonts w:ascii="Times New Roman" w:eastAsia="宋体" w:hAnsi="Times New Roman" w:cs="Times New Roman"/>
          <w:szCs w:val="22"/>
          <w:lang w:val="en-GB"/>
          <w14:ligatures w14:val="none"/>
        </w:rPr>
      </w:pPr>
      <w:proofErr w:type="spellStart"/>
      <w:r w:rsidRPr="00C06E78">
        <w:rPr>
          <w:rFonts w:ascii="Times New Roman" w:eastAsia="宋体" w:hAnsi="Times New Roman" w:cs="Times New Roman"/>
          <w:szCs w:val="22"/>
          <w:lang w:val="en-GB"/>
          <w14:ligatures w14:val="none"/>
        </w:rPr>
        <w:t>Fama</w:t>
      </w:r>
      <w:proofErr w:type="spellEnd"/>
      <w:r w:rsidRPr="00C06E78">
        <w:rPr>
          <w:rFonts w:ascii="Times New Roman" w:eastAsia="宋体" w:hAnsi="Times New Roman" w:cs="Times New Roman"/>
          <w:szCs w:val="22"/>
          <w:lang w:val="en-GB"/>
          <w14:ligatures w14:val="none"/>
        </w:rPr>
        <w:t xml:space="preserve">, E. F., &amp; French, K. R. (2015). A Five-Factor Asset Pricing Model. </w:t>
      </w:r>
      <w:r w:rsidRPr="00C06E78">
        <w:rPr>
          <w:rFonts w:ascii="Times New Roman" w:eastAsia="宋体" w:hAnsi="Times New Roman" w:cs="Times New Roman"/>
          <w:i/>
          <w:iCs/>
          <w:szCs w:val="22"/>
          <w:lang w:val="en-GB"/>
          <w14:ligatures w14:val="none"/>
        </w:rPr>
        <w:t>Journal of Financial Economics, 116</w:t>
      </w:r>
      <w:r w:rsidRPr="00C06E78">
        <w:rPr>
          <w:rFonts w:ascii="Times New Roman" w:eastAsia="宋体" w:hAnsi="Times New Roman" w:cs="Times New Roman"/>
          <w:szCs w:val="22"/>
          <w:lang w:val="en-GB"/>
          <w14:ligatures w14:val="none"/>
        </w:rPr>
        <w:t>(1), 1-22.</w:t>
      </w:r>
    </w:p>
    <w:tbl>
      <w:tblPr>
        <w:tblStyle w:val="a7"/>
        <w:tblW w:w="0" w:type="auto"/>
        <w:jc w:val="center"/>
        <w:tblLook w:val="04A0" w:firstRow="1" w:lastRow="0" w:firstColumn="1" w:lastColumn="0" w:noHBand="0" w:noVBand="1"/>
      </w:tblPr>
      <w:tblGrid>
        <w:gridCol w:w="326"/>
        <w:gridCol w:w="2149"/>
        <w:gridCol w:w="2152"/>
        <w:gridCol w:w="656"/>
      </w:tblGrid>
      <w:tr w:rsidR="00D55EED" w:rsidRPr="00C06E78" w14:paraId="750DEDE2"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tcPr>
          <w:p w14:paraId="1F79D914" w14:textId="77777777" w:rsidR="00D55EED" w:rsidRPr="00C06E78" w:rsidRDefault="00D55EED" w:rsidP="0051756F">
            <w:pPr>
              <w:spacing w:after="0"/>
              <w:jc w:val="both"/>
              <w:rPr>
                <w:rFonts w:ascii="Times New Roman" w:eastAsia="宋体" w:hAnsi="Times New Roman" w:cs="Times New Roman"/>
                <w:b/>
                <w:szCs w:val="22"/>
                <w:lang w:val="en-GB"/>
                <w14:ligatures w14:val="none"/>
              </w:rPr>
            </w:pPr>
          </w:p>
        </w:tc>
        <w:tc>
          <w:tcPr>
            <w:tcW w:w="0" w:type="auto"/>
            <w:tcBorders>
              <w:top w:val="single" w:sz="4" w:space="0" w:color="auto"/>
              <w:left w:val="single" w:sz="4" w:space="0" w:color="auto"/>
              <w:bottom w:val="single" w:sz="4" w:space="0" w:color="auto"/>
              <w:right w:val="single" w:sz="4" w:space="0" w:color="auto"/>
            </w:tcBorders>
          </w:tcPr>
          <w:p w14:paraId="208991EF" w14:textId="77777777" w:rsidR="00D55EED" w:rsidRPr="00C06E78" w:rsidRDefault="00D55EED" w:rsidP="0051756F">
            <w:pPr>
              <w:spacing w:after="0"/>
              <w:jc w:val="both"/>
              <w:rPr>
                <w:rFonts w:ascii="Times New Roman" w:eastAsia="宋体" w:hAnsi="Times New Roman" w:cs="Times New Roman"/>
                <w:b/>
                <w:szCs w:val="22"/>
                <w:lang w:val="en-GB"/>
                <w14:ligatures w14:val="none"/>
              </w:rPr>
            </w:pPr>
            <w:r w:rsidRPr="00C06E78">
              <w:rPr>
                <w:rFonts w:ascii="Times New Roman" w:eastAsia="宋体" w:hAnsi="Times New Roman" w:cs="Times New Roman"/>
                <w:b/>
                <w:szCs w:val="22"/>
                <w:lang w:val="en-GB"/>
                <w14:ligatures w14:val="none"/>
              </w:rPr>
              <w:t>Factor</w:t>
            </w:r>
          </w:p>
        </w:tc>
        <w:tc>
          <w:tcPr>
            <w:tcW w:w="0" w:type="auto"/>
            <w:tcBorders>
              <w:top w:val="single" w:sz="4" w:space="0" w:color="auto"/>
              <w:left w:val="single" w:sz="4" w:space="0" w:color="auto"/>
              <w:bottom w:val="single" w:sz="4" w:space="0" w:color="auto"/>
              <w:right w:val="single" w:sz="4" w:space="0" w:color="auto"/>
            </w:tcBorders>
          </w:tcPr>
          <w:p w14:paraId="58B0441B" w14:textId="77777777" w:rsidR="00D55EED" w:rsidRPr="00C06E78" w:rsidRDefault="00D55EED" w:rsidP="0051756F">
            <w:pPr>
              <w:spacing w:after="0"/>
              <w:jc w:val="both"/>
              <w:rPr>
                <w:rFonts w:ascii="Times New Roman" w:eastAsia="宋体" w:hAnsi="Times New Roman" w:cs="Times New Roman"/>
                <w:b/>
                <w:szCs w:val="22"/>
                <w:lang w:val="en-GB"/>
                <w14:ligatures w14:val="none"/>
              </w:rPr>
            </w:pPr>
            <w:r w:rsidRPr="00C06E78">
              <w:rPr>
                <w:rFonts w:ascii="Times New Roman" w:eastAsia="宋体" w:hAnsi="Times New Roman" w:cs="Times New Roman"/>
                <w:b/>
                <w:szCs w:val="22"/>
                <w:lang w:val="en-GB"/>
                <w14:ligatures w14:val="none"/>
              </w:rPr>
              <w:t>Key Authors</w:t>
            </w:r>
          </w:p>
        </w:tc>
        <w:tc>
          <w:tcPr>
            <w:tcW w:w="0" w:type="auto"/>
            <w:tcBorders>
              <w:top w:val="single" w:sz="4" w:space="0" w:color="auto"/>
              <w:left w:val="single" w:sz="4" w:space="0" w:color="auto"/>
              <w:bottom w:val="single" w:sz="4" w:space="0" w:color="auto"/>
              <w:right w:val="single" w:sz="4" w:space="0" w:color="auto"/>
            </w:tcBorders>
          </w:tcPr>
          <w:p w14:paraId="7D31A82E" w14:textId="77777777" w:rsidR="00D55EED" w:rsidRPr="00C06E78" w:rsidRDefault="00D55EED" w:rsidP="0051756F">
            <w:pPr>
              <w:spacing w:after="0"/>
              <w:jc w:val="both"/>
              <w:rPr>
                <w:rFonts w:ascii="Times New Roman" w:eastAsia="宋体" w:hAnsi="Times New Roman" w:cs="Times New Roman"/>
                <w:b/>
                <w:szCs w:val="22"/>
                <w:lang w:val="en-GB"/>
                <w14:ligatures w14:val="none"/>
              </w:rPr>
            </w:pPr>
            <w:r w:rsidRPr="00C06E78">
              <w:rPr>
                <w:rFonts w:ascii="Times New Roman" w:eastAsia="宋体" w:hAnsi="Times New Roman" w:cs="Times New Roman"/>
                <w:b/>
                <w:szCs w:val="22"/>
                <w:lang w:val="en-GB"/>
                <w14:ligatures w14:val="none"/>
              </w:rPr>
              <w:t>Year</w:t>
            </w:r>
          </w:p>
        </w:tc>
      </w:tr>
      <w:tr w:rsidR="00D55EED" w:rsidRPr="00C06E78" w14:paraId="16CB975E"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tcPr>
          <w:p w14:paraId="326BFD00" w14:textId="77777777" w:rsidR="00D55EED" w:rsidRPr="00C06E78" w:rsidRDefault="00D55EED" w:rsidP="0051756F">
            <w:pPr>
              <w:spacing w:after="0"/>
              <w:jc w:val="both"/>
              <w:rPr>
                <w:rFonts w:ascii="Times New Roman" w:eastAsia="宋体" w:hAnsi="Times New Roman" w:cs="Times New Roman"/>
                <w:b/>
                <w:szCs w:val="22"/>
                <w:lang w:val="en-GB"/>
                <w14:ligatures w14:val="none"/>
              </w:rPr>
            </w:pPr>
            <w:r w:rsidRPr="00C06E78">
              <w:rPr>
                <w:rFonts w:ascii="Times New Roman" w:eastAsia="宋体" w:hAnsi="Times New Roman" w:cs="Times New Roman"/>
                <w:b/>
                <w:szCs w:val="22"/>
                <w:lang w:val="en-GB"/>
                <w14:ligatures w14:val="none"/>
              </w:rPr>
              <w:t>1</w:t>
            </w:r>
          </w:p>
        </w:tc>
        <w:tc>
          <w:tcPr>
            <w:tcW w:w="0" w:type="auto"/>
            <w:tcBorders>
              <w:top w:val="single" w:sz="4" w:space="0" w:color="auto"/>
              <w:left w:val="single" w:sz="4" w:space="0" w:color="auto"/>
              <w:bottom w:val="single" w:sz="4" w:space="0" w:color="auto"/>
              <w:right w:val="single" w:sz="4" w:space="0" w:color="auto"/>
            </w:tcBorders>
          </w:tcPr>
          <w:p w14:paraId="73D5B340" w14:textId="3C64AFE8" w:rsidR="00D55EED" w:rsidRPr="00C06E78" w:rsidRDefault="00425DD7" w:rsidP="0051756F">
            <w:pPr>
              <w:spacing w:after="0"/>
              <w:jc w:val="both"/>
              <w:rPr>
                <w:rFonts w:ascii="Times New Roman" w:eastAsia="宋体" w:hAnsi="Times New Roman" w:cs="Times New Roman"/>
                <w:b/>
                <w:szCs w:val="22"/>
                <w:lang w:val="en-GB"/>
                <w14:ligatures w14:val="none"/>
              </w:rPr>
            </w:pPr>
            <w:r w:rsidRPr="00C06E78">
              <w:rPr>
                <w:rFonts w:ascii="Times New Roman" w:eastAsia="宋体" w:hAnsi="Times New Roman" w:cs="Times New Roman"/>
                <w:b/>
                <w:szCs w:val="22"/>
                <w:lang w:val="en-GB"/>
                <w14:ligatures w14:val="none"/>
              </w:rPr>
              <w:t>Momentum (</w:t>
            </w:r>
            <w:r w:rsidR="00D55EED" w:rsidRPr="00C06E78">
              <w:rPr>
                <w:rFonts w:ascii="Times New Roman" w:eastAsia="宋体" w:hAnsi="Times New Roman" w:cs="Times New Roman"/>
                <w:b/>
                <w:szCs w:val="22"/>
                <w:lang w:val="en-GB"/>
                <w14:ligatures w14:val="none"/>
              </w:rPr>
              <w:t>UMD)</w:t>
            </w:r>
          </w:p>
        </w:tc>
        <w:tc>
          <w:tcPr>
            <w:tcW w:w="0" w:type="auto"/>
            <w:tcBorders>
              <w:top w:val="single" w:sz="4" w:space="0" w:color="auto"/>
              <w:left w:val="single" w:sz="4" w:space="0" w:color="auto"/>
              <w:bottom w:val="single" w:sz="4" w:space="0" w:color="auto"/>
              <w:right w:val="single" w:sz="4" w:space="0" w:color="auto"/>
            </w:tcBorders>
          </w:tcPr>
          <w:p w14:paraId="684A9EAD" w14:textId="77777777" w:rsidR="00D55EED" w:rsidRPr="00C06E78" w:rsidRDefault="00D55EED" w:rsidP="0051756F">
            <w:pPr>
              <w:spacing w:after="0"/>
              <w:jc w:val="both"/>
              <w:rPr>
                <w:rFonts w:ascii="Times New Roman" w:eastAsia="宋体" w:hAnsi="Times New Roman" w:cs="Times New Roman"/>
                <w:b/>
                <w:szCs w:val="22"/>
                <w:lang w:val="en-GB"/>
                <w14:ligatures w14:val="none"/>
              </w:rPr>
            </w:pPr>
            <w:proofErr w:type="spellStart"/>
            <w:r w:rsidRPr="00C06E78">
              <w:rPr>
                <w:rFonts w:ascii="Times New Roman" w:eastAsia="宋体" w:hAnsi="Times New Roman" w:cs="Times New Roman"/>
                <w:b/>
                <w:szCs w:val="22"/>
                <w:lang w:val="en-GB"/>
                <w14:ligatures w14:val="none"/>
              </w:rPr>
              <w:t>Jegadeesh</w:t>
            </w:r>
            <w:proofErr w:type="spellEnd"/>
            <w:r w:rsidRPr="00C06E78">
              <w:rPr>
                <w:rFonts w:ascii="Times New Roman" w:eastAsia="宋体" w:hAnsi="Times New Roman" w:cs="Times New Roman"/>
                <w:b/>
                <w:szCs w:val="22"/>
                <w:lang w:val="en-GB"/>
                <w14:ligatures w14:val="none"/>
              </w:rPr>
              <w:t xml:space="preserve"> &amp; Titman</w:t>
            </w:r>
          </w:p>
        </w:tc>
        <w:tc>
          <w:tcPr>
            <w:tcW w:w="0" w:type="auto"/>
            <w:tcBorders>
              <w:top w:val="single" w:sz="4" w:space="0" w:color="auto"/>
              <w:left w:val="single" w:sz="4" w:space="0" w:color="auto"/>
              <w:bottom w:val="single" w:sz="4" w:space="0" w:color="auto"/>
              <w:right w:val="single" w:sz="4" w:space="0" w:color="auto"/>
            </w:tcBorders>
          </w:tcPr>
          <w:p w14:paraId="11B63994" w14:textId="77777777" w:rsidR="00D55EED" w:rsidRPr="00C06E78" w:rsidRDefault="00D55EED" w:rsidP="0051756F">
            <w:pPr>
              <w:spacing w:after="0"/>
              <w:jc w:val="both"/>
              <w:rPr>
                <w:rFonts w:ascii="Times New Roman" w:eastAsia="宋体" w:hAnsi="Times New Roman" w:cs="Times New Roman"/>
                <w:b/>
                <w:szCs w:val="22"/>
                <w:lang w:val="en-GB"/>
                <w14:ligatures w14:val="none"/>
              </w:rPr>
            </w:pPr>
            <w:r w:rsidRPr="00C06E78">
              <w:rPr>
                <w:rFonts w:ascii="Times New Roman" w:eastAsia="宋体" w:hAnsi="Times New Roman" w:cs="Times New Roman"/>
                <w:b/>
                <w:szCs w:val="22"/>
                <w:lang w:val="en-GB"/>
                <w14:ligatures w14:val="none"/>
              </w:rPr>
              <w:t>1993</w:t>
            </w:r>
          </w:p>
        </w:tc>
      </w:tr>
      <w:tr w:rsidR="00D55EED" w:rsidRPr="00C06E78" w14:paraId="144D8001"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tcPr>
          <w:p w14:paraId="1B7AB842" w14:textId="77777777" w:rsidR="00D55EED" w:rsidRPr="00C06E78" w:rsidRDefault="00D55EED" w:rsidP="0051756F">
            <w:pPr>
              <w:spacing w:after="0"/>
              <w:jc w:val="both"/>
              <w:rPr>
                <w:rFonts w:ascii="Times New Roman" w:eastAsia="宋体" w:hAnsi="Times New Roman" w:cs="Times New Roman"/>
                <w:b/>
                <w:szCs w:val="22"/>
                <w:lang w:val="en-GB"/>
                <w14:ligatures w14:val="none"/>
              </w:rPr>
            </w:pPr>
            <w:r w:rsidRPr="00C06E78">
              <w:rPr>
                <w:rFonts w:ascii="Times New Roman" w:eastAsia="宋体" w:hAnsi="Times New Roman" w:cs="Times New Roman"/>
                <w:b/>
                <w:szCs w:val="22"/>
                <w:lang w:val="en-GB"/>
                <w14:ligatures w14:val="none"/>
              </w:rPr>
              <w:t>2</w:t>
            </w:r>
          </w:p>
        </w:tc>
        <w:tc>
          <w:tcPr>
            <w:tcW w:w="0" w:type="auto"/>
            <w:tcBorders>
              <w:top w:val="single" w:sz="4" w:space="0" w:color="auto"/>
              <w:left w:val="single" w:sz="4" w:space="0" w:color="auto"/>
              <w:bottom w:val="single" w:sz="4" w:space="0" w:color="auto"/>
              <w:right w:val="single" w:sz="4" w:space="0" w:color="auto"/>
            </w:tcBorders>
          </w:tcPr>
          <w:p w14:paraId="4DFB7DEA" w14:textId="063A5D4C" w:rsidR="00D55EED" w:rsidRPr="00C06E78" w:rsidRDefault="00425DD7" w:rsidP="0051756F">
            <w:pPr>
              <w:spacing w:after="0"/>
              <w:jc w:val="both"/>
              <w:rPr>
                <w:rFonts w:ascii="Times New Roman" w:eastAsia="宋体" w:hAnsi="Times New Roman" w:cs="Times New Roman"/>
                <w:b/>
                <w:szCs w:val="22"/>
                <w:lang w:val="en-GB"/>
                <w14:ligatures w14:val="none"/>
              </w:rPr>
            </w:pPr>
            <w:r w:rsidRPr="00C06E78">
              <w:rPr>
                <w:rFonts w:ascii="Times New Roman" w:eastAsia="宋体" w:hAnsi="Times New Roman" w:cs="Times New Roman"/>
                <w:b/>
                <w:szCs w:val="22"/>
                <w:lang w:val="en-GB"/>
                <w14:ligatures w14:val="none"/>
              </w:rPr>
              <w:t>Investment (</w:t>
            </w:r>
            <w:r w:rsidR="00D55EED" w:rsidRPr="00C06E78">
              <w:rPr>
                <w:rFonts w:ascii="Times New Roman" w:eastAsia="宋体" w:hAnsi="Times New Roman" w:cs="Times New Roman"/>
                <w:b/>
                <w:szCs w:val="22"/>
                <w:lang w:val="en-GB"/>
                <w14:ligatures w14:val="none"/>
              </w:rPr>
              <w:t>CMA)</w:t>
            </w:r>
          </w:p>
        </w:tc>
        <w:tc>
          <w:tcPr>
            <w:tcW w:w="0" w:type="auto"/>
            <w:tcBorders>
              <w:top w:val="single" w:sz="4" w:space="0" w:color="auto"/>
              <w:left w:val="single" w:sz="4" w:space="0" w:color="auto"/>
              <w:bottom w:val="single" w:sz="4" w:space="0" w:color="auto"/>
              <w:right w:val="single" w:sz="4" w:space="0" w:color="auto"/>
            </w:tcBorders>
          </w:tcPr>
          <w:p w14:paraId="441A4DDA" w14:textId="77777777" w:rsidR="00D55EED" w:rsidRPr="00C06E78" w:rsidRDefault="00D55EED" w:rsidP="0051756F">
            <w:pPr>
              <w:spacing w:after="0"/>
              <w:jc w:val="both"/>
              <w:rPr>
                <w:rFonts w:ascii="Times New Roman" w:eastAsia="宋体" w:hAnsi="Times New Roman" w:cs="Times New Roman"/>
                <w:b/>
                <w:szCs w:val="22"/>
                <w:lang w:val="en-GB"/>
                <w14:ligatures w14:val="none"/>
              </w:rPr>
            </w:pPr>
            <w:proofErr w:type="spellStart"/>
            <w:r w:rsidRPr="00C06E78">
              <w:rPr>
                <w:rFonts w:ascii="Times New Roman" w:eastAsia="宋体" w:hAnsi="Times New Roman" w:cs="Times New Roman"/>
                <w:b/>
                <w:szCs w:val="22"/>
                <w:lang w:val="en-GB"/>
                <w14:ligatures w14:val="none"/>
              </w:rPr>
              <w:t>Fama</w:t>
            </w:r>
            <w:proofErr w:type="spellEnd"/>
            <w:r w:rsidRPr="00C06E78">
              <w:rPr>
                <w:rFonts w:ascii="Times New Roman" w:eastAsia="宋体" w:hAnsi="Times New Roman" w:cs="Times New Roman"/>
                <w:b/>
                <w:szCs w:val="22"/>
                <w:lang w:val="en-GB"/>
                <w14:ligatures w14:val="none"/>
              </w:rPr>
              <w:t xml:space="preserve"> &amp; French</w:t>
            </w:r>
          </w:p>
        </w:tc>
        <w:tc>
          <w:tcPr>
            <w:tcW w:w="0" w:type="auto"/>
            <w:tcBorders>
              <w:top w:val="single" w:sz="4" w:space="0" w:color="auto"/>
              <w:left w:val="single" w:sz="4" w:space="0" w:color="auto"/>
              <w:bottom w:val="single" w:sz="4" w:space="0" w:color="auto"/>
              <w:right w:val="single" w:sz="4" w:space="0" w:color="auto"/>
            </w:tcBorders>
          </w:tcPr>
          <w:p w14:paraId="402987DA" w14:textId="77777777" w:rsidR="00D55EED" w:rsidRPr="00C06E78" w:rsidRDefault="00D55EED" w:rsidP="0051756F">
            <w:pPr>
              <w:spacing w:after="0"/>
              <w:jc w:val="both"/>
              <w:rPr>
                <w:rFonts w:ascii="Times New Roman" w:eastAsia="宋体" w:hAnsi="Times New Roman" w:cs="Times New Roman"/>
                <w:b/>
                <w:szCs w:val="22"/>
                <w:lang w:val="en-GB"/>
                <w14:ligatures w14:val="none"/>
              </w:rPr>
            </w:pPr>
            <w:r w:rsidRPr="00C06E78">
              <w:rPr>
                <w:rFonts w:ascii="Times New Roman" w:eastAsia="宋体" w:hAnsi="Times New Roman" w:cs="Times New Roman"/>
                <w:b/>
                <w:szCs w:val="22"/>
                <w:lang w:val="en-GB"/>
                <w14:ligatures w14:val="none"/>
              </w:rPr>
              <w:t>2015</w:t>
            </w:r>
          </w:p>
        </w:tc>
      </w:tr>
      <w:tr w:rsidR="00D55EED" w:rsidRPr="00C06E78" w14:paraId="36DC451F"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tcPr>
          <w:p w14:paraId="7C34569D" w14:textId="77777777" w:rsidR="00D55EED" w:rsidRPr="00C06E78" w:rsidRDefault="00D55EED" w:rsidP="0051756F">
            <w:pPr>
              <w:spacing w:after="0"/>
              <w:jc w:val="both"/>
              <w:rPr>
                <w:rFonts w:ascii="Times New Roman" w:eastAsia="宋体" w:hAnsi="Times New Roman" w:cs="Times New Roman"/>
                <w:b/>
                <w:szCs w:val="22"/>
                <w:lang w:val="en-GB"/>
                <w14:ligatures w14:val="none"/>
              </w:rPr>
            </w:pPr>
            <w:r w:rsidRPr="00C06E78">
              <w:rPr>
                <w:rFonts w:ascii="Times New Roman" w:eastAsia="宋体" w:hAnsi="Times New Roman" w:cs="Times New Roman"/>
                <w:b/>
                <w:szCs w:val="22"/>
                <w:lang w:val="en-GB"/>
                <w14:ligatures w14:val="none"/>
              </w:rPr>
              <w:t>3</w:t>
            </w:r>
          </w:p>
        </w:tc>
        <w:tc>
          <w:tcPr>
            <w:tcW w:w="0" w:type="auto"/>
            <w:tcBorders>
              <w:top w:val="single" w:sz="4" w:space="0" w:color="auto"/>
              <w:left w:val="single" w:sz="4" w:space="0" w:color="auto"/>
              <w:bottom w:val="single" w:sz="4" w:space="0" w:color="auto"/>
              <w:right w:val="single" w:sz="4" w:space="0" w:color="auto"/>
            </w:tcBorders>
          </w:tcPr>
          <w:p w14:paraId="7EEBC456" w14:textId="06B83B02" w:rsidR="00D55EED" w:rsidRPr="00C06E78" w:rsidRDefault="00425DD7" w:rsidP="0051756F">
            <w:pPr>
              <w:spacing w:after="0"/>
              <w:jc w:val="both"/>
              <w:rPr>
                <w:rFonts w:ascii="Times New Roman" w:eastAsia="宋体" w:hAnsi="Times New Roman" w:cs="Times New Roman"/>
                <w:b/>
                <w:szCs w:val="22"/>
                <w:lang w:val="en-GB"/>
                <w14:ligatures w14:val="none"/>
              </w:rPr>
            </w:pPr>
            <w:r w:rsidRPr="00C06E78">
              <w:rPr>
                <w:rFonts w:ascii="Times New Roman" w:eastAsia="宋体" w:hAnsi="Times New Roman" w:cs="Times New Roman"/>
                <w:b/>
                <w:szCs w:val="22"/>
                <w:lang w:val="en-GB"/>
                <w14:ligatures w14:val="none"/>
              </w:rPr>
              <w:t>Profitability (</w:t>
            </w:r>
            <w:r w:rsidR="00D55EED" w:rsidRPr="00C06E78">
              <w:rPr>
                <w:rFonts w:ascii="Times New Roman" w:eastAsia="宋体" w:hAnsi="Times New Roman" w:cs="Times New Roman"/>
                <w:b/>
                <w:szCs w:val="22"/>
                <w:lang w:val="en-GB"/>
                <w14:ligatures w14:val="none"/>
              </w:rPr>
              <w:t>RMW)</w:t>
            </w:r>
          </w:p>
        </w:tc>
        <w:tc>
          <w:tcPr>
            <w:tcW w:w="0" w:type="auto"/>
            <w:tcBorders>
              <w:top w:val="single" w:sz="4" w:space="0" w:color="auto"/>
              <w:left w:val="single" w:sz="4" w:space="0" w:color="auto"/>
              <w:bottom w:val="single" w:sz="4" w:space="0" w:color="auto"/>
              <w:right w:val="single" w:sz="4" w:space="0" w:color="auto"/>
            </w:tcBorders>
          </w:tcPr>
          <w:p w14:paraId="35D80876" w14:textId="77777777" w:rsidR="00D55EED" w:rsidRPr="00C06E78" w:rsidRDefault="00D55EED" w:rsidP="0051756F">
            <w:pPr>
              <w:spacing w:after="0"/>
              <w:jc w:val="both"/>
              <w:rPr>
                <w:rFonts w:ascii="Times New Roman" w:eastAsia="宋体" w:hAnsi="Times New Roman" w:cs="Times New Roman"/>
                <w:b/>
                <w:szCs w:val="22"/>
                <w:lang w:val="en-GB"/>
                <w14:ligatures w14:val="none"/>
              </w:rPr>
            </w:pPr>
            <w:proofErr w:type="spellStart"/>
            <w:r w:rsidRPr="00C06E78">
              <w:rPr>
                <w:rFonts w:ascii="Times New Roman" w:eastAsia="宋体" w:hAnsi="Times New Roman" w:cs="Times New Roman"/>
                <w:b/>
                <w:szCs w:val="22"/>
                <w:lang w:val="en-GB"/>
                <w14:ligatures w14:val="none"/>
              </w:rPr>
              <w:t>Fama</w:t>
            </w:r>
            <w:proofErr w:type="spellEnd"/>
            <w:r w:rsidRPr="00C06E78">
              <w:rPr>
                <w:rFonts w:ascii="Times New Roman" w:eastAsia="宋体" w:hAnsi="Times New Roman" w:cs="Times New Roman"/>
                <w:b/>
                <w:szCs w:val="22"/>
                <w:lang w:val="en-GB"/>
                <w14:ligatures w14:val="none"/>
              </w:rPr>
              <w:t xml:space="preserve"> &amp; French</w:t>
            </w:r>
          </w:p>
        </w:tc>
        <w:tc>
          <w:tcPr>
            <w:tcW w:w="0" w:type="auto"/>
            <w:tcBorders>
              <w:top w:val="single" w:sz="4" w:space="0" w:color="auto"/>
              <w:left w:val="single" w:sz="4" w:space="0" w:color="auto"/>
              <w:bottom w:val="single" w:sz="4" w:space="0" w:color="auto"/>
              <w:right w:val="single" w:sz="4" w:space="0" w:color="auto"/>
            </w:tcBorders>
          </w:tcPr>
          <w:p w14:paraId="3BC95C07" w14:textId="77777777" w:rsidR="00D55EED" w:rsidRPr="00C06E78" w:rsidRDefault="00D55EED" w:rsidP="0051756F">
            <w:pPr>
              <w:spacing w:after="0"/>
              <w:jc w:val="both"/>
              <w:rPr>
                <w:rFonts w:ascii="Times New Roman" w:eastAsia="宋体" w:hAnsi="Times New Roman" w:cs="Times New Roman"/>
                <w:b/>
                <w:szCs w:val="22"/>
                <w:lang w:val="en-GB"/>
                <w14:ligatures w14:val="none"/>
              </w:rPr>
            </w:pPr>
            <w:r w:rsidRPr="00C06E78">
              <w:rPr>
                <w:rFonts w:ascii="Times New Roman" w:eastAsia="宋体" w:hAnsi="Times New Roman" w:cs="Times New Roman"/>
                <w:b/>
                <w:szCs w:val="22"/>
                <w:lang w:val="en-GB"/>
                <w14:ligatures w14:val="none"/>
              </w:rPr>
              <w:t>2015</w:t>
            </w:r>
          </w:p>
        </w:tc>
      </w:tr>
      <w:bookmarkEnd w:id="53"/>
    </w:tbl>
    <w:p w14:paraId="3B54822A" w14:textId="77777777" w:rsidR="00D55EED" w:rsidRPr="005A326B" w:rsidRDefault="00D55EED" w:rsidP="00D55EED">
      <w:pPr>
        <w:jc w:val="center"/>
        <w:rPr>
          <w:rFonts w:ascii="Times New Roman" w:hAnsi="Times New Roman" w:cs="Times New Roman"/>
          <w:b/>
          <w:sz w:val="32"/>
          <w:szCs w:val="32"/>
        </w:rPr>
      </w:pPr>
    </w:p>
    <w:sectPr w:rsidR="00D55EED" w:rsidRPr="005A32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D069F" w14:textId="77777777" w:rsidR="00BB52E4" w:rsidRDefault="00BB52E4">
      <w:pPr>
        <w:spacing w:line="240" w:lineRule="auto"/>
      </w:pPr>
      <w:r>
        <w:separator/>
      </w:r>
    </w:p>
  </w:endnote>
  <w:endnote w:type="continuationSeparator" w:id="0">
    <w:p w14:paraId="438E1984" w14:textId="77777777" w:rsidR="00BB52E4" w:rsidRDefault="00BB5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608FA" w14:textId="77777777" w:rsidR="00BB52E4" w:rsidRDefault="00BB52E4">
      <w:pPr>
        <w:spacing w:after="0"/>
      </w:pPr>
      <w:r>
        <w:separator/>
      </w:r>
    </w:p>
  </w:footnote>
  <w:footnote w:type="continuationSeparator" w:id="0">
    <w:p w14:paraId="2AF1CDF0" w14:textId="77777777" w:rsidR="00BB52E4" w:rsidRDefault="00BB52E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47D5"/>
    <w:multiLevelType w:val="hybridMultilevel"/>
    <w:tmpl w:val="1DCED956"/>
    <w:lvl w:ilvl="0" w:tplc="A4BE8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2D625A"/>
    <w:multiLevelType w:val="multilevel"/>
    <w:tmpl w:val="0B2D625A"/>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ED10DC2"/>
    <w:multiLevelType w:val="multilevel"/>
    <w:tmpl w:val="A46408D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9D501F3"/>
    <w:multiLevelType w:val="multilevel"/>
    <w:tmpl w:val="29D501F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DD1747B"/>
    <w:multiLevelType w:val="hybridMultilevel"/>
    <w:tmpl w:val="B5AC0754"/>
    <w:lvl w:ilvl="0" w:tplc="C9D0C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7D6F1A"/>
    <w:multiLevelType w:val="hybridMultilevel"/>
    <w:tmpl w:val="37BC9C92"/>
    <w:lvl w:ilvl="0" w:tplc="89C4B1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8DC3B4E"/>
    <w:multiLevelType w:val="multilevel"/>
    <w:tmpl w:val="169E094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7" w15:restartNumberingAfterBreak="0">
    <w:nsid w:val="5D606B0C"/>
    <w:multiLevelType w:val="multilevel"/>
    <w:tmpl w:val="5D606B0C"/>
    <w:lvl w:ilvl="0">
      <w:start w:val="1"/>
      <w:numFmt w:val="decimal"/>
      <w:lvlText w:val="(%1)"/>
      <w:lvlJc w:val="left"/>
      <w:pPr>
        <w:ind w:left="370" w:hanging="37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88B696B"/>
    <w:multiLevelType w:val="multilevel"/>
    <w:tmpl w:val="169E094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9" w15:restartNumberingAfterBreak="0">
    <w:nsid w:val="6EC67A9D"/>
    <w:multiLevelType w:val="multilevel"/>
    <w:tmpl w:val="6EC67A9D"/>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703B63B5"/>
    <w:multiLevelType w:val="multilevel"/>
    <w:tmpl w:val="703B63B5"/>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72CD63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91A3B5B"/>
    <w:multiLevelType w:val="multilevel"/>
    <w:tmpl w:val="791A3B5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B9D0179"/>
    <w:multiLevelType w:val="hybridMultilevel"/>
    <w:tmpl w:val="BE7C19C2"/>
    <w:lvl w:ilvl="0" w:tplc="0E7AC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476E07"/>
    <w:multiLevelType w:val="multilevel"/>
    <w:tmpl w:val="169E094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5" w15:restartNumberingAfterBreak="0">
    <w:nsid w:val="7E9E49F4"/>
    <w:multiLevelType w:val="multilevel"/>
    <w:tmpl w:val="7E9E49F4"/>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1"/>
  </w:num>
  <w:num w:numId="2">
    <w:abstractNumId w:val="10"/>
  </w:num>
  <w:num w:numId="3">
    <w:abstractNumId w:val="9"/>
  </w:num>
  <w:num w:numId="4">
    <w:abstractNumId w:val="15"/>
  </w:num>
  <w:num w:numId="5">
    <w:abstractNumId w:val="4"/>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1"/>
  </w:num>
  <w:num w:numId="12">
    <w:abstractNumId w:val="5"/>
  </w:num>
  <w:num w:numId="13">
    <w:abstractNumId w:val="8"/>
  </w:num>
  <w:num w:numId="14">
    <w:abstractNumId w:val="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1FA3"/>
    <w:rsid w:val="0000191A"/>
    <w:rsid w:val="00004B9D"/>
    <w:rsid w:val="00011FA3"/>
    <w:rsid w:val="00025F1E"/>
    <w:rsid w:val="00043F13"/>
    <w:rsid w:val="000457D7"/>
    <w:rsid w:val="0004596C"/>
    <w:rsid w:val="00047815"/>
    <w:rsid w:val="00047CCD"/>
    <w:rsid w:val="00054A3F"/>
    <w:rsid w:val="000612C1"/>
    <w:rsid w:val="00061BB2"/>
    <w:rsid w:val="00067FBC"/>
    <w:rsid w:val="0007141B"/>
    <w:rsid w:val="00072594"/>
    <w:rsid w:val="000775C0"/>
    <w:rsid w:val="000A45B7"/>
    <w:rsid w:val="000A7A87"/>
    <w:rsid w:val="000C3D7E"/>
    <w:rsid w:val="000D14A0"/>
    <w:rsid w:val="000D30B0"/>
    <w:rsid w:val="000D7382"/>
    <w:rsid w:val="00104627"/>
    <w:rsid w:val="001140A0"/>
    <w:rsid w:val="0011544B"/>
    <w:rsid w:val="00121CB9"/>
    <w:rsid w:val="001228C8"/>
    <w:rsid w:val="00124997"/>
    <w:rsid w:val="00126DC7"/>
    <w:rsid w:val="00130B61"/>
    <w:rsid w:val="0014245A"/>
    <w:rsid w:val="00153268"/>
    <w:rsid w:val="00173263"/>
    <w:rsid w:val="0019477C"/>
    <w:rsid w:val="00196045"/>
    <w:rsid w:val="001A3889"/>
    <w:rsid w:val="001B1902"/>
    <w:rsid w:val="001B28D4"/>
    <w:rsid w:val="001B4D0C"/>
    <w:rsid w:val="001B61C7"/>
    <w:rsid w:val="001C443E"/>
    <w:rsid w:val="001C7772"/>
    <w:rsid w:val="001D688A"/>
    <w:rsid w:val="001D7FC3"/>
    <w:rsid w:val="00201AB3"/>
    <w:rsid w:val="002020E6"/>
    <w:rsid w:val="0022575C"/>
    <w:rsid w:val="00242E64"/>
    <w:rsid w:val="00247334"/>
    <w:rsid w:val="00252BB9"/>
    <w:rsid w:val="0025388C"/>
    <w:rsid w:val="002754CE"/>
    <w:rsid w:val="00286B3C"/>
    <w:rsid w:val="002A2384"/>
    <w:rsid w:val="002A462D"/>
    <w:rsid w:val="002B2C6C"/>
    <w:rsid w:val="002D2C8B"/>
    <w:rsid w:val="002F5B51"/>
    <w:rsid w:val="00304EA0"/>
    <w:rsid w:val="003175F4"/>
    <w:rsid w:val="00317E95"/>
    <w:rsid w:val="00340FA1"/>
    <w:rsid w:val="0034790A"/>
    <w:rsid w:val="003717D7"/>
    <w:rsid w:val="0037539B"/>
    <w:rsid w:val="0038463C"/>
    <w:rsid w:val="00385B32"/>
    <w:rsid w:val="00394C99"/>
    <w:rsid w:val="003A59BC"/>
    <w:rsid w:val="003A791A"/>
    <w:rsid w:val="003B32FD"/>
    <w:rsid w:val="003C1F83"/>
    <w:rsid w:val="003D1B74"/>
    <w:rsid w:val="003D423B"/>
    <w:rsid w:val="003D49B3"/>
    <w:rsid w:val="003E540D"/>
    <w:rsid w:val="003F323D"/>
    <w:rsid w:val="003F59BA"/>
    <w:rsid w:val="003F69C8"/>
    <w:rsid w:val="00402939"/>
    <w:rsid w:val="004036F2"/>
    <w:rsid w:val="004171F4"/>
    <w:rsid w:val="00423F9D"/>
    <w:rsid w:val="00425DD7"/>
    <w:rsid w:val="00435654"/>
    <w:rsid w:val="004356C6"/>
    <w:rsid w:val="0044048A"/>
    <w:rsid w:val="00442744"/>
    <w:rsid w:val="004451A6"/>
    <w:rsid w:val="00450829"/>
    <w:rsid w:val="004565AB"/>
    <w:rsid w:val="00463031"/>
    <w:rsid w:val="00471614"/>
    <w:rsid w:val="00477242"/>
    <w:rsid w:val="004775C4"/>
    <w:rsid w:val="0048167B"/>
    <w:rsid w:val="00494A17"/>
    <w:rsid w:val="004A2756"/>
    <w:rsid w:val="004C554A"/>
    <w:rsid w:val="004D3735"/>
    <w:rsid w:val="004D41CA"/>
    <w:rsid w:val="004E170F"/>
    <w:rsid w:val="004E2D08"/>
    <w:rsid w:val="004E353E"/>
    <w:rsid w:val="00504AEC"/>
    <w:rsid w:val="00516751"/>
    <w:rsid w:val="0051756F"/>
    <w:rsid w:val="005271D1"/>
    <w:rsid w:val="00541091"/>
    <w:rsid w:val="00543F0F"/>
    <w:rsid w:val="005448FA"/>
    <w:rsid w:val="00563013"/>
    <w:rsid w:val="00563A26"/>
    <w:rsid w:val="0058285B"/>
    <w:rsid w:val="0058534E"/>
    <w:rsid w:val="005A0CAC"/>
    <w:rsid w:val="005A326B"/>
    <w:rsid w:val="005C6B72"/>
    <w:rsid w:val="005D04CE"/>
    <w:rsid w:val="005D2F7A"/>
    <w:rsid w:val="005D4E1E"/>
    <w:rsid w:val="005E7380"/>
    <w:rsid w:val="00607110"/>
    <w:rsid w:val="00613782"/>
    <w:rsid w:val="006334D1"/>
    <w:rsid w:val="0063754D"/>
    <w:rsid w:val="006679C0"/>
    <w:rsid w:val="00670BBB"/>
    <w:rsid w:val="00670C5B"/>
    <w:rsid w:val="0067276C"/>
    <w:rsid w:val="006755E5"/>
    <w:rsid w:val="006802FF"/>
    <w:rsid w:val="006B414B"/>
    <w:rsid w:val="006D3FC8"/>
    <w:rsid w:val="006E3798"/>
    <w:rsid w:val="006E4C65"/>
    <w:rsid w:val="00701830"/>
    <w:rsid w:val="007051F2"/>
    <w:rsid w:val="007130DC"/>
    <w:rsid w:val="00727892"/>
    <w:rsid w:val="0074135F"/>
    <w:rsid w:val="007537A4"/>
    <w:rsid w:val="00762C43"/>
    <w:rsid w:val="00774670"/>
    <w:rsid w:val="007869FF"/>
    <w:rsid w:val="007929B4"/>
    <w:rsid w:val="00796644"/>
    <w:rsid w:val="007B0135"/>
    <w:rsid w:val="007C5936"/>
    <w:rsid w:val="007C5AF6"/>
    <w:rsid w:val="007E0351"/>
    <w:rsid w:val="007E2ADE"/>
    <w:rsid w:val="007F3D15"/>
    <w:rsid w:val="00810FD6"/>
    <w:rsid w:val="00821BF6"/>
    <w:rsid w:val="00831755"/>
    <w:rsid w:val="008363BA"/>
    <w:rsid w:val="00840725"/>
    <w:rsid w:val="00847F55"/>
    <w:rsid w:val="00850A08"/>
    <w:rsid w:val="00852C95"/>
    <w:rsid w:val="00855DCF"/>
    <w:rsid w:val="008914D4"/>
    <w:rsid w:val="00894479"/>
    <w:rsid w:val="00896581"/>
    <w:rsid w:val="008A1CC4"/>
    <w:rsid w:val="008A62D4"/>
    <w:rsid w:val="008A7946"/>
    <w:rsid w:val="008B090E"/>
    <w:rsid w:val="008B3BE0"/>
    <w:rsid w:val="008C1374"/>
    <w:rsid w:val="008F6EEC"/>
    <w:rsid w:val="009003F4"/>
    <w:rsid w:val="009013F5"/>
    <w:rsid w:val="00905545"/>
    <w:rsid w:val="00910FC1"/>
    <w:rsid w:val="00932052"/>
    <w:rsid w:val="009665C7"/>
    <w:rsid w:val="00976B04"/>
    <w:rsid w:val="009837BC"/>
    <w:rsid w:val="009A192E"/>
    <w:rsid w:val="009A5C25"/>
    <w:rsid w:val="009C6D52"/>
    <w:rsid w:val="009C7228"/>
    <w:rsid w:val="009D12AB"/>
    <w:rsid w:val="009D1BA2"/>
    <w:rsid w:val="009D748C"/>
    <w:rsid w:val="009E3F46"/>
    <w:rsid w:val="00A00AE5"/>
    <w:rsid w:val="00A16125"/>
    <w:rsid w:val="00A26603"/>
    <w:rsid w:val="00A26965"/>
    <w:rsid w:val="00A33748"/>
    <w:rsid w:val="00A63070"/>
    <w:rsid w:val="00A658E9"/>
    <w:rsid w:val="00A658F7"/>
    <w:rsid w:val="00A723F5"/>
    <w:rsid w:val="00A76F28"/>
    <w:rsid w:val="00A80CF7"/>
    <w:rsid w:val="00A833C7"/>
    <w:rsid w:val="00A84F66"/>
    <w:rsid w:val="00A876EC"/>
    <w:rsid w:val="00A9075F"/>
    <w:rsid w:val="00A973E7"/>
    <w:rsid w:val="00AA79D1"/>
    <w:rsid w:val="00AA7FA5"/>
    <w:rsid w:val="00AB2579"/>
    <w:rsid w:val="00AE3172"/>
    <w:rsid w:val="00AF10BE"/>
    <w:rsid w:val="00AF30A2"/>
    <w:rsid w:val="00B0066D"/>
    <w:rsid w:val="00B11B50"/>
    <w:rsid w:val="00B246B5"/>
    <w:rsid w:val="00B3319F"/>
    <w:rsid w:val="00B421B5"/>
    <w:rsid w:val="00B50D46"/>
    <w:rsid w:val="00B523E4"/>
    <w:rsid w:val="00B651E0"/>
    <w:rsid w:val="00B70AD5"/>
    <w:rsid w:val="00B717B7"/>
    <w:rsid w:val="00B82199"/>
    <w:rsid w:val="00B8273E"/>
    <w:rsid w:val="00B8331C"/>
    <w:rsid w:val="00BA6D68"/>
    <w:rsid w:val="00BA73BC"/>
    <w:rsid w:val="00BB0C95"/>
    <w:rsid w:val="00BB20DB"/>
    <w:rsid w:val="00BB52E4"/>
    <w:rsid w:val="00BB57D8"/>
    <w:rsid w:val="00BC2921"/>
    <w:rsid w:val="00BF2BAB"/>
    <w:rsid w:val="00C0247D"/>
    <w:rsid w:val="00C02554"/>
    <w:rsid w:val="00C06E78"/>
    <w:rsid w:val="00C13621"/>
    <w:rsid w:val="00C205FA"/>
    <w:rsid w:val="00C211C1"/>
    <w:rsid w:val="00C30244"/>
    <w:rsid w:val="00C42218"/>
    <w:rsid w:val="00C460D5"/>
    <w:rsid w:val="00C57C5F"/>
    <w:rsid w:val="00C75AAD"/>
    <w:rsid w:val="00C82A34"/>
    <w:rsid w:val="00C8343D"/>
    <w:rsid w:val="00C845D0"/>
    <w:rsid w:val="00C84BC6"/>
    <w:rsid w:val="00C86C96"/>
    <w:rsid w:val="00C87862"/>
    <w:rsid w:val="00C96B41"/>
    <w:rsid w:val="00C97654"/>
    <w:rsid w:val="00CA421F"/>
    <w:rsid w:val="00CB5363"/>
    <w:rsid w:val="00CB7A83"/>
    <w:rsid w:val="00CD0B2B"/>
    <w:rsid w:val="00CE5BC8"/>
    <w:rsid w:val="00CF30F2"/>
    <w:rsid w:val="00D052D9"/>
    <w:rsid w:val="00D2101F"/>
    <w:rsid w:val="00D25E13"/>
    <w:rsid w:val="00D263AB"/>
    <w:rsid w:val="00D3427D"/>
    <w:rsid w:val="00D46214"/>
    <w:rsid w:val="00D54557"/>
    <w:rsid w:val="00D55EED"/>
    <w:rsid w:val="00D5667C"/>
    <w:rsid w:val="00D60CEC"/>
    <w:rsid w:val="00D77C8C"/>
    <w:rsid w:val="00D8012D"/>
    <w:rsid w:val="00D90A82"/>
    <w:rsid w:val="00D9295C"/>
    <w:rsid w:val="00DA4193"/>
    <w:rsid w:val="00DB4D22"/>
    <w:rsid w:val="00DB4DE8"/>
    <w:rsid w:val="00DD3149"/>
    <w:rsid w:val="00DD73D0"/>
    <w:rsid w:val="00E0555C"/>
    <w:rsid w:val="00E06FD0"/>
    <w:rsid w:val="00E07E1C"/>
    <w:rsid w:val="00E210C9"/>
    <w:rsid w:val="00E2153B"/>
    <w:rsid w:val="00E246BA"/>
    <w:rsid w:val="00E303D2"/>
    <w:rsid w:val="00E3656F"/>
    <w:rsid w:val="00E4115F"/>
    <w:rsid w:val="00E529F5"/>
    <w:rsid w:val="00E55143"/>
    <w:rsid w:val="00E57918"/>
    <w:rsid w:val="00E72614"/>
    <w:rsid w:val="00E7426E"/>
    <w:rsid w:val="00E81F2D"/>
    <w:rsid w:val="00E84731"/>
    <w:rsid w:val="00E84E98"/>
    <w:rsid w:val="00E86E0B"/>
    <w:rsid w:val="00E952D1"/>
    <w:rsid w:val="00EA0E65"/>
    <w:rsid w:val="00EA4064"/>
    <w:rsid w:val="00EA5E5C"/>
    <w:rsid w:val="00EB3DA7"/>
    <w:rsid w:val="00EB6AF8"/>
    <w:rsid w:val="00EC2987"/>
    <w:rsid w:val="00EC5821"/>
    <w:rsid w:val="00EC6699"/>
    <w:rsid w:val="00ED17CC"/>
    <w:rsid w:val="00ED4383"/>
    <w:rsid w:val="00EF4944"/>
    <w:rsid w:val="00EF63D6"/>
    <w:rsid w:val="00F02B3C"/>
    <w:rsid w:val="00F04F33"/>
    <w:rsid w:val="00F27ACA"/>
    <w:rsid w:val="00F35E91"/>
    <w:rsid w:val="00F4057F"/>
    <w:rsid w:val="00F414DF"/>
    <w:rsid w:val="00F719FA"/>
    <w:rsid w:val="00F85AB5"/>
    <w:rsid w:val="00FA13ED"/>
    <w:rsid w:val="00FA1966"/>
    <w:rsid w:val="00FA4274"/>
    <w:rsid w:val="00FB7BE4"/>
    <w:rsid w:val="00FC16BD"/>
    <w:rsid w:val="00FD2563"/>
    <w:rsid w:val="00FE46B2"/>
    <w:rsid w:val="00FF01A6"/>
    <w:rsid w:val="00FF0E5F"/>
    <w:rsid w:val="00FF3ED8"/>
    <w:rsid w:val="00FF45C5"/>
    <w:rsid w:val="00FF4AA0"/>
    <w:rsid w:val="52824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539E"/>
  <w15:docId w15:val="{262A1AE5-6CF0-B545-BA28-2D40A788B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8" w:lineRule="auto"/>
    </w:pPr>
    <w:rPr>
      <w:kern w:val="2"/>
      <w:sz w:val="22"/>
      <w:szCs w:val="24"/>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a5">
    <w:name w:val="Title"/>
    <w:basedOn w:val="a"/>
    <w:next w:val="a"/>
    <w:link w:val="a6"/>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Light Shading"/>
    <w:basedOn w:val="a1"/>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9">
    <w:name w:val="Strong"/>
    <w:basedOn w:val="a0"/>
    <w:uiPriority w:val="22"/>
    <w:qFormat/>
    <w:rPr>
      <w:b/>
      <w:bCs/>
    </w:rPr>
  </w:style>
  <w:style w:type="character" w:styleId="aa">
    <w:name w:val="FollowedHyperlink"/>
    <w:basedOn w:val="a0"/>
    <w:uiPriority w:val="99"/>
    <w:semiHidden/>
    <w:unhideWhenUsed/>
    <w:rPr>
      <w:color w:val="96607D" w:themeColor="followedHyperlink"/>
      <w:u w:val="single"/>
    </w:rPr>
  </w:style>
  <w:style w:type="character" w:styleId="ab">
    <w:name w:val="Hyperlink"/>
    <w:basedOn w:val="a0"/>
    <w:uiPriority w:val="99"/>
    <w:unhideWhenUsed/>
    <w:rPr>
      <w:color w:val="467886" w:themeColor="hyperlink"/>
      <w:u w:val="single"/>
    </w:r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Pr>
      <w:rFonts w:cstheme="majorBidi"/>
      <w:color w:val="0F4761" w:themeColor="accent1" w:themeShade="BF"/>
      <w:sz w:val="28"/>
      <w:szCs w:val="28"/>
    </w:rPr>
  </w:style>
  <w:style w:type="character" w:customStyle="1" w:styleId="50">
    <w:name w:val="标题 5 字符"/>
    <w:basedOn w:val="a0"/>
    <w:link w:val="5"/>
    <w:uiPriority w:val="9"/>
    <w:semiHidden/>
    <w:rPr>
      <w:rFonts w:cstheme="majorBidi"/>
      <w:color w:val="0F4761" w:themeColor="accent1" w:themeShade="BF"/>
      <w:sz w:val="24"/>
    </w:rPr>
  </w:style>
  <w:style w:type="character" w:customStyle="1" w:styleId="60">
    <w:name w:val="标题 6 字符"/>
    <w:basedOn w:val="a0"/>
    <w:link w:val="6"/>
    <w:uiPriority w:val="9"/>
    <w:semiHidden/>
    <w:rPr>
      <w:rFonts w:cstheme="majorBidi"/>
      <w:b/>
      <w:bCs/>
      <w:color w:val="0F4761"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6">
    <w:name w:val="标题 字符"/>
    <w:basedOn w:val="a0"/>
    <w:link w:val="a5"/>
    <w:uiPriority w:val="10"/>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rPr>
      <w:rFonts w:asciiTheme="majorHAnsi" w:eastAsiaTheme="majorEastAsia" w:hAnsiTheme="majorHAnsi" w:cstheme="majorBidi"/>
      <w:color w:val="595959" w:themeColor="text1" w:themeTint="A6"/>
      <w:spacing w:val="15"/>
      <w:sz w:val="28"/>
      <w:szCs w:val="28"/>
    </w:rPr>
  </w:style>
  <w:style w:type="paragraph" w:styleId="ac">
    <w:name w:val="Quote"/>
    <w:basedOn w:val="a"/>
    <w:next w:val="a"/>
    <w:link w:val="ad"/>
    <w:uiPriority w:val="29"/>
    <w:qFormat/>
    <w:pPr>
      <w:spacing w:before="160"/>
      <w:jc w:val="center"/>
    </w:pPr>
    <w:rPr>
      <w:i/>
      <w:iCs/>
      <w:color w:val="404040" w:themeColor="text1" w:themeTint="BF"/>
    </w:rPr>
  </w:style>
  <w:style w:type="character" w:customStyle="1" w:styleId="ad">
    <w:name w:val="引用 字符"/>
    <w:basedOn w:val="a0"/>
    <w:link w:val="ac"/>
    <w:uiPriority w:val="29"/>
    <w:rPr>
      <w:i/>
      <w:iCs/>
      <w:color w:val="404040" w:themeColor="text1" w:themeTint="BF"/>
    </w:rPr>
  </w:style>
  <w:style w:type="paragraph" w:styleId="ae">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
    <w:name w:val="Intense Quote"/>
    <w:basedOn w:val="a"/>
    <w:next w:val="a"/>
    <w:link w:val="af0"/>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0">
    <w:name w:val="明显引用 字符"/>
    <w:basedOn w:val="a0"/>
    <w:link w:val="af"/>
    <w:uiPriority w:val="30"/>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15">
    <w:name w:val="15"/>
    <w:basedOn w:val="a0"/>
    <w:rPr>
      <w:rFonts w:ascii="Calibri" w:hAnsi="Calibri" w:cs="Calibri" w:hint="default"/>
      <w:color w:val="0026E5"/>
      <w:u w:val="single"/>
    </w:rPr>
  </w:style>
  <w:style w:type="paragraph" w:styleId="af1">
    <w:name w:val="No Spacing"/>
    <w:link w:val="af2"/>
    <w:uiPriority w:val="1"/>
    <w:qFormat/>
    <w:rPr>
      <w:rFonts w:eastAsia="Microsoft YaHei UI"/>
      <w:sz w:val="22"/>
      <w:szCs w:val="22"/>
    </w:rPr>
  </w:style>
  <w:style w:type="character" w:customStyle="1" w:styleId="af2">
    <w:name w:val="无间隔 字符"/>
    <w:basedOn w:val="a0"/>
    <w:link w:val="af1"/>
    <w:uiPriority w:val="1"/>
    <w:qFormat/>
    <w:rPr>
      <w:rFonts w:eastAsia="Microsoft YaHei UI"/>
      <w:kern w:val="0"/>
      <w:szCs w:val="22"/>
      <w14:ligatures w14:val="none"/>
    </w:rPr>
  </w:style>
  <w:style w:type="character" w:customStyle="1" w:styleId="13">
    <w:name w:val="未处理的提及1"/>
    <w:basedOn w:val="a0"/>
    <w:uiPriority w:val="99"/>
    <w:semiHidden/>
    <w:unhideWhenUsed/>
    <w:rPr>
      <w:color w:val="605E5C"/>
      <w:shd w:val="clear" w:color="auto" w:fill="E1DFDD"/>
    </w:rPr>
  </w:style>
  <w:style w:type="paragraph" w:styleId="af3">
    <w:name w:val="Balloon Text"/>
    <w:basedOn w:val="a"/>
    <w:link w:val="af4"/>
    <w:uiPriority w:val="99"/>
    <w:semiHidden/>
    <w:unhideWhenUsed/>
    <w:rsid w:val="00FE46B2"/>
    <w:pPr>
      <w:spacing w:after="0" w:line="240" w:lineRule="auto"/>
    </w:pPr>
    <w:rPr>
      <w:sz w:val="18"/>
      <w:szCs w:val="18"/>
    </w:rPr>
  </w:style>
  <w:style w:type="character" w:customStyle="1" w:styleId="af4">
    <w:name w:val="批注框文本 字符"/>
    <w:basedOn w:val="a0"/>
    <w:link w:val="af3"/>
    <w:uiPriority w:val="99"/>
    <w:semiHidden/>
    <w:rsid w:val="00FE46B2"/>
    <w:rPr>
      <w:kern w:val="2"/>
      <w:sz w:val="18"/>
      <w:szCs w:val="18"/>
      <w14:ligatures w14:val="standardContextual"/>
    </w:rPr>
  </w:style>
  <w:style w:type="table" w:customStyle="1" w:styleId="14">
    <w:name w:val="网格型1"/>
    <w:basedOn w:val="a1"/>
    <w:next w:val="a7"/>
    <w:uiPriority w:val="59"/>
    <w:rsid w:val="00CB536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未处理的提及2"/>
    <w:basedOn w:val="a0"/>
    <w:uiPriority w:val="99"/>
    <w:semiHidden/>
    <w:unhideWhenUsed/>
    <w:rsid w:val="00130B61"/>
    <w:rPr>
      <w:color w:val="605E5C"/>
      <w:shd w:val="clear" w:color="auto" w:fill="E1DFDD"/>
    </w:rPr>
  </w:style>
  <w:style w:type="table" w:customStyle="1" w:styleId="TableGrid1">
    <w:name w:val="Table Grid1"/>
    <w:basedOn w:val="a1"/>
    <w:next w:val="a7"/>
    <w:uiPriority w:val="59"/>
    <w:rsid w:val="00855DCF"/>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35989">
      <w:bodyDiv w:val="1"/>
      <w:marLeft w:val="0"/>
      <w:marRight w:val="0"/>
      <w:marTop w:val="0"/>
      <w:marBottom w:val="0"/>
      <w:divBdr>
        <w:top w:val="none" w:sz="0" w:space="0" w:color="auto"/>
        <w:left w:val="none" w:sz="0" w:space="0" w:color="auto"/>
        <w:bottom w:val="none" w:sz="0" w:space="0" w:color="auto"/>
        <w:right w:val="none" w:sz="0" w:space="0" w:color="auto"/>
      </w:divBdr>
    </w:div>
    <w:div w:id="1303999037">
      <w:bodyDiv w:val="1"/>
      <w:marLeft w:val="0"/>
      <w:marRight w:val="0"/>
      <w:marTop w:val="0"/>
      <w:marBottom w:val="0"/>
      <w:divBdr>
        <w:top w:val="none" w:sz="0" w:space="0" w:color="auto"/>
        <w:left w:val="none" w:sz="0" w:space="0" w:color="auto"/>
        <w:bottom w:val="none" w:sz="0" w:space="0" w:color="auto"/>
        <w:right w:val="none" w:sz="0" w:space="0" w:color="auto"/>
      </w:divBdr>
    </w:div>
    <w:div w:id="1741250206">
      <w:bodyDiv w:val="1"/>
      <w:marLeft w:val="0"/>
      <w:marRight w:val="0"/>
      <w:marTop w:val="0"/>
      <w:marBottom w:val="0"/>
      <w:divBdr>
        <w:top w:val="none" w:sz="0" w:space="0" w:color="auto"/>
        <w:left w:val="none" w:sz="0" w:space="0" w:color="auto"/>
        <w:bottom w:val="none" w:sz="0" w:space="0" w:color="auto"/>
        <w:right w:val="none" w:sz="0" w:space="0" w:color="auto"/>
      </w:divBdr>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zenhorse-leon/EF5058_Proj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66E59-6187-4E00-9DDE-C5D559321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19</Pages>
  <Words>5083</Words>
  <Characters>28976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EF5058 Asset Management and Hedge Fund Strategies</vt:lpstr>
    </vt:vector>
  </TitlesOfParts>
  <Company/>
  <LinksUpToDate>false</LinksUpToDate>
  <CharactersWithSpaces>33992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EF5058 Asset Management and Hedge Fund Strategies</dc:title>
  <dc:subject>Group project</dc:subject>
  <dc:creator>CHEN Jiayi</dc:creator>
  <cp:lastModifiedBy>KK5020</cp:lastModifiedBy>
  <cp:revision>339</cp:revision>
  <cp:lastPrinted>2025-05-13T04:30:00Z</cp:lastPrinted>
  <dcterms:created xsi:type="dcterms:W3CDTF">2024-11-27T06:33:00Z</dcterms:created>
  <dcterms:modified xsi:type="dcterms:W3CDTF">2025-05-13T04:39:00Z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92D71B8F06FE43B5B9664693B77ED491_13</vt:lpwstr>
  </property>
</Properties>
</file>