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CompanionCare · Executive RACI</w:t>
      </w:r>
    </w:p>
    <w:p>
      <w:pPr>
        <w:spacing w:after="160"/>
      </w:pPr>
      <w:r>
        <w:rPr>
          <w:b w:val="0"/>
          <w:i w:val="0"/>
          <w:color w:val="55504A"/>
          <w:sz w:val="24"/>
        </w:rPr>
        <w:t>Three roles. Each owns a set of categories outright; five are joint.</w:t>
      </w:r>
    </w:p>
    <w:p>
      <w:pPr>
        <w:spacing w:after="160"/>
      </w:pPr>
      <w:r>
        <w:rPr>
          <w:b w:val="0"/>
          <w:i w:val="0"/>
          <w:color w:val="55504A"/>
          <w:sz w:val="20"/>
        </w:rPr>
        <w:t>One A per row. Accountable answers for the outcome and cannot delegate it. Responsible does the work and is what you hire against.</w:t>
      </w:r>
    </w:p>
    <w:p>
      <w:pPr>
        <w:spacing w:after="320"/>
      </w:pPr>
      <w:r>
        <w:rPr>
          <w:b w:val="0"/>
          <w:i/>
          <w:color w:val="55504A"/>
          <w:sz w:val="18"/>
        </w:rPr>
        <w:t>A owns the outcome  ·  R does the work  ·  C input before the call  ·  I told after</w:t>
      </w:r>
    </w:p>
    <w:p>
      <w:pPr>
        <w:pStyle w:val="Heading1"/>
      </w:pPr>
      <w:r>
        <w:t>Individually owned categories</w:t>
      </w:r>
    </w:p>
    <w:tbl>
      <w:tblPr>
        <w:tblStyle w:val="TableGrid"/>
        <w:tblW w:type="auto" w:w="0"/>
        <w:jc w:val="left"/>
        <w:tblLook w:firstColumn="1" w:firstRow="1" w:lastColumn="0" w:lastRow="0" w:noHBand="0" w:noVBand="1" w:val="04A0"/>
      </w:tblPr>
      <w:tblGrid>
        <w:gridCol w:w="2880"/>
        <w:gridCol w:w="2880"/>
        <w:gridCol w:w="2880"/>
      </w:tblGrid>
      <w:tr>
        <w:tc>
          <w:tcPr>
            <w:tcW w:type="dxa" w:w="3024"/>
          </w:tcPr>
          <w:p>
            <w:r/>
            <w:r>
              <w:rPr>
                <w:b/>
                <w:color w:val="55504A"/>
                <w:sz w:val="18"/>
              </w:rPr>
              <w:t>CEO</w:t>
            </w:r>
          </w:p>
        </w:tc>
        <w:tc>
          <w:tcPr>
            <w:tcW w:type="dxa" w:w="3024"/>
          </w:tcPr>
          <w:p>
            <w:pPr>
              <w:jc w:val="center"/>
            </w:pPr>
            <w:r/>
            <w:r>
              <w:rPr>
                <w:b/>
                <w:color w:val="55504A"/>
                <w:sz w:val="18"/>
              </w:rPr>
              <w:t>COO</w:t>
            </w:r>
          </w:p>
        </w:tc>
        <w:tc>
          <w:tcPr>
            <w:tcW w:type="dxa" w:w="3024"/>
          </w:tcPr>
          <w:p>
            <w:pPr>
              <w:jc w:val="center"/>
            </w:pPr>
            <w:r/>
            <w:r>
              <w:rPr>
                <w:b/>
                <w:color w:val="55504A"/>
                <w:sz w:val="18"/>
              </w:rPr>
              <w:t>CTO</w:t>
            </w:r>
          </w:p>
        </w:tc>
      </w:tr>
      <w:tr>
        <w:tc>
          <w:tcPr>
            <w:tcW w:type="dxa" w:w="3024"/>
          </w:tcPr>
          <w:p>
            <w:pPr>
              <w:spacing w:after="40"/>
            </w:pPr>
            <w:r/>
            <w:r>
              <w:rPr>
                <w:sz w:val="20"/>
              </w:rPr>
              <w:t>Growth &amp; demand</w:t>
            </w:r>
          </w:p>
        </w:tc>
        <w:tc>
          <w:tcPr>
            <w:tcW w:type="dxa" w:w="3024"/>
          </w:tcPr>
          <w:p>
            <w:pPr>
              <w:spacing w:after="40"/>
              <w:jc w:val="center"/>
            </w:pPr>
            <w:r/>
            <w:r>
              <w:rPr>
                <w:color w:val="55504A"/>
                <w:sz w:val="20"/>
              </w:rPr>
              <w:t>Service Delivery (e2e)</w:t>
            </w:r>
          </w:p>
        </w:tc>
        <w:tc>
          <w:tcPr>
            <w:tcW w:type="dxa" w:w="3024"/>
          </w:tcPr>
          <w:p>
            <w:pPr>
              <w:spacing w:after="40"/>
              <w:jc w:val="center"/>
            </w:pPr>
            <w:r/>
            <w:r>
              <w:rPr>
                <w:color w:val="55504A"/>
                <w:sz w:val="20"/>
              </w:rPr>
              <w:t>Platform &amp; Engineering</w:t>
            </w:r>
          </w:p>
        </w:tc>
      </w:tr>
      <w:tr>
        <w:tc>
          <w:tcPr>
            <w:tcW w:type="dxa" w:w="3024"/>
          </w:tcPr>
          <w:p>
            <w:pPr>
              <w:spacing w:after="40"/>
            </w:pPr>
            <w:r/>
            <w:r>
              <w:rPr>
                <w:sz w:val="20"/>
              </w:rPr>
              <w:t>Partnerships</w:t>
            </w:r>
          </w:p>
        </w:tc>
        <w:tc>
          <w:tcPr>
            <w:tcW w:type="dxa" w:w="3024"/>
          </w:tcPr>
          <w:p>
            <w:pPr>
              <w:spacing w:after="40"/>
              <w:jc w:val="center"/>
            </w:pPr>
            <w:r/>
            <w:r>
              <w:rPr>
                <w:color w:val="55504A"/>
                <w:sz w:val="20"/>
              </w:rPr>
              <w:t>Marketplace Activation</w:t>
            </w:r>
          </w:p>
        </w:tc>
        <w:tc>
          <w:tcPr>
            <w:tcW w:type="dxa" w:w="3024"/>
          </w:tcPr>
          <w:p>
            <w:pPr>
              <w:spacing w:after="40"/>
              <w:jc w:val="center"/>
            </w:pPr>
            <w:r/>
            <w:r>
              <w:rPr>
                <w:color w:val="55504A"/>
                <w:sz w:val="20"/>
              </w:rPr>
              <w:t>Security &amp; Privacy</w:t>
            </w:r>
          </w:p>
        </w:tc>
      </w:tr>
      <w:tr>
        <w:tc>
          <w:tcPr>
            <w:tcW w:type="dxa" w:w="3024"/>
          </w:tcPr>
          <w:p>
            <w:pPr>
              <w:spacing w:after="40"/>
            </w:pPr>
            <w:r/>
            <w:r>
              <w:rPr>
                <w:sz w:val="20"/>
              </w:rPr>
              <w:t>GTM</w:t>
            </w:r>
          </w:p>
        </w:tc>
        <w:tc>
          <w:tcPr>
            <w:tcW w:type="dxa" w:w="3024"/>
          </w:tcPr>
          <w:p>
            <w:pPr>
              <w:spacing w:after="40"/>
              <w:jc w:val="center"/>
            </w:pPr>
            <w:r/>
            <w:r>
              <w:rPr>
                <w:color w:val="55504A"/>
                <w:sz w:val="20"/>
              </w:rPr>
              <w:t>Customer Support</w:t>
            </w:r>
          </w:p>
        </w:tc>
        <w:tc>
          <w:tcPr>
            <w:tcW w:type="dxa" w:w="3024"/>
          </w:tcPr>
          <w:p>
            <w:pPr>
              <w:spacing w:after="40"/>
              <w:jc w:val="center"/>
            </w:pPr>
            <w:r/>
            <w:r>
              <w:rPr>
                <w:color w:val="55504A"/>
                <w:sz w:val="20"/>
              </w:rPr>
              <w:t>Payment Infrastructure</w:t>
            </w:r>
          </w:p>
        </w:tc>
      </w:tr>
      <w:tr>
        <w:tc>
          <w:tcPr>
            <w:tcW w:type="dxa" w:w="3024"/>
          </w:tcPr>
          <w:p>
            <w:pPr>
              <w:spacing w:after="40"/>
            </w:pPr>
            <w:r/>
            <w:r>
              <w:rPr>
                <w:sz w:val="20"/>
              </w:rPr>
              <w:t>PR &amp; Executive Networking</w:t>
            </w:r>
          </w:p>
        </w:tc>
        <w:tc>
          <w:tcPr>
            <w:tcW w:type="dxa" w:w="3024"/>
          </w:tcPr>
          <w:p>
            <w:pPr>
              <w:spacing w:after="40"/>
              <w:jc w:val="center"/>
            </w:pPr>
            <w:r/>
            <w:r>
              <w:rPr>
                <w:color w:val="55504A"/>
                <w:sz w:val="20"/>
              </w:rPr>
            </w:r>
          </w:p>
        </w:tc>
        <w:tc>
          <w:tcPr>
            <w:tcW w:type="dxa" w:w="3024"/>
          </w:tcPr>
          <w:p>
            <w:pPr>
              <w:spacing w:after="40"/>
              <w:jc w:val="center"/>
            </w:pPr>
            <w:r/>
            <w:r>
              <w:rPr>
                <w:color w:val="55504A"/>
                <w:sz w:val="20"/>
              </w:rPr>
              <w:t>Product &amp; Site Analytics</w:t>
            </w:r>
          </w:p>
        </w:tc>
      </w:tr>
    </w:tbl>
    <w:p/>
    <w:p>
      <w:pPr>
        <w:pStyle w:val="Heading1"/>
      </w:pPr>
      <w:r>
        <w:t>Joint responsibilities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28"/>
          </w:tcPr>
          <w:p>
            <w:r/>
            <w:r>
              <w:rPr>
                <w:b/>
                <w:color w:val="55504A"/>
                <w:sz w:val="18"/>
              </w:rPr>
              <w:t>Domain</w:t>
            </w:r>
          </w:p>
        </w:tc>
        <w:tc>
          <w:tcPr>
            <w:tcW w:type="dxa" w:w="2592"/>
          </w:tcPr>
          <w:p>
            <w:pPr>
              <w:jc w:val="center"/>
            </w:pPr>
            <w:r/>
            <w:r>
              <w:rPr>
                <w:b/>
                <w:color w:val="55504A"/>
                <w:sz w:val="18"/>
              </w:rPr>
              <w:t>CEO</w:t>
            </w:r>
          </w:p>
        </w:tc>
        <w:tc>
          <w:tcPr>
            <w:tcW w:type="dxa" w:w="2592"/>
          </w:tcPr>
          <w:p>
            <w:pPr>
              <w:jc w:val="center"/>
            </w:pPr>
            <w:r/>
            <w:r>
              <w:rPr>
                <w:b/>
                <w:color w:val="55504A"/>
                <w:sz w:val="18"/>
              </w:rPr>
              <w:t>COO</w:t>
            </w:r>
          </w:p>
        </w:tc>
        <w:tc>
          <w:tcPr>
            <w:tcW w:type="dxa" w:w="2592"/>
          </w:tcPr>
          <w:p>
            <w:pPr>
              <w:jc w:val="center"/>
            </w:pPr>
            <w:r/>
            <w:r>
              <w:rPr>
                <w:b/>
                <w:color w:val="55504A"/>
                <w:sz w:val="18"/>
              </w:rPr>
              <w:t>CTO</w:t>
            </w:r>
          </w:p>
        </w:tc>
      </w:tr>
      <w:tr>
        <w:tc>
          <w:tcPr>
            <w:tcW w:type="dxa" w:w="1728"/>
          </w:tcPr>
          <w:p>
            <w:pPr>
              <w:spacing w:after="40"/>
            </w:pPr>
            <w:r/>
            <w:r>
              <w:rPr>
                <w:sz w:val="20"/>
              </w:rPr>
              <w:t>Trust &amp; safety</w:t>
            </w:r>
          </w:p>
        </w:tc>
        <w:tc>
          <w:tcPr>
            <w:tcW w:type="dxa" w:w="2592"/>
          </w:tcPr>
          <w:p>
            <w:pPr>
              <w:spacing w:after="40"/>
              <w:jc w:val="center"/>
            </w:pPr>
            <w:r/>
            <w:r>
              <w:rPr>
                <w:color w:val="55504A"/>
                <w:sz w:val="20"/>
              </w:rPr>
              <w:t>Regulator disclosure, insurance &amp; claims</w:t>
            </w:r>
          </w:p>
        </w:tc>
        <w:tc>
          <w:tcPr>
            <w:tcW w:type="dxa" w:w="2592"/>
          </w:tcPr>
          <w:p>
            <w:pPr>
              <w:spacing w:after="40"/>
              <w:jc w:val="center"/>
            </w:pPr>
            <w:r/>
            <w:r>
              <w:rPr>
                <w:color w:val="55504A"/>
                <w:sz w:val="20"/>
              </w:rPr>
              <w:t>User investigation / suspension</w:t>
            </w:r>
          </w:p>
        </w:tc>
        <w:tc>
          <w:tcPr>
            <w:tcW w:type="dxa" w:w="2592"/>
          </w:tcPr>
          <w:p>
            <w:pPr>
              <w:spacing w:after="40"/>
              <w:jc w:val="center"/>
            </w:pPr>
            <w:r/>
            <w:r>
              <w:rPr>
                <w:color w:val="55504A"/>
                <w:sz w:val="20"/>
              </w:rPr>
              <w:t>Verification vendor &amp; integration</w:t>
            </w:r>
          </w:p>
        </w:tc>
      </w:tr>
      <w:tr>
        <w:tc>
          <w:tcPr>
            <w:tcW w:type="dxa" w:w="1728"/>
          </w:tcPr>
          <w:p>
            <w:pPr>
              <w:spacing w:after="40"/>
            </w:pPr>
            <w:r/>
            <w:r>
              <w:rPr>
                <w:sz w:val="20"/>
              </w:rPr>
              <w:t>Legal</w:t>
            </w:r>
          </w:p>
        </w:tc>
        <w:tc>
          <w:tcPr>
            <w:tcW w:type="dxa" w:w="2592"/>
          </w:tcPr>
          <w:p>
            <w:pPr>
              <w:spacing w:after="40"/>
              <w:jc w:val="center"/>
            </w:pPr>
            <w:r/>
            <w:r>
              <w:rPr>
                <w:color w:val="55504A"/>
                <w:sz w:val="20"/>
              </w:rPr>
              <w:t>Classification, licensing, contracts, terms</w:t>
            </w:r>
          </w:p>
        </w:tc>
        <w:tc>
          <w:tcPr>
            <w:tcW w:type="dxa" w:w="2592"/>
          </w:tcPr>
          <w:p>
            <w:pPr>
              <w:spacing w:after="40"/>
              <w:jc w:val="center"/>
            </w:pPr>
            <w:r/>
            <w:r>
              <w:rPr>
                <w:color w:val="55504A"/>
                <w:sz w:val="20"/>
              </w:rPr>
              <w:t>Customer disputes &amp; claims</w:t>
            </w:r>
          </w:p>
        </w:tc>
        <w:tc>
          <w:tcPr>
            <w:tcW w:type="dxa" w:w="2592"/>
          </w:tcPr>
          <w:p>
            <w:pPr>
              <w:spacing w:after="40"/>
              <w:jc w:val="center"/>
            </w:pPr>
            <w:r/>
            <w:r>
              <w:rPr>
                <w:color w:val="55504A"/>
                <w:sz w:val="20"/>
              </w:rPr>
              <w:t>Privacy posture &amp; breach response</w:t>
            </w:r>
          </w:p>
        </w:tc>
      </w:tr>
      <w:tr>
        <w:tc>
          <w:tcPr>
            <w:tcW w:type="dxa" w:w="1728"/>
          </w:tcPr>
          <w:p>
            <w:pPr>
              <w:spacing w:after="40"/>
            </w:pPr>
            <w:r/>
            <w:r>
              <w:rPr>
                <w:sz w:val="20"/>
              </w:rPr>
              <w:t>Finance</w:t>
            </w:r>
          </w:p>
        </w:tc>
        <w:tc>
          <w:tcPr>
            <w:tcW w:type="dxa" w:w="2592"/>
          </w:tcPr>
          <w:p>
            <w:pPr>
              <w:spacing w:after="40"/>
              <w:jc w:val="center"/>
            </w:pPr>
            <w:r/>
            <w:r>
              <w:rPr>
                <w:color w:val="55504A"/>
                <w:sz w:val="20"/>
              </w:rPr>
              <w:t>Rates, budget, runway</w:t>
            </w:r>
          </w:p>
        </w:tc>
        <w:tc>
          <w:tcPr>
            <w:tcW w:type="dxa" w:w="2592"/>
          </w:tcPr>
          <w:p>
            <w:pPr>
              <w:spacing w:after="40"/>
              <w:jc w:val="center"/>
            </w:pPr>
            <w:r/>
            <w:r>
              <w:rPr>
                <w:color w:val="55504A"/>
                <w:sz w:val="20"/>
              </w:rPr>
              <w:t>Payouts, refunds, chargebacks</w:t>
            </w:r>
          </w:p>
        </w:tc>
        <w:tc>
          <w:tcPr>
            <w:tcW w:type="dxa" w:w="2592"/>
          </w:tcPr>
          <w:p>
            <w:pPr>
              <w:spacing w:after="40"/>
              <w:jc w:val="center"/>
            </w:pPr>
            <w:r/>
            <w:r>
              <w:rPr>
                <w:color w:val="55504A"/>
                <w:sz w:val="20"/>
              </w:rPr>
              <w:t>Governance of SaaS / operational tooling</w:t>
            </w:r>
          </w:p>
        </w:tc>
      </w:tr>
      <w:tr>
        <w:tc>
          <w:tcPr>
            <w:tcW w:type="dxa" w:w="1728"/>
          </w:tcPr>
          <w:p>
            <w:pPr>
              <w:spacing w:after="40"/>
            </w:pPr>
            <w:r/>
            <w:r>
              <w:rPr>
                <w:sz w:val="20"/>
              </w:rPr>
              <w:t>Product</w:t>
            </w:r>
          </w:p>
        </w:tc>
        <w:tc>
          <w:tcPr>
            <w:tcW w:type="dxa" w:w="2592"/>
          </w:tcPr>
          <w:p>
            <w:pPr>
              <w:spacing w:after="40"/>
              <w:jc w:val="center"/>
            </w:pPr>
            <w:r/>
            <w:r>
              <w:rPr>
                <w:color w:val="55504A"/>
                <w:sz w:val="20"/>
              </w:rPr>
              <w:t>Who we serve - SAM / TAM / SOM</w:t>
            </w:r>
          </w:p>
        </w:tc>
        <w:tc>
          <w:tcPr>
            <w:tcW w:type="dxa" w:w="2592"/>
          </w:tcPr>
          <w:p>
            <w:pPr>
              <w:spacing w:after="40"/>
              <w:jc w:val="center"/>
            </w:pPr>
            <w:r/>
            <w:r>
              <w:rPr>
                <w:color w:val="55504A"/>
                <w:sz w:val="20"/>
              </w:rPr>
              <w:t>Service design: what users need in what order</w:t>
            </w:r>
          </w:p>
        </w:tc>
        <w:tc>
          <w:tcPr>
            <w:tcW w:type="dxa" w:w="2592"/>
          </w:tcPr>
          <w:p>
            <w:pPr>
              <w:spacing w:after="40"/>
              <w:jc w:val="center"/>
            </w:pPr>
            <w:r/>
            <w:r>
              <w:rPr>
                <w:color w:val="55504A"/>
                <w:sz w:val="20"/>
              </w:rPr>
              <w:t>Backlog management, feature execution</w:t>
            </w:r>
          </w:p>
        </w:tc>
      </w:tr>
      <w:tr>
        <w:tc>
          <w:tcPr>
            <w:tcW w:type="dxa" w:w="1728"/>
          </w:tcPr>
          <w:p>
            <w:pPr>
              <w:spacing w:after="40"/>
            </w:pPr>
            <w:r/>
            <w:r>
              <w:rPr>
                <w:sz w:val="20"/>
              </w:rPr>
              <w:t>People management</w:t>
            </w:r>
          </w:p>
        </w:tc>
        <w:tc>
          <w:tcPr>
            <w:tcW w:type="dxa" w:w="2592"/>
          </w:tcPr>
          <w:p>
            <w:pPr>
              <w:spacing w:after="40"/>
              <w:jc w:val="center"/>
            </w:pPr>
            <w:r/>
            <w:r>
              <w:rPr>
                <w:color w:val="55504A"/>
                <w:sz w:val="20"/>
              </w:rPr>
              <w:t>Hiring / firing decisions, shared across all three</w:t>
            </w:r>
          </w:p>
        </w:tc>
        <w:tc>
          <w:tcPr>
            <w:tcW w:type="dxa" w:w="2592"/>
          </w:tcPr>
          <w:p>
            <w:pPr>
              <w:spacing w:after="40"/>
              <w:jc w:val="center"/>
            </w:pPr>
            <w:r/>
            <w:r>
              <w:rPr>
                <w:color w:val="55504A"/>
                <w:sz w:val="20"/>
              </w:rPr>
            </w:r>
          </w:p>
        </w:tc>
        <w:tc>
          <w:tcPr>
            <w:tcW w:type="dxa" w:w="2592"/>
          </w:tcPr>
          <w:p>
            <w:pPr>
              <w:spacing w:after="40"/>
              <w:jc w:val="center"/>
            </w:pPr>
            <w:r/>
            <w:r>
              <w:rPr>
                <w:color w:val="55504A"/>
                <w:sz w:val="20"/>
              </w:rPr>
            </w:r>
          </w:p>
        </w:tc>
      </w:tr>
    </w:tbl>
    <w:p/>
    <w:p>
      <w:pPr>
        <w:pStyle w:val="Heading1"/>
      </w:pPr>
      <w:r>
        <w:t>Categories</w:t>
      </w:r>
    </w:p>
    <w:p>
      <w:pPr>
        <w:pStyle w:val="Heading2"/>
      </w:pPr>
      <w:r>
        <w:t>Growth and market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896"/>
          </w:tcPr>
          <w:p>
            <w:r/>
            <w:r>
              <w:rPr>
                <w:b/>
                <w:color w:val="55504A"/>
                <w:sz w:val="18"/>
              </w:rPr>
              <w:t>Category</w:t>
            </w:r>
          </w:p>
        </w:tc>
        <w:tc>
          <w:tcPr>
            <w:tcW w:type="dxa" w:w="1296"/>
          </w:tcPr>
          <w:p>
            <w:pPr>
              <w:jc w:val="center"/>
            </w:pPr>
            <w:r/>
            <w:r>
              <w:rPr>
                <w:b/>
                <w:color w:val="55504A"/>
                <w:sz w:val="18"/>
              </w:rPr>
              <w:t>CEO</w:t>
            </w:r>
          </w:p>
        </w:tc>
        <w:tc>
          <w:tcPr>
            <w:tcW w:type="dxa" w:w="1296"/>
          </w:tcPr>
          <w:p>
            <w:pPr>
              <w:jc w:val="center"/>
            </w:pPr>
            <w:r/>
            <w:r>
              <w:rPr>
                <w:b/>
                <w:color w:val="55504A"/>
                <w:sz w:val="18"/>
              </w:rPr>
              <w:t>COO</w:t>
            </w:r>
          </w:p>
        </w:tc>
        <w:tc>
          <w:tcPr>
            <w:tcW w:type="dxa" w:w="1296"/>
          </w:tcPr>
          <w:p>
            <w:pPr>
              <w:jc w:val="center"/>
            </w:pPr>
            <w:r/>
            <w:r>
              <w:rPr>
                <w:b/>
                <w:color w:val="55504A"/>
                <w:sz w:val="18"/>
              </w:rPr>
              <w:t>CTO</w:t>
            </w:r>
          </w:p>
        </w:tc>
      </w:tr>
      <w:tr>
        <w:tc>
          <w:tcPr>
            <w:tcW w:type="dxa" w:w="4896"/>
          </w:tcPr>
          <w:p>
            <w:pPr>
              <w:spacing w:after="40"/>
            </w:pPr>
            <w:r/>
            <w:r>
              <w:rPr>
                <w:sz w:val="20"/>
              </w:rPr>
              <w:t>Positioning and brand</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I</w:t>
            </w:r>
          </w:p>
        </w:tc>
      </w:tr>
      <w:tr>
        <w:tc>
          <w:tcPr>
            <w:tcW w:type="dxa" w:w="4896"/>
          </w:tcPr>
          <w:p>
            <w:pPr>
              <w:spacing w:after="40"/>
            </w:pPr>
            <w:r/>
            <w:r>
              <w:rPr>
                <w:sz w:val="20"/>
              </w:rPr>
              <w:t>Demand generation and content</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r>
      <w:tr>
        <w:tc>
          <w:tcPr>
            <w:tcW w:type="dxa" w:w="4896"/>
          </w:tcPr>
          <w:p>
            <w:pPr>
              <w:spacing w:after="40"/>
            </w:pPr>
            <w:r/>
            <w:r>
              <w:rPr>
                <w:sz w:val="20"/>
              </w:rPr>
              <w:t>Waitlist to first booking</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R</w:t>
            </w:r>
          </w:p>
        </w:tc>
        <w:tc>
          <w:tcPr>
            <w:tcW w:type="dxa" w:w="1296"/>
          </w:tcPr>
          <w:p>
            <w:pPr>
              <w:spacing w:after="40"/>
              <w:jc w:val="center"/>
            </w:pPr>
            <w:r/>
            <w:r>
              <w:rPr>
                <w:color w:val="55504A"/>
                <w:sz w:val="20"/>
              </w:rPr>
              <w:t>C</w:t>
            </w:r>
          </w:p>
        </w:tc>
      </w:tr>
      <w:tr>
        <w:tc>
          <w:tcPr>
            <w:tcW w:type="dxa" w:w="4896"/>
          </w:tcPr>
          <w:p>
            <w:pPr>
              <w:spacing w:after="40"/>
            </w:pPr>
            <w:r/>
            <w:r>
              <w:rPr>
                <w:sz w:val="20"/>
              </w:rPr>
              <w:t>Market sequencing</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r>
      <w:tr>
        <w:tc>
          <w:tcPr>
            <w:tcW w:type="dxa" w:w="4896"/>
          </w:tcPr>
          <w:p>
            <w:pPr>
              <w:spacing w:after="40"/>
            </w:pPr>
            <w:r/>
            <w:r>
              <w:rPr>
                <w:sz w:val="20"/>
              </w:rPr>
              <w:t>Agency and clinical partnerships</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I</w:t>
            </w:r>
          </w:p>
        </w:tc>
      </w:tr>
      <w:tr>
        <w:tc>
          <w:tcPr>
            <w:tcW w:type="dxa" w:w="4896"/>
          </w:tcPr>
          <w:p>
            <w:pPr>
              <w:spacing w:after="40"/>
            </w:pPr>
            <w:r/>
            <w:r>
              <w:rPr>
                <w:sz w:val="20"/>
              </w:rPr>
              <w:t>PR and executive networking</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I</w:t>
            </w:r>
          </w:p>
        </w:tc>
        <w:tc>
          <w:tcPr>
            <w:tcW w:type="dxa" w:w="1296"/>
          </w:tcPr>
          <w:p>
            <w:pPr>
              <w:spacing w:after="40"/>
              <w:jc w:val="center"/>
            </w:pPr>
            <w:r/>
            <w:r>
              <w:rPr>
                <w:color w:val="55504A"/>
                <w:sz w:val="20"/>
              </w:rPr>
              <w:t>I</w:t>
            </w:r>
          </w:p>
        </w:tc>
      </w:tr>
      <w:tr>
        <w:tc>
          <w:tcPr>
            <w:tcW w:type="dxa" w:w="4896"/>
          </w:tcPr>
          <w:p>
            <w:pPr>
              <w:spacing w:after="40"/>
            </w:pPr>
            <w:r/>
            <w:r>
              <w:rPr>
                <w:sz w:val="20"/>
              </w:rPr>
              <w:t>Capital, board, investor reporting</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I</w:t>
            </w:r>
          </w:p>
        </w:tc>
        <w:tc>
          <w:tcPr>
            <w:tcW w:type="dxa" w:w="1296"/>
          </w:tcPr>
          <w:p>
            <w:pPr>
              <w:spacing w:after="40"/>
              <w:jc w:val="center"/>
            </w:pPr>
            <w:r/>
            <w:r>
              <w:rPr>
                <w:color w:val="55504A"/>
                <w:sz w:val="20"/>
              </w:rPr>
              <w:t>I</w:t>
            </w:r>
          </w:p>
        </w:tc>
      </w:tr>
    </w:tbl>
    <w:p/>
    <w:p>
      <w:pPr>
        <w:pStyle w:val="Heading2"/>
      </w:pPr>
      <w:r>
        <w:t>Service delivery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896"/>
          </w:tcPr>
          <w:p>
            <w:r/>
            <w:r>
              <w:rPr>
                <w:b/>
                <w:color w:val="55504A"/>
                <w:sz w:val="18"/>
              </w:rPr>
              <w:t>Category</w:t>
            </w:r>
          </w:p>
        </w:tc>
        <w:tc>
          <w:tcPr>
            <w:tcW w:type="dxa" w:w="1296"/>
          </w:tcPr>
          <w:p>
            <w:pPr>
              <w:jc w:val="center"/>
            </w:pPr>
            <w:r/>
            <w:r>
              <w:rPr>
                <w:b/>
                <w:color w:val="55504A"/>
                <w:sz w:val="18"/>
              </w:rPr>
              <w:t>CEO</w:t>
            </w:r>
          </w:p>
        </w:tc>
        <w:tc>
          <w:tcPr>
            <w:tcW w:type="dxa" w:w="1296"/>
          </w:tcPr>
          <w:p>
            <w:pPr>
              <w:jc w:val="center"/>
            </w:pPr>
            <w:r/>
            <w:r>
              <w:rPr>
                <w:b/>
                <w:color w:val="55504A"/>
                <w:sz w:val="18"/>
              </w:rPr>
              <w:t>COO</w:t>
            </w:r>
          </w:p>
        </w:tc>
        <w:tc>
          <w:tcPr>
            <w:tcW w:type="dxa" w:w="1296"/>
          </w:tcPr>
          <w:p>
            <w:pPr>
              <w:jc w:val="center"/>
            </w:pPr>
            <w:r/>
            <w:r>
              <w:rPr>
                <w:b/>
                <w:color w:val="55504A"/>
                <w:sz w:val="18"/>
              </w:rPr>
              <w:t>CTO</w:t>
            </w:r>
          </w:p>
        </w:tc>
      </w:tr>
      <w:tr>
        <w:tc>
          <w:tcPr>
            <w:tcW w:type="dxa" w:w="4896"/>
          </w:tcPr>
          <w:p>
            <w:pPr>
              <w:spacing w:after="40"/>
            </w:pPr>
            <w:r/>
            <w:r>
              <w:rPr>
                <w:sz w:val="20"/>
              </w:rPr>
              <w:t>Supply acquisition</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r>
      <w:tr>
        <w:tc>
          <w:tcPr>
            <w:tcW w:type="dxa" w:w="4896"/>
          </w:tcPr>
          <w:p>
            <w:pPr>
              <w:spacing w:after="40"/>
            </w:pPr>
            <w:r/>
            <w:r>
              <w:rPr>
                <w:sz w:val="20"/>
              </w:rPr>
              <w:t>Verification throughput and SLA</w:t>
            </w:r>
          </w:p>
        </w:tc>
        <w:tc>
          <w:tcPr>
            <w:tcW w:type="dxa" w:w="1296"/>
          </w:tcPr>
          <w:p>
            <w:pPr>
              <w:spacing w:after="40"/>
              <w:jc w:val="center"/>
            </w:pPr>
            <w:r/>
            <w:r>
              <w:rPr>
                <w:color w:val="55504A"/>
                <w:sz w:val="20"/>
              </w:rPr>
              <w:t>I</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R</w:t>
            </w:r>
          </w:p>
        </w:tc>
      </w:tr>
      <w:tr>
        <w:tc>
          <w:tcPr>
            <w:tcW w:type="dxa" w:w="4896"/>
          </w:tcPr>
          <w:p>
            <w:pPr>
              <w:spacing w:after="40"/>
            </w:pPr>
            <w:r/>
            <w:r>
              <w:rPr>
                <w:sz w:val="20"/>
              </w:rPr>
              <w:t>Caregiver onboarding and retention</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I</w:t>
            </w:r>
          </w:p>
        </w:tc>
      </w:tr>
      <w:tr>
        <w:tc>
          <w:tcPr>
            <w:tcW w:type="dxa" w:w="4896"/>
          </w:tcPr>
          <w:p>
            <w:pPr>
              <w:spacing w:after="40"/>
            </w:pPr>
            <w:r/>
            <w:r>
              <w:rPr>
                <w:sz w:val="20"/>
              </w:rPr>
              <w:t>Matching and the unmatched queue</w:t>
            </w:r>
          </w:p>
        </w:tc>
        <w:tc>
          <w:tcPr>
            <w:tcW w:type="dxa" w:w="1296"/>
          </w:tcPr>
          <w:p>
            <w:pPr>
              <w:spacing w:after="40"/>
              <w:jc w:val="center"/>
            </w:pPr>
            <w:r/>
            <w:r>
              <w:rPr>
                <w:color w:val="55504A"/>
                <w:sz w:val="20"/>
              </w:rPr>
              <w:t>I</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r>
      <w:tr>
        <w:tc>
          <w:tcPr>
            <w:tcW w:type="dxa" w:w="4896"/>
          </w:tcPr>
          <w:p>
            <w:pPr>
              <w:spacing w:after="40"/>
            </w:pPr>
            <w:r/>
            <w:r>
              <w:rPr>
                <w:sz w:val="20"/>
              </w:rPr>
              <w:t>Visit quality and ratings follow-up</w:t>
            </w:r>
          </w:p>
        </w:tc>
        <w:tc>
          <w:tcPr>
            <w:tcW w:type="dxa" w:w="1296"/>
          </w:tcPr>
          <w:p>
            <w:pPr>
              <w:spacing w:after="40"/>
              <w:jc w:val="center"/>
            </w:pPr>
            <w:r/>
            <w:r>
              <w:rPr>
                <w:color w:val="55504A"/>
                <w:sz w:val="20"/>
              </w:rPr>
              <w:t>I</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I</w:t>
            </w:r>
          </w:p>
        </w:tc>
      </w:tr>
      <w:tr>
        <w:tc>
          <w:tcPr>
            <w:tcW w:type="dxa" w:w="4896"/>
          </w:tcPr>
          <w:p>
            <w:pPr>
              <w:spacing w:after="40"/>
            </w:pPr>
            <w:r/>
            <w:r>
              <w:rPr>
                <w:sz w:val="20"/>
              </w:rPr>
              <w:t>Support operations and reply SLA</w:t>
            </w:r>
          </w:p>
        </w:tc>
        <w:tc>
          <w:tcPr>
            <w:tcW w:type="dxa" w:w="1296"/>
          </w:tcPr>
          <w:p>
            <w:pPr>
              <w:spacing w:after="40"/>
              <w:jc w:val="center"/>
            </w:pPr>
            <w:r/>
            <w:r>
              <w:rPr>
                <w:color w:val="55504A"/>
                <w:sz w:val="20"/>
              </w:rPr>
              <w:t>I</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r>
      <w:tr>
        <w:tc>
          <w:tcPr>
            <w:tcW w:type="dxa" w:w="4896"/>
          </w:tcPr>
          <w:p>
            <w:pPr>
              <w:spacing w:after="40"/>
            </w:pPr>
            <w:r/>
            <w:r>
              <w:rPr>
                <w:sz w:val="20"/>
              </w:rPr>
              <w:t>Senior and family success</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r>
    </w:tbl>
    <w:p/>
    <w:p>
      <w:pPr>
        <w:pStyle w:val="Heading2"/>
      </w:pPr>
      <w:r>
        <w:t>Platform</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896"/>
          </w:tcPr>
          <w:p>
            <w:r/>
            <w:r>
              <w:rPr>
                <w:b/>
                <w:color w:val="55504A"/>
                <w:sz w:val="18"/>
              </w:rPr>
              <w:t>Category</w:t>
            </w:r>
          </w:p>
        </w:tc>
        <w:tc>
          <w:tcPr>
            <w:tcW w:type="dxa" w:w="1296"/>
          </w:tcPr>
          <w:p>
            <w:pPr>
              <w:jc w:val="center"/>
            </w:pPr>
            <w:r/>
            <w:r>
              <w:rPr>
                <w:b/>
                <w:color w:val="55504A"/>
                <w:sz w:val="18"/>
              </w:rPr>
              <w:t>CEO</w:t>
            </w:r>
          </w:p>
        </w:tc>
        <w:tc>
          <w:tcPr>
            <w:tcW w:type="dxa" w:w="1296"/>
          </w:tcPr>
          <w:p>
            <w:pPr>
              <w:jc w:val="center"/>
            </w:pPr>
            <w:r/>
            <w:r>
              <w:rPr>
                <w:b/>
                <w:color w:val="55504A"/>
                <w:sz w:val="18"/>
              </w:rPr>
              <w:t>COO</w:t>
            </w:r>
          </w:p>
        </w:tc>
        <w:tc>
          <w:tcPr>
            <w:tcW w:type="dxa" w:w="1296"/>
          </w:tcPr>
          <w:p>
            <w:pPr>
              <w:jc w:val="center"/>
            </w:pPr>
            <w:r/>
            <w:r>
              <w:rPr>
                <w:b/>
                <w:color w:val="55504A"/>
                <w:sz w:val="18"/>
              </w:rPr>
              <w:t>CTO</w:t>
            </w:r>
          </w:p>
        </w:tc>
      </w:tr>
      <w:tr>
        <w:tc>
          <w:tcPr>
            <w:tcW w:type="dxa" w:w="4896"/>
          </w:tcPr>
          <w:p>
            <w:pPr>
              <w:spacing w:after="40"/>
            </w:pPr>
            <w:r/>
            <w:r>
              <w:rPr>
                <w:sz w:val="20"/>
              </w:rPr>
              <w:t>Architecture and engineering delivery</w:t>
            </w:r>
          </w:p>
        </w:tc>
        <w:tc>
          <w:tcPr>
            <w:tcW w:type="dxa" w:w="1296"/>
          </w:tcPr>
          <w:p>
            <w:pPr>
              <w:spacing w:after="40"/>
              <w:jc w:val="center"/>
            </w:pPr>
            <w:r/>
            <w:r>
              <w:rPr>
                <w:color w:val="55504A"/>
                <w:sz w:val="20"/>
              </w:rPr>
              <w:t>I</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r>
      <w:tr>
        <w:tc>
          <w:tcPr>
            <w:tcW w:type="dxa" w:w="4896"/>
          </w:tcPr>
          <w:p>
            <w:pPr>
              <w:spacing w:after="40"/>
            </w:pPr>
            <w:r/>
            <w:r>
              <w:rPr>
                <w:sz w:val="20"/>
              </w:rPr>
              <w:t>Reliability and platform on-call</w:t>
            </w:r>
          </w:p>
        </w:tc>
        <w:tc>
          <w:tcPr>
            <w:tcW w:type="dxa" w:w="1296"/>
          </w:tcPr>
          <w:p>
            <w:pPr>
              <w:spacing w:after="40"/>
              <w:jc w:val="center"/>
            </w:pPr>
            <w:r/>
            <w:r>
              <w:rPr>
                <w:color w:val="55504A"/>
                <w:sz w:val="20"/>
              </w:rPr>
              <w:t>I</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r>
      <w:tr>
        <w:tc>
          <w:tcPr>
            <w:tcW w:type="dxa" w:w="4896"/>
          </w:tcPr>
          <w:p>
            <w:pPr>
              <w:spacing w:after="40"/>
            </w:pPr>
            <w:r/>
            <w:r>
              <w:rPr>
                <w:sz w:val="20"/>
              </w:rPr>
              <w:t>Security and access control</w:t>
            </w:r>
          </w:p>
        </w:tc>
        <w:tc>
          <w:tcPr>
            <w:tcW w:type="dxa" w:w="1296"/>
          </w:tcPr>
          <w:p>
            <w:pPr>
              <w:spacing w:after="40"/>
              <w:jc w:val="center"/>
            </w:pPr>
            <w:r/>
            <w:r>
              <w:rPr>
                <w:color w:val="55504A"/>
                <w:sz w:val="20"/>
              </w:rPr>
              <w:t>I</w:t>
            </w:r>
          </w:p>
        </w:tc>
        <w:tc>
          <w:tcPr>
            <w:tcW w:type="dxa" w:w="1296"/>
          </w:tcPr>
          <w:p>
            <w:pPr>
              <w:spacing w:after="40"/>
              <w:jc w:val="center"/>
            </w:pPr>
            <w:r/>
            <w:r>
              <w:rPr>
                <w:color w:val="55504A"/>
                <w:sz w:val="20"/>
              </w:rPr>
              <w:t>I</w:t>
            </w:r>
          </w:p>
        </w:tc>
        <w:tc>
          <w:tcPr>
            <w:tcW w:type="dxa" w:w="1296"/>
          </w:tcPr>
          <w:p>
            <w:pPr>
              <w:spacing w:after="40"/>
              <w:jc w:val="center"/>
            </w:pPr>
            <w:r/>
            <w:r>
              <w:rPr>
                <w:b/>
                <w:color w:val="2F5D50"/>
                <w:sz w:val="20"/>
              </w:rPr>
              <w:t>A</w:t>
            </w:r>
          </w:p>
        </w:tc>
      </w:tr>
      <w:tr>
        <w:tc>
          <w:tcPr>
            <w:tcW w:type="dxa" w:w="4896"/>
          </w:tcPr>
          <w:p>
            <w:pPr>
              <w:spacing w:after="40"/>
            </w:pPr>
            <w:r/>
            <w:r>
              <w:rPr>
                <w:sz w:val="20"/>
              </w:rPr>
              <w:t>Payment systems and payout rails</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r>
      <w:tr>
        <w:tc>
          <w:tcPr>
            <w:tcW w:type="dxa" w:w="4896"/>
          </w:tcPr>
          <w:p>
            <w:pPr>
              <w:spacing w:after="40"/>
            </w:pPr>
            <w:r/>
            <w:r>
              <w:rPr>
                <w:sz w:val="20"/>
              </w:rPr>
              <w:t>Data, analytics, exec reporting</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r>
      <w:tr>
        <w:tc>
          <w:tcPr>
            <w:tcW w:type="dxa" w:w="4896"/>
          </w:tcPr>
          <w:p>
            <w:pPr>
              <w:spacing w:after="40"/>
            </w:pPr>
            <w:r/>
            <w:r>
              <w:rPr>
                <w:sz w:val="20"/>
              </w:rPr>
              <w:t>Accessibility as a build gate</w:t>
            </w:r>
          </w:p>
        </w:tc>
        <w:tc>
          <w:tcPr>
            <w:tcW w:type="dxa" w:w="1296"/>
          </w:tcPr>
          <w:p>
            <w:pPr>
              <w:spacing w:after="40"/>
              <w:jc w:val="center"/>
            </w:pPr>
            <w:r/>
            <w:r>
              <w:rPr>
                <w:color w:val="55504A"/>
                <w:sz w:val="20"/>
              </w:rPr>
              <w:t>I</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r>
    </w:tbl>
    <w:p/>
    <w:p>
      <w:pPr>
        <w:pStyle w:val="Heading2"/>
      </w:pPr>
      <w:r>
        <w:t>Trust and safety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896"/>
          </w:tcPr>
          <w:p>
            <w:r/>
            <w:r>
              <w:rPr>
                <w:b/>
                <w:color w:val="55504A"/>
                <w:sz w:val="18"/>
              </w:rPr>
              <w:t>Category</w:t>
            </w:r>
          </w:p>
        </w:tc>
        <w:tc>
          <w:tcPr>
            <w:tcW w:type="dxa" w:w="1296"/>
          </w:tcPr>
          <w:p>
            <w:pPr>
              <w:jc w:val="center"/>
            </w:pPr>
            <w:r/>
            <w:r>
              <w:rPr>
                <w:b/>
                <w:color w:val="55504A"/>
                <w:sz w:val="18"/>
              </w:rPr>
              <w:t>CEO</w:t>
            </w:r>
          </w:p>
        </w:tc>
        <w:tc>
          <w:tcPr>
            <w:tcW w:type="dxa" w:w="1296"/>
          </w:tcPr>
          <w:p>
            <w:pPr>
              <w:jc w:val="center"/>
            </w:pPr>
            <w:r/>
            <w:r>
              <w:rPr>
                <w:b/>
                <w:color w:val="55504A"/>
                <w:sz w:val="18"/>
              </w:rPr>
              <w:t>COO</w:t>
            </w:r>
          </w:p>
        </w:tc>
        <w:tc>
          <w:tcPr>
            <w:tcW w:type="dxa" w:w="1296"/>
          </w:tcPr>
          <w:p>
            <w:pPr>
              <w:jc w:val="center"/>
            </w:pPr>
            <w:r/>
            <w:r>
              <w:rPr>
                <w:b/>
                <w:color w:val="55504A"/>
                <w:sz w:val="18"/>
              </w:rPr>
              <w:t>CTO</w:t>
            </w:r>
          </w:p>
        </w:tc>
      </w:tr>
      <w:tr>
        <w:tc>
          <w:tcPr>
            <w:tcW w:type="dxa" w:w="4896"/>
          </w:tcPr>
          <w:p>
            <w:pPr>
              <w:spacing w:after="40"/>
            </w:pPr>
            <w:r/>
            <w:r>
              <w:rPr>
                <w:sz w:val="20"/>
              </w:rPr>
              <w:t>Incident intake and investigation</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r>
      <w:tr>
        <w:tc>
          <w:tcPr>
            <w:tcW w:type="dxa" w:w="4896"/>
          </w:tcPr>
          <w:p>
            <w:pPr>
              <w:spacing w:after="40"/>
            </w:pPr>
            <w:r/>
            <w:r>
              <w:rPr>
                <w:sz w:val="20"/>
              </w:rPr>
              <w:t>Caregiver suspension and removal</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I</w:t>
            </w:r>
          </w:p>
        </w:tc>
      </w:tr>
      <w:tr>
        <w:tc>
          <w:tcPr>
            <w:tcW w:type="dxa" w:w="4896"/>
          </w:tcPr>
          <w:p>
            <w:pPr>
              <w:spacing w:after="40"/>
            </w:pPr>
            <w:r/>
            <w:r>
              <w:rPr>
                <w:sz w:val="20"/>
              </w:rPr>
              <w:t>Disqualification policy</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r>
      <w:tr>
        <w:tc>
          <w:tcPr>
            <w:tcW w:type="dxa" w:w="4896"/>
          </w:tcPr>
          <w:p>
            <w:pPr>
              <w:spacing w:after="40"/>
            </w:pPr>
            <w:r/>
            <w:r>
              <w:rPr>
                <w:sz w:val="20"/>
              </w:rPr>
              <w:t>Scope-of-practice boundaries</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I</w:t>
            </w:r>
          </w:p>
        </w:tc>
      </w:tr>
      <w:tr>
        <w:tc>
          <w:tcPr>
            <w:tcW w:type="dxa" w:w="4896"/>
          </w:tcPr>
          <w:p>
            <w:pPr>
              <w:spacing w:after="40"/>
            </w:pPr>
            <w:r/>
            <w:r>
              <w:rPr>
                <w:sz w:val="20"/>
              </w:rPr>
              <w:t>Verification vendor selection</w:t>
            </w:r>
          </w:p>
        </w:tc>
        <w:tc>
          <w:tcPr>
            <w:tcW w:type="dxa" w:w="1296"/>
          </w:tcPr>
          <w:p>
            <w:pPr>
              <w:spacing w:after="40"/>
              <w:jc w:val="center"/>
            </w:pPr>
            <w:r/>
            <w:r>
              <w:rPr>
                <w:color w:val="55504A"/>
                <w:sz w:val="20"/>
              </w:rPr>
              <w:t>I</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r>
      <w:tr>
        <w:tc>
          <w:tcPr>
            <w:tcW w:type="dxa" w:w="4896"/>
          </w:tcPr>
          <w:p>
            <w:pPr>
              <w:spacing w:after="40"/>
            </w:pPr>
            <w:r/>
            <w:r>
              <w:rPr>
                <w:sz w:val="20"/>
              </w:rPr>
              <w:t>Regulator notification</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R</w:t>
            </w:r>
          </w:p>
        </w:tc>
        <w:tc>
          <w:tcPr>
            <w:tcW w:type="dxa" w:w="1296"/>
          </w:tcPr>
          <w:p>
            <w:pPr>
              <w:spacing w:after="40"/>
              <w:jc w:val="center"/>
            </w:pPr>
            <w:r/>
            <w:r>
              <w:rPr>
                <w:color w:val="55504A"/>
                <w:sz w:val="20"/>
              </w:rPr>
              <w:t>I</w:t>
            </w:r>
          </w:p>
        </w:tc>
      </w:tr>
      <w:tr>
        <w:tc>
          <w:tcPr>
            <w:tcW w:type="dxa" w:w="4896"/>
          </w:tcPr>
          <w:p>
            <w:pPr>
              <w:spacing w:after="40"/>
            </w:pPr>
            <w:r/>
            <w:r>
              <w:rPr>
                <w:sz w:val="20"/>
              </w:rPr>
              <w:t>Insurance program and claims</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R</w:t>
            </w:r>
          </w:p>
        </w:tc>
        <w:tc>
          <w:tcPr>
            <w:tcW w:type="dxa" w:w="1296"/>
          </w:tcPr>
          <w:p>
            <w:pPr>
              <w:spacing w:after="40"/>
              <w:jc w:val="center"/>
            </w:pPr>
            <w:r/>
            <w:r>
              <w:rPr>
                <w:color w:val="55504A"/>
                <w:sz w:val="20"/>
              </w:rPr>
              <w:t>I</w:t>
            </w:r>
          </w:p>
        </w:tc>
      </w:tr>
    </w:tbl>
    <w:p/>
    <w:p>
      <w:pPr>
        <w:pStyle w:val="Heading2"/>
      </w:pPr>
      <w:r>
        <w:t>Legal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896"/>
          </w:tcPr>
          <w:p>
            <w:r/>
            <w:r>
              <w:rPr>
                <w:b/>
                <w:color w:val="55504A"/>
                <w:sz w:val="18"/>
              </w:rPr>
              <w:t>Matter</w:t>
            </w:r>
          </w:p>
        </w:tc>
        <w:tc>
          <w:tcPr>
            <w:tcW w:type="dxa" w:w="1296"/>
          </w:tcPr>
          <w:p>
            <w:pPr>
              <w:jc w:val="center"/>
            </w:pPr>
            <w:r/>
            <w:r>
              <w:rPr>
                <w:b/>
                <w:color w:val="55504A"/>
                <w:sz w:val="18"/>
              </w:rPr>
              <w:t>CEO</w:t>
            </w:r>
          </w:p>
        </w:tc>
        <w:tc>
          <w:tcPr>
            <w:tcW w:type="dxa" w:w="1296"/>
          </w:tcPr>
          <w:p>
            <w:pPr>
              <w:jc w:val="center"/>
            </w:pPr>
            <w:r/>
            <w:r>
              <w:rPr>
                <w:b/>
                <w:color w:val="55504A"/>
                <w:sz w:val="18"/>
              </w:rPr>
              <w:t>COO</w:t>
            </w:r>
          </w:p>
        </w:tc>
        <w:tc>
          <w:tcPr>
            <w:tcW w:type="dxa" w:w="1296"/>
          </w:tcPr>
          <w:p>
            <w:pPr>
              <w:jc w:val="center"/>
            </w:pPr>
            <w:r/>
            <w:r>
              <w:rPr>
                <w:b/>
                <w:color w:val="55504A"/>
                <w:sz w:val="18"/>
              </w:rPr>
              <w:t>CTO</w:t>
            </w:r>
          </w:p>
        </w:tc>
      </w:tr>
      <w:tr>
        <w:tc>
          <w:tcPr>
            <w:tcW w:type="dxa" w:w="4896"/>
          </w:tcPr>
          <w:p>
            <w:pPr>
              <w:spacing w:after="40"/>
            </w:pPr>
            <w:r/>
            <w:r>
              <w:rPr>
                <w:sz w:val="20"/>
              </w:rPr>
              <w:t>Worker classification, 1099 vs W-2</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R</w:t>
            </w:r>
          </w:p>
        </w:tc>
        <w:tc>
          <w:tcPr>
            <w:tcW w:type="dxa" w:w="1296"/>
          </w:tcPr>
          <w:p>
            <w:pPr>
              <w:spacing w:after="40"/>
              <w:jc w:val="center"/>
            </w:pPr>
            <w:r/>
            <w:r>
              <w:rPr>
                <w:color w:val="55504A"/>
                <w:sz w:val="20"/>
              </w:rPr>
              <w:t>C</w:t>
            </w:r>
          </w:p>
        </w:tc>
      </w:tr>
      <w:tr>
        <w:tc>
          <w:tcPr>
            <w:tcW w:type="dxa" w:w="4896"/>
          </w:tcPr>
          <w:p>
            <w:pPr>
              <w:spacing w:after="40"/>
            </w:pPr>
            <w:r/>
            <w:r>
              <w:rPr>
                <w:sz w:val="20"/>
              </w:rPr>
              <w:t>State licensing readiness</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R</w:t>
            </w:r>
          </w:p>
        </w:tc>
        <w:tc>
          <w:tcPr>
            <w:tcW w:type="dxa" w:w="1296"/>
          </w:tcPr>
          <w:p>
            <w:pPr>
              <w:spacing w:after="40"/>
              <w:jc w:val="center"/>
            </w:pPr>
            <w:r/>
            <w:r>
              <w:rPr>
                <w:color w:val="55504A"/>
                <w:sz w:val="20"/>
              </w:rPr>
              <w:t>I</w:t>
            </w:r>
          </w:p>
        </w:tc>
      </w:tr>
      <w:tr>
        <w:tc>
          <w:tcPr>
            <w:tcW w:type="dxa" w:w="4896"/>
          </w:tcPr>
          <w:p>
            <w:pPr>
              <w:spacing w:after="40"/>
            </w:pPr>
            <w:r/>
            <w:r>
              <w:rPr>
                <w:sz w:val="20"/>
              </w:rPr>
              <w:t>Terms, privacy policy, provider agreement</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r>
      <w:tr>
        <w:tc>
          <w:tcPr>
            <w:tcW w:type="dxa" w:w="4896"/>
          </w:tcPr>
          <w:p>
            <w:pPr>
              <w:spacing w:after="40"/>
            </w:pPr>
            <w:r/>
            <w:r>
              <w:rPr>
                <w:sz w:val="20"/>
              </w:rPr>
              <w:t>Regulatory change monitoring</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R</w:t>
            </w:r>
          </w:p>
        </w:tc>
        <w:tc>
          <w:tcPr>
            <w:tcW w:type="dxa" w:w="1296"/>
          </w:tcPr>
          <w:p>
            <w:pPr>
              <w:spacing w:after="40"/>
              <w:jc w:val="center"/>
            </w:pPr>
            <w:r/>
            <w:r>
              <w:rPr>
                <w:color w:val="55504A"/>
                <w:sz w:val="20"/>
              </w:rPr>
              <w:t>I</w:t>
            </w:r>
          </w:p>
        </w:tc>
      </w:tr>
      <w:tr>
        <w:tc>
          <w:tcPr>
            <w:tcW w:type="dxa" w:w="4896"/>
          </w:tcPr>
          <w:p>
            <w:pPr>
              <w:spacing w:after="40"/>
            </w:pPr>
            <w:r/>
            <w:r>
              <w:rPr>
                <w:sz w:val="20"/>
              </w:rPr>
              <w:t>Partner and vendor contracts</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r>
      <w:tr>
        <w:tc>
          <w:tcPr>
            <w:tcW w:type="dxa" w:w="4896"/>
          </w:tcPr>
          <w:p>
            <w:pPr>
              <w:spacing w:after="40"/>
            </w:pPr>
            <w:r/>
            <w:r>
              <w:rPr>
                <w:sz w:val="20"/>
              </w:rPr>
              <w:t>Data privacy and breach response</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r>
      <w:tr>
        <w:tc>
          <w:tcPr>
            <w:tcW w:type="dxa" w:w="4896"/>
          </w:tcPr>
          <w:p>
            <w:pPr>
              <w:spacing w:after="40"/>
            </w:pPr>
            <w:r/>
            <w:r>
              <w:rPr>
                <w:sz w:val="20"/>
              </w:rPr>
              <w:t>Customer disputes and claims</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I</w:t>
            </w:r>
          </w:p>
        </w:tc>
      </w:tr>
    </w:tbl>
    <w:p/>
    <w:p>
      <w:pPr>
        <w:pStyle w:val="Heading2"/>
      </w:pPr>
      <w:r>
        <w:t>Finance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896"/>
          </w:tcPr>
          <w:p>
            <w:r/>
            <w:r>
              <w:rPr>
                <w:b/>
                <w:color w:val="55504A"/>
                <w:sz w:val="18"/>
              </w:rPr>
              <w:t>Matter</w:t>
            </w:r>
          </w:p>
        </w:tc>
        <w:tc>
          <w:tcPr>
            <w:tcW w:type="dxa" w:w="1296"/>
          </w:tcPr>
          <w:p>
            <w:pPr>
              <w:jc w:val="center"/>
            </w:pPr>
            <w:r/>
            <w:r>
              <w:rPr>
                <w:b/>
                <w:color w:val="55504A"/>
                <w:sz w:val="18"/>
              </w:rPr>
              <w:t>CEO</w:t>
            </w:r>
          </w:p>
        </w:tc>
        <w:tc>
          <w:tcPr>
            <w:tcW w:type="dxa" w:w="1296"/>
          </w:tcPr>
          <w:p>
            <w:pPr>
              <w:jc w:val="center"/>
            </w:pPr>
            <w:r/>
            <w:r>
              <w:rPr>
                <w:b/>
                <w:color w:val="55504A"/>
                <w:sz w:val="18"/>
              </w:rPr>
              <w:t>COO</w:t>
            </w:r>
          </w:p>
        </w:tc>
        <w:tc>
          <w:tcPr>
            <w:tcW w:type="dxa" w:w="1296"/>
          </w:tcPr>
          <w:p>
            <w:pPr>
              <w:jc w:val="center"/>
            </w:pPr>
            <w:r/>
            <w:r>
              <w:rPr>
                <w:b/>
                <w:color w:val="55504A"/>
                <w:sz w:val="18"/>
              </w:rPr>
              <w:t>CTO</w:t>
            </w:r>
          </w:p>
        </w:tc>
      </w:tr>
      <w:tr>
        <w:tc>
          <w:tcPr>
            <w:tcW w:type="dxa" w:w="4896"/>
          </w:tcPr>
          <w:p>
            <w:pPr>
              <w:spacing w:after="40"/>
            </w:pPr>
            <w:r/>
            <w:r>
              <w:rPr>
                <w:sz w:val="20"/>
              </w:rPr>
              <w:t>Unit economics and take rate</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r>
      <w:tr>
        <w:tc>
          <w:tcPr>
            <w:tcW w:type="dxa" w:w="4896"/>
          </w:tcPr>
          <w:p>
            <w:pPr>
              <w:spacing w:after="40"/>
            </w:pPr>
            <w:r/>
            <w:r>
              <w:rPr>
                <w:sz w:val="20"/>
              </w:rPr>
              <w:t>Budget, runway, financial close</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r>
      <w:tr>
        <w:tc>
          <w:tcPr>
            <w:tcW w:type="dxa" w:w="4896"/>
          </w:tcPr>
          <w:p>
            <w:pPr>
              <w:spacing w:after="40"/>
            </w:pPr>
            <w:r/>
            <w:r>
              <w:rPr>
                <w:sz w:val="20"/>
              </w:rPr>
              <w:t>Rate bands and fee percentage</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R</w:t>
            </w:r>
          </w:p>
        </w:tc>
      </w:tr>
      <w:tr>
        <w:tc>
          <w:tcPr>
            <w:tcW w:type="dxa" w:w="4896"/>
          </w:tcPr>
          <w:p>
            <w:pPr>
              <w:spacing w:after="40"/>
            </w:pPr>
            <w:r/>
            <w:r>
              <w:rPr>
                <w:sz w:val="20"/>
              </w:rPr>
              <w:t>Caregiver payout operations</w:t>
            </w:r>
          </w:p>
        </w:tc>
        <w:tc>
          <w:tcPr>
            <w:tcW w:type="dxa" w:w="1296"/>
          </w:tcPr>
          <w:p>
            <w:pPr>
              <w:spacing w:after="40"/>
              <w:jc w:val="center"/>
            </w:pPr>
            <w:r/>
            <w:r>
              <w:rPr>
                <w:color w:val="55504A"/>
                <w:sz w:val="20"/>
              </w:rPr>
              <w:t>I</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R</w:t>
            </w:r>
          </w:p>
        </w:tc>
      </w:tr>
      <w:tr>
        <w:tc>
          <w:tcPr>
            <w:tcW w:type="dxa" w:w="4896"/>
          </w:tcPr>
          <w:p>
            <w:pPr>
              <w:spacing w:after="40"/>
            </w:pPr>
            <w:r/>
            <w:r>
              <w:rPr>
                <w:sz w:val="20"/>
              </w:rPr>
              <w:t>Refunds, chargebacks, write-offs</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R</w:t>
            </w:r>
          </w:p>
        </w:tc>
      </w:tr>
      <w:tr>
        <w:tc>
          <w:tcPr>
            <w:tcW w:type="dxa" w:w="4896"/>
          </w:tcPr>
          <w:p>
            <w:pPr>
              <w:spacing w:after="40"/>
            </w:pPr>
            <w:r/>
            <w:r>
              <w:rPr>
                <w:sz w:val="20"/>
              </w:rPr>
              <w:t>Governance of SaaS and operational tooling</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r>
    </w:tbl>
    <w:p/>
    <w:p>
      <w:pPr>
        <w:pStyle w:val="Heading2"/>
      </w:pPr>
      <w:r>
        <w:t>People management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896"/>
          </w:tcPr>
          <w:p>
            <w:r/>
            <w:r>
              <w:rPr>
                <w:b/>
                <w:color w:val="55504A"/>
                <w:sz w:val="18"/>
              </w:rPr>
              <w:t>Matter</w:t>
            </w:r>
          </w:p>
        </w:tc>
        <w:tc>
          <w:tcPr>
            <w:tcW w:type="dxa" w:w="1296"/>
          </w:tcPr>
          <w:p>
            <w:pPr>
              <w:jc w:val="center"/>
            </w:pPr>
            <w:r/>
            <w:r>
              <w:rPr>
                <w:b/>
                <w:color w:val="55504A"/>
                <w:sz w:val="18"/>
              </w:rPr>
              <w:t>CEO</w:t>
            </w:r>
          </w:p>
        </w:tc>
        <w:tc>
          <w:tcPr>
            <w:tcW w:type="dxa" w:w="1296"/>
          </w:tcPr>
          <w:p>
            <w:pPr>
              <w:jc w:val="center"/>
            </w:pPr>
            <w:r/>
            <w:r>
              <w:rPr>
                <w:b/>
                <w:color w:val="55504A"/>
                <w:sz w:val="18"/>
              </w:rPr>
              <w:t>COO</w:t>
            </w:r>
          </w:p>
        </w:tc>
        <w:tc>
          <w:tcPr>
            <w:tcW w:type="dxa" w:w="1296"/>
          </w:tcPr>
          <w:p>
            <w:pPr>
              <w:jc w:val="center"/>
            </w:pPr>
            <w:r/>
            <w:r>
              <w:rPr>
                <w:b/>
                <w:color w:val="55504A"/>
                <w:sz w:val="18"/>
              </w:rPr>
              <w:t>CTO</w:t>
            </w:r>
          </w:p>
        </w:tc>
      </w:tr>
      <w:tr>
        <w:tc>
          <w:tcPr>
            <w:tcW w:type="dxa" w:w="4896"/>
          </w:tcPr>
          <w:p>
            <w:pPr>
              <w:spacing w:after="40"/>
            </w:pPr>
            <w:r/>
            <w:r>
              <w:rPr>
                <w:sz w:val="20"/>
              </w:rPr>
              <w:t>Hiring and firing decisions</w:t>
            </w:r>
          </w:p>
        </w:tc>
        <w:tc>
          <w:tcPr>
            <w:tcW w:type="dxa" w:w="1296"/>
          </w:tcPr>
          <w:p>
            <w:pPr>
              <w:spacing w:after="40"/>
              <w:jc w:val="center"/>
            </w:pPr>
            <w:r/>
            <w:r>
              <w:rPr>
                <w:b/>
                <w:color w:val="2F5D50"/>
                <w:sz w:val="20"/>
              </w:rPr>
              <w:t>A</w:t>
            </w:r>
          </w:p>
        </w:tc>
        <w:tc>
          <w:tcPr>
            <w:tcW w:type="dxa" w:w="1296"/>
          </w:tcPr>
          <w:p>
            <w:pPr>
              <w:spacing w:after="40"/>
              <w:jc w:val="center"/>
            </w:pPr>
            <w:r/>
            <w:r>
              <w:rPr>
                <w:b/>
                <w:color w:val="2F5D50"/>
                <w:sz w:val="20"/>
              </w:rPr>
              <w:t>A</w:t>
            </w:r>
          </w:p>
        </w:tc>
        <w:tc>
          <w:tcPr>
            <w:tcW w:type="dxa" w:w="1296"/>
          </w:tcPr>
          <w:p>
            <w:pPr>
              <w:spacing w:after="40"/>
              <w:jc w:val="center"/>
            </w:pPr>
            <w:r/>
            <w:r>
              <w:rPr>
                <w:b/>
                <w:color w:val="2F5D50"/>
                <w:sz w:val="20"/>
              </w:rPr>
              <w:t>A</w:t>
            </w:r>
          </w:p>
        </w:tc>
      </w:tr>
      <w:tr>
        <w:tc>
          <w:tcPr>
            <w:tcW w:type="dxa" w:w="4896"/>
          </w:tcPr>
          <w:p>
            <w:pPr>
              <w:spacing w:after="40"/>
            </w:pPr>
            <w:r/>
            <w:r>
              <w:rPr>
                <w:sz w:val="20"/>
              </w:rPr>
              <w:t>Role definition and headcount plan</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r>
    </w:tbl>
    <w:p/>
    <w:p>
      <w:pPr>
        <w:pStyle w:val="Heading2"/>
      </w:pPr>
      <w:r>
        <w:t>Product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896"/>
          </w:tcPr>
          <w:p>
            <w:r/>
            <w:r>
              <w:rPr>
                <w:b/>
                <w:color w:val="55504A"/>
                <w:sz w:val="18"/>
              </w:rPr>
              <w:t>Layer</w:t>
            </w:r>
          </w:p>
        </w:tc>
        <w:tc>
          <w:tcPr>
            <w:tcW w:type="dxa" w:w="1296"/>
          </w:tcPr>
          <w:p>
            <w:pPr>
              <w:jc w:val="center"/>
            </w:pPr>
            <w:r/>
            <w:r>
              <w:rPr>
                <w:b/>
                <w:color w:val="55504A"/>
                <w:sz w:val="18"/>
              </w:rPr>
              <w:t>CEO</w:t>
            </w:r>
          </w:p>
        </w:tc>
        <w:tc>
          <w:tcPr>
            <w:tcW w:type="dxa" w:w="1296"/>
          </w:tcPr>
          <w:p>
            <w:pPr>
              <w:jc w:val="center"/>
            </w:pPr>
            <w:r/>
            <w:r>
              <w:rPr>
                <w:b/>
                <w:color w:val="55504A"/>
                <w:sz w:val="18"/>
              </w:rPr>
              <w:t>COO</w:t>
            </w:r>
          </w:p>
        </w:tc>
        <w:tc>
          <w:tcPr>
            <w:tcW w:type="dxa" w:w="1296"/>
          </w:tcPr>
          <w:p>
            <w:pPr>
              <w:jc w:val="center"/>
            </w:pPr>
            <w:r/>
            <w:r>
              <w:rPr>
                <w:b/>
                <w:color w:val="55504A"/>
                <w:sz w:val="18"/>
              </w:rPr>
              <w:t>CTO</w:t>
            </w:r>
          </w:p>
        </w:tc>
      </w:tr>
      <w:tr>
        <w:tc>
          <w:tcPr>
            <w:tcW w:type="dxa" w:w="4896"/>
          </w:tcPr>
          <w:p>
            <w:pPr>
              <w:spacing w:after="40"/>
            </w:pPr>
            <w:r/>
            <w:r>
              <w:rPr>
                <w:sz w:val="20"/>
              </w:rPr>
              <w:t>Who we serve: SAM / TAM / SOM</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r>
      <w:tr>
        <w:tc>
          <w:tcPr>
            <w:tcW w:type="dxa" w:w="4896"/>
          </w:tcPr>
          <w:p>
            <w:pPr>
              <w:spacing w:after="40"/>
            </w:pPr>
            <w:r/>
            <w:r>
              <w:rPr>
                <w:sz w:val="20"/>
              </w:rPr>
              <w:t>Service design: what users need in what order</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r>
      <w:tr>
        <w:tc>
          <w:tcPr>
            <w:tcW w:type="dxa" w:w="4896"/>
          </w:tcPr>
          <w:p>
            <w:pPr>
              <w:spacing w:after="40"/>
            </w:pPr>
            <w:r/>
            <w:r>
              <w:rPr>
                <w:sz w:val="20"/>
              </w:rPr>
              <w:t>Backlog management and feature execution</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C</w:t>
            </w:r>
          </w:p>
        </w:tc>
        <w:tc>
          <w:tcPr>
            <w:tcW w:type="dxa" w:w="1296"/>
          </w:tcPr>
          <w:p>
            <w:pPr>
              <w:spacing w:after="40"/>
              <w:jc w:val="center"/>
            </w:pPr>
            <w:r/>
            <w:r>
              <w:rPr>
                <w:b/>
                <w:color w:val="2F5D50"/>
                <w:sz w:val="20"/>
              </w:rPr>
              <w:t>A</w:t>
            </w:r>
          </w:p>
        </w:tc>
      </w:tr>
      <w:tr>
        <w:tc>
          <w:tcPr>
            <w:tcW w:type="dxa" w:w="4896"/>
          </w:tcPr>
          <w:p>
            <w:pPr>
              <w:spacing w:after="40"/>
            </w:pPr>
            <w:r/>
            <w:r>
              <w:rPr>
                <w:sz w:val="20"/>
              </w:rPr>
              <w:t>Roadmap priority and tie-break</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R</w:t>
            </w:r>
          </w:p>
        </w:tc>
        <w:tc>
          <w:tcPr>
            <w:tcW w:type="dxa" w:w="1296"/>
          </w:tcPr>
          <w:p>
            <w:pPr>
              <w:spacing w:after="40"/>
              <w:jc w:val="center"/>
            </w:pPr>
            <w:r/>
            <w:r>
              <w:rPr>
                <w:color w:val="55504A"/>
                <w:sz w:val="20"/>
              </w:rPr>
              <w:t>R</w:t>
            </w:r>
          </w:p>
        </w:tc>
      </w:tr>
      <w:tr>
        <w:tc>
          <w:tcPr>
            <w:tcW w:type="dxa" w:w="4896"/>
          </w:tcPr>
          <w:p>
            <w:pPr>
              <w:spacing w:after="40"/>
            </w:pPr>
            <w:r/>
            <w:r>
              <w:rPr>
                <w:sz w:val="20"/>
              </w:rPr>
              <w:t>Trust and verification surface</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R</w:t>
            </w:r>
          </w:p>
        </w:tc>
        <w:tc>
          <w:tcPr>
            <w:tcW w:type="dxa" w:w="1296"/>
          </w:tcPr>
          <w:p>
            <w:pPr>
              <w:spacing w:after="40"/>
              <w:jc w:val="center"/>
            </w:pPr>
            <w:r/>
            <w:r>
              <w:rPr>
                <w:b/>
                <w:color w:val="2F5D50"/>
                <w:sz w:val="20"/>
              </w:rPr>
              <w:t>A</w:t>
            </w:r>
          </w:p>
        </w:tc>
      </w:tr>
      <w:tr>
        <w:tc>
          <w:tcPr>
            <w:tcW w:type="dxa" w:w="4896"/>
          </w:tcPr>
          <w:p>
            <w:pPr>
              <w:spacing w:after="40"/>
            </w:pPr>
            <w:r/>
            <w:r>
              <w:rPr>
                <w:sz w:val="20"/>
              </w:rPr>
              <w:t>Public claims accuracy</w:t>
            </w:r>
          </w:p>
        </w:tc>
        <w:tc>
          <w:tcPr>
            <w:tcW w:type="dxa" w:w="1296"/>
          </w:tcPr>
          <w:p>
            <w:pPr>
              <w:spacing w:after="40"/>
              <w:jc w:val="center"/>
            </w:pPr>
            <w:r/>
            <w:r>
              <w:rPr>
                <w:b/>
                <w:color w:val="2F5D50"/>
                <w:sz w:val="20"/>
              </w:rPr>
              <w:t>A</w:t>
            </w:r>
          </w:p>
        </w:tc>
        <w:tc>
          <w:tcPr>
            <w:tcW w:type="dxa" w:w="1296"/>
          </w:tcPr>
          <w:p>
            <w:pPr>
              <w:spacing w:after="40"/>
              <w:jc w:val="center"/>
            </w:pPr>
            <w:r/>
            <w:r>
              <w:rPr>
                <w:color w:val="55504A"/>
                <w:sz w:val="20"/>
              </w:rPr>
              <w:t>C</w:t>
            </w:r>
          </w:p>
        </w:tc>
        <w:tc>
          <w:tcPr>
            <w:tcW w:type="dxa" w:w="1296"/>
          </w:tcPr>
          <w:p>
            <w:pPr>
              <w:spacing w:after="40"/>
              <w:jc w:val="center"/>
            </w:pPr>
            <w:r/>
            <w:r>
              <w:rPr>
                <w:color w:val="55504A"/>
                <w:sz w:val="20"/>
              </w:rPr>
              <w:t>R</w:t>
            </w:r>
          </w:p>
        </w:tc>
      </w:tr>
    </w:tbl>
    <w:p/>
    <w:p>
      <w:r>
        <w:br w:type="page"/>
      </w:r>
    </w:p>
    <w:p>
      <w:pPr>
        <w:pStyle w:val="Heading1"/>
      </w:pPr>
      <w:r>
        <w:t>Notes</w:t>
      </w:r>
    </w:p>
    <w:p>
      <w:pPr>
        <w:spacing w:after="160"/>
      </w:pPr>
      <w:r>
        <w:rPr>
          <w:b w:val="0"/>
          <w:i w:val="0"/>
          <w:color w:val="1C1A17"/>
          <w:sz w:val="20"/>
        </w:rPr>
        <w:t>Trust and safety is split deliberately. The COO is the right operator (they have the visit context and the staff) but is also measured on retention and fill rate, and suspending a caregiver in a thin market damages both. Disclosure therefore sits with the CEO.</w:t>
      </w:r>
    </w:p>
    <w:p>
      <w:pPr>
        <w:spacing w:after="160"/>
      </w:pPr>
      <w:r>
        <w:rPr>
          <w:b w:val="0"/>
          <w:i w:val="0"/>
          <w:color w:val="55504A"/>
          <w:sz w:val="20"/>
        </w:rPr>
        <w:t>The visual version lives in RACI.excalidraw (open at excalidraw.com) and the same tables are in RACI.md. Hiring and firing carries three accountable names on purpose: each role owns it for their own function.</w:t>
      </w:r>
    </w:p>
    <w:p>
      <w:pPr>
        <w:spacing w:after="160"/>
      </w:pPr>
      <w:r>
        <w:rPr>
          <w:b w:val="0"/>
          <w:i/>
          <w:color w:val="55504A"/>
          <w:sz w:val="18"/>
        </w:rPr>
        <w:t>Assumes the three-role team as described, pre-launch, Virginia live with North Carolina, South Carolina, and Tennessee in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C1A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1A1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1A1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1A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