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TechFlow Systems, Inc.</w:t>
      </w:r>
    </w:p>
    <w:p>
      <w:pPr>
        <w:pStyle w:val="Heading1"/>
      </w:pPr>
      <w:r>
        <w:t>Voluntary Early Retirement Program</w:t>
      </w:r>
    </w:p>
    <w:p>
      <w:pPr>
        <w:pStyle w:val="Heading2"/>
      </w:pPr>
      <w:r>
        <w:t>Offer Summary for Mike D. Thompson</w:t>
      </w:r>
    </w:p>
    <w:p>
      <w:r>
        <w:t>Offer Date: January 10, 2026</w:t>
      </w:r>
    </w:p>
    <w:p>
      <w:r>
        <w:t>Response Deadline: March 11, 2026 (60 days)</w:t>
      </w:r>
    </w:p>
    <w:p>
      <w:r>
        <w:t>Effective Retirement Date (if accepted): April 1, 2026</w:t>
      </w:r>
    </w:p>
    <w:p>
      <w:pPr>
        <w:pStyle w:val="Heading1"/>
      </w:pPr>
      <w:r>
        <w:t>Cash Severance</w:t>
      </w:r>
    </w:p>
    <w:p>
      <w:r>
        <w:t>Severance Payment: 18 months of base salary</w:t>
      </w:r>
    </w:p>
    <w:p>
      <w:r>
        <w:t xml:space="preserve">   - Calculation: $185,000 / 12 x 18 = $277,500 gross</w:t>
      </w:r>
    </w:p>
    <w:p>
      <w:r>
        <w:t xml:space="preserve">   - Payment Terms: Lump sum paid on first payroll date following separation</w:t>
      </w:r>
    </w:p>
    <w:p>
      <w:r>
        <w:t xml:space="preserve">   - Tax Treatment: Subject to federal and state income tax withholding; supplemental wage rate applies</w:t>
      </w:r>
    </w:p>
    <w:p/>
    <w:p>
      <w:r>
        <w:t>2025 Bonus (Pro-rated): $8,500</w:t>
      </w:r>
    </w:p>
    <w:p>
      <w:r>
        <w:t xml:space="preserve">   - Based on Q1 2026 performance (partial year)</w:t>
      </w:r>
    </w:p>
    <w:p>
      <w:r>
        <w:t xml:space="preserve">   - Paid with final paycheck</w:t>
      </w:r>
    </w:p>
    <w:p/>
    <w:p>
      <w:r>
        <w:t>Accrued PTO Payout: $14,230</w:t>
      </w:r>
    </w:p>
    <w:p>
      <w:r>
        <w:t xml:space="preserve">   - 15 days accrued at current daily rate</w:t>
      </w:r>
    </w:p>
    <w:p>
      <w:pPr>
        <w:pStyle w:val="Heading1"/>
      </w:pPr>
      <w:r>
        <w:t>Pension Benefit Options</w:t>
      </w:r>
    </w:p>
    <w:p>
      <w:r>
        <w:t>Mike is vested in the TechFlow Systems Defined Benefit Pension Plan with 18 years of service.</w:t>
      </w:r>
    </w:p>
    <w:p/>
    <w:p>
      <w:r>
        <w:t>OPTION A: Single Life Annuity</w:t>
      </w:r>
    </w:p>
    <w:p>
      <w:r>
        <w:t xml:space="preserve">   - Monthly Benefit: $4,850</w:t>
      </w:r>
    </w:p>
    <w:p>
      <w:r>
        <w:t xml:space="preserve">   - Payments begin: May 1, 2026</w:t>
      </w:r>
    </w:p>
    <w:p>
      <w:r>
        <w:t xml:space="preserve">   - Duration: Life of participant only</w:t>
      </w:r>
    </w:p>
    <w:p>
      <w:r>
        <w:t xml:space="preserve">   - Survivor Benefit: None (payments cease upon Mike's death)</w:t>
      </w:r>
    </w:p>
    <w:p>
      <w:r>
        <w:t xml:space="preserve">   - COLA: None (fixed payment)</w:t>
      </w:r>
    </w:p>
    <w:p/>
    <w:p>
      <w:r>
        <w:t>OPTION B: 50% Joint &amp; Survivor Annuity</w:t>
      </w:r>
    </w:p>
    <w:p>
      <w:r>
        <w:t xml:space="preserve">   - Monthly Benefit: $4,180</w:t>
      </w:r>
    </w:p>
    <w:p>
      <w:r>
        <w:t xml:space="preserve">   - Payments begin: May 1, 2026</w:t>
      </w:r>
    </w:p>
    <w:p>
      <w:r>
        <w:t xml:space="preserve">   - Duration: Life of participant</w:t>
      </w:r>
    </w:p>
    <w:p>
      <w:r>
        <w:t xml:space="preserve">   - Survivor Benefit: 50% ($2,090/month) continues to Linda for her lifetime if Mike predeceases</w:t>
      </w:r>
    </w:p>
    <w:p>
      <w:r>
        <w:t xml:space="preserve">   - COLA: None (fixed payment)</w:t>
      </w:r>
    </w:p>
    <w:p/>
    <w:p>
      <w:r>
        <w:t>OPTION C: 100% Joint &amp; Survivor Annuity</w:t>
      </w:r>
    </w:p>
    <w:p>
      <w:r>
        <w:t xml:space="preserve">   - Monthly Benefit: $3,720</w:t>
      </w:r>
    </w:p>
    <w:p>
      <w:r>
        <w:t xml:space="preserve">   - Payments begin: May 1, 2026</w:t>
      </w:r>
    </w:p>
    <w:p>
      <w:r>
        <w:t xml:space="preserve">   - Duration: Life of participant</w:t>
      </w:r>
    </w:p>
    <w:p>
      <w:r>
        <w:t xml:space="preserve">   - Survivor Benefit: 100% ($3,720/month) continues to Linda for her lifetime if Mike predeceases</w:t>
      </w:r>
    </w:p>
    <w:p>
      <w:r>
        <w:t xml:space="preserve">   - COLA: None (fixed payment)</w:t>
      </w:r>
    </w:p>
    <w:p/>
    <w:p>
      <w:r>
        <w:t>OPTION D: Lump Sum Distribution</w:t>
      </w:r>
    </w:p>
    <w:p>
      <w:r>
        <w:t xml:space="preserve">   - Lump Sum Amount: $892,000</w:t>
      </w:r>
    </w:p>
    <w:p>
      <w:r>
        <w:t xml:space="preserve">   - Calculation Basis: Present value using IRS segment rates as of January 2026</w:t>
      </w:r>
    </w:p>
    <w:p>
      <w:r>
        <w:t xml:space="preserve">   - Discount Rate Used: 4.85% (blended)</w:t>
      </w:r>
    </w:p>
    <w:p>
      <w:r>
        <w:t xml:space="preserve">   - Mortality Table: IRS 417(e) applicable mortality</w:t>
      </w:r>
    </w:p>
    <w:p>
      <w:r>
        <w:t xml:space="preserve">   - Payment Date: Within 60 days of separation</w:t>
      </w:r>
    </w:p>
    <w:p>
      <w:r>
        <w:t xml:space="preserve">   - Rollover Option: May be rolled directly to IRA to defer taxation</w:t>
      </w:r>
    </w:p>
    <w:p>
      <w:r>
        <w:t xml:space="preserve">   - If taken as cash: Subject to 20% mandatory federal withholding plus 10% early withdrawal penalty if under 59.5</w:t>
      </w:r>
    </w:p>
    <w:p/>
    <w:p>
      <w:r>
        <w:t>Important Note: Mike turns 59 on March 15, 2026. If separation occurs before this date, the 10% early withdrawal penalty applies to cash distributions. The April 1, 2026 separation date avoids this penalty.</w:t>
      </w:r>
    </w:p>
    <w:p>
      <w:pPr>
        <w:pStyle w:val="Heading1"/>
      </w:pPr>
      <w:r>
        <w:t>Stock Options &amp; Equity</w:t>
      </w:r>
    </w:p>
    <w:p>
      <w:r>
        <w:t>Unvested Stock Options (Acceleration Provision):</w:t>
      </w:r>
    </w:p>
    <w:p>
      <w:r>
        <w:t xml:space="preserve">   - Options Subject to Acceleration: 2,500 shares</w:t>
      </w:r>
    </w:p>
    <w:p>
      <w:r>
        <w:t xml:space="preserve">   - Strike Price: $42.00</w:t>
      </w:r>
    </w:p>
    <w:p>
      <w:r>
        <w:t xml:space="preserve">   - Current Stock Price (as of offer date): $68.50</w:t>
      </w:r>
    </w:p>
    <w:p>
      <w:r>
        <w:t xml:space="preserve">   - Intrinsic Value: ($68.50 - $42.00) x 2,500 = $66,250</w:t>
      </w:r>
    </w:p>
    <w:p>
      <w:r>
        <w:t xml:space="preserve">   - Vesting Acceleration: 100% immediate vesting upon acceptance</w:t>
      </w:r>
    </w:p>
    <w:p>
      <w:r>
        <w:t xml:space="preserve">   - Exercise Period: 90 days post-separation (must exercise by June 30, 2026)</w:t>
      </w:r>
    </w:p>
    <w:p/>
    <w:p>
      <w:r>
        <w:t>Previously Vested Options:</w:t>
      </w:r>
    </w:p>
    <w:p>
      <w:r>
        <w:t xml:space="preserve">   - Shares: 4,000</w:t>
      </w:r>
    </w:p>
    <w:p>
      <w:r>
        <w:t xml:space="preserve">   - Strike Price: $28.00</w:t>
      </w:r>
    </w:p>
    <w:p>
      <w:r>
        <w:t xml:space="preserve">   - Intrinsic Value: ($68.50 - $28.00) x 4,000 = $162,000</w:t>
      </w:r>
    </w:p>
    <w:p>
      <w:r>
        <w:t xml:space="preserve">   - Exercise Period: Same 90-day window</w:t>
      </w:r>
    </w:p>
    <w:p/>
    <w:p>
      <w:r>
        <w:t>Total Option Value (if exercised at current price): $228,250</w:t>
      </w:r>
    </w:p>
    <w:p>
      <w:r>
        <w:t>Tax Treatment: Ordinary income upon exercise (NSO options)</w:t>
      </w:r>
    </w:p>
    <w:p>
      <w:pPr>
        <w:pStyle w:val="Heading1"/>
      </w:pPr>
      <w:r>
        <w:t>Healthcare Continuation</w:t>
      </w:r>
    </w:p>
    <w:p>
      <w:r>
        <w:t>COBRA Eligibility: Yes</w:t>
      </w:r>
    </w:p>
    <w:p>
      <w:r>
        <w:t xml:space="preserve">   - Duration: Up to 18 months from separation</w:t>
      </w:r>
    </w:p>
    <w:p>
      <w:r>
        <w:t xml:space="preserve">   - Monthly Premium (family coverage): $2,180</w:t>
      </w:r>
    </w:p>
    <w:p>
      <w:r>
        <w:t xml:space="preserve">   - Coverage: Equivalent to current employee medical, dental, and vision</w:t>
      </w:r>
    </w:p>
    <w:p/>
    <w:p>
      <w:r>
        <w:t>Company Subsidy (Special Early Retirement Provision):</w:t>
      </w:r>
    </w:p>
    <w:p>
      <w:r>
        <w:t xml:space="preserve">   - TechFlow will subsidize 50% of COBRA premium for first 12 months</w:t>
      </w:r>
    </w:p>
    <w:p>
      <w:r>
        <w:t xml:space="preserve">   - Mike's Cost (months 1-12): $1,090/month</w:t>
      </w:r>
    </w:p>
    <w:p>
      <w:r>
        <w:t xml:space="preserve">   - Mike's Cost (months 13-18): $2,180/month (full COBRA)</w:t>
      </w:r>
    </w:p>
    <w:p/>
    <w:p>
      <w:r>
        <w:t>Post-COBRA Options:</w:t>
      </w:r>
    </w:p>
    <w:p>
      <w:r>
        <w:t xml:space="preserve">   - California ACA Marketplace</w:t>
      </w:r>
    </w:p>
    <w:p>
      <w:r>
        <w:t xml:space="preserve">   - Linda's coverage (if available through her consulting clients): N/A - she is self-employed</w:t>
      </w:r>
    </w:p>
    <w:p>
      <w:r>
        <w:t xml:space="preserve">   - Mike Medicare Eligibility: March 2032 (age 65)</w:t>
      </w:r>
    </w:p>
    <w:p>
      <w:r>
        <w:t xml:space="preserve">   - Linda Medicare Eligibility: September 2035 (age 65)</w:t>
      </w:r>
    </w:p>
    <w:p>
      <w:pPr>
        <w:pStyle w:val="Heading1"/>
      </w:pPr>
      <w:r>
        <w:t>Other Benefits</w:t>
      </w:r>
    </w:p>
    <w:p>
      <w:r>
        <w:t>401(k) Plan:</w:t>
      </w:r>
    </w:p>
    <w:p>
      <w:r>
        <w:t xml:space="preserve">   - Current Balance: $1,248,000 (see separate retirement accounts statement)</w:t>
      </w:r>
    </w:p>
    <w:p>
      <w:r>
        <w:t xml:space="preserve">   - Company Match: Vested 100%</w:t>
      </w:r>
    </w:p>
    <w:p>
      <w:r>
        <w:t xml:space="preserve">   - Options: Leave in plan, roll to IRA, or partial withdrawal</w:t>
      </w:r>
    </w:p>
    <w:p/>
    <w:p>
      <w:r>
        <w:t>Life Insurance:</w:t>
      </w:r>
    </w:p>
    <w:p>
      <w:r>
        <w:t xml:space="preserve">   - Group Coverage Ends: April 30, 2026</w:t>
      </w:r>
    </w:p>
    <w:p>
      <w:r>
        <w:t xml:space="preserve">   - Conversion Option: May convert to individual policy within 31 days</w:t>
      </w:r>
    </w:p>
    <w:p>
      <w:r>
        <w:t xml:space="preserve">   - Current Coverage: 2x salary = $370,000</w:t>
      </w:r>
    </w:p>
    <w:p/>
    <w:p>
      <w:r>
        <w:t>Outplacement Services:</w:t>
      </w:r>
    </w:p>
    <w:p>
      <w:r>
        <w:t xml:space="preserve">   - 6 months of career transition services (optional)</w:t>
      </w:r>
    </w:p>
    <w:p>
      <w:r>
        <w:t xml:space="preserve">   - Includes resume review, interview coaching, job search support</w:t>
      </w:r>
    </w:p>
    <w:p>
      <w:pPr>
        <w:pStyle w:val="Heading1"/>
      </w:pPr>
      <w:r>
        <w:t>Non-Compete &amp; Release</w:t>
      </w:r>
    </w:p>
    <w:p>
      <w:r>
        <w:t>Non-Compete Period: 12 months</w:t>
      </w:r>
    </w:p>
    <w:p>
      <w:r>
        <w:t xml:space="preserve">   - Geographic Scope: California (largely unenforceable under CA law)</w:t>
      </w:r>
    </w:p>
    <w:p>
      <w:r>
        <w:t xml:space="preserve">   - Industry Restriction: Direct competitors in enterprise software</w:t>
      </w:r>
    </w:p>
    <w:p/>
    <w:p>
      <w:r>
        <w:t>General Release Required: Yes</w:t>
      </w:r>
    </w:p>
    <w:p>
      <w:r>
        <w:t xml:space="preserve">   - Must sign release of all claims against company</w:t>
      </w:r>
    </w:p>
    <w:p>
      <w:r>
        <w:t xml:space="preserve">   - 21-day consideration period</w:t>
      </w:r>
    </w:p>
    <w:p>
      <w:r>
        <w:t xml:space="preserve">   - 7-day revocation period after signing</w:t>
      </w:r>
    </w:p>
    <w:p>
      <w:pPr>
        <w:pStyle w:val="Heading1"/>
      </w:pPr>
      <w:r>
        <w:t>Alternative: Decline Package &amp; Continue Employment</w:t>
      </w:r>
    </w:p>
    <w:p>
      <w:r>
        <w:t>If Mike declines the early retirement package:</w:t>
      </w:r>
    </w:p>
    <w:p>
      <w:r>
        <w:t xml:space="preserve">   - Continues employment at current salary and benefits</w:t>
      </w:r>
    </w:p>
    <w:p>
      <w:r>
        <w:t xml:space="preserve">   - No guarantee of future similar offers</w:t>
      </w:r>
    </w:p>
    <w:p>
      <w:r>
        <w:t xml:space="preserve">   - Normal retirement eligibility (full pension): Age 62</w:t>
      </w:r>
    </w:p>
    <w:p>
      <w:r>
        <w:t xml:space="preserve">   - Pension benefit at age 62 (estimated): $5,400/month single life</w:t>
      </w:r>
    </w:p>
    <w:p>
      <w:r>
        <w:t xml:space="preserve">   - Next stock option grant (if employment continues): March 2027</w:t>
      </w:r>
    </w:p>
    <w:p/>
    <w:p>
      <w:r>
        <w:t>Company Outlook Note: TechFlow has announced a 15% workforce reduction over 24 months. While Mike's role is currently stable, future packages are not guaranteed and may have less favorable terms.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