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627" w:rsidRDefault="00DE2925">
      <w:r>
        <w:rPr>
          <w:noProof/>
        </w:rPr>
        <w:drawing>
          <wp:inline distT="0" distB="0" distL="0" distR="0">
            <wp:extent cx="3545840" cy="2448560"/>
            <wp:effectExtent l="25400" t="25400" r="35560" b="15240"/>
            <wp:docPr id="1"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5840" cy="2448560"/>
                    </a:xfrm>
                    <a:prstGeom prst="rect">
                      <a:avLst/>
                    </a:prstGeom>
                    <a:noFill/>
                    <a:ln w="9525" cmpd="sng">
                      <a:solidFill>
                        <a:srgbClr val="000000"/>
                      </a:solidFill>
                      <a:miter lim="800000"/>
                      <a:headEnd/>
                      <a:tailEnd/>
                    </a:ln>
                    <a:effectLst/>
                  </pic:spPr>
                </pic:pic>
              </a:graphicData>
            </a:graphic>
          </wp:inline>
        </w:drawing>
      </w:r>
    </w:p>
    <w:p w:rsidR="00DE2925" w:rsidRDefault="00DE2925" w:rsidP="00DE2925">
      <w:r w:rsidRPr="005E3FBE">
        <w:rPr>
          <w:b/>
        </w:rPr>
        <w:t>Fig</w:t>
      </w:r>
      <w:r>
        <w:rPr>
          <w:b/>
        </w:rPr>
        <w:t>.</w:t>
      </w:r>
      <w:r w:rsidRPr="005E3FBE">
        <w:rPr>
          <w:b/>
        </w:rPr>
        <w:t xml:space="preserve"> 1</w:t>
      </w:r>
      <w:r w:rsidRPr="005E3FBE">
        <w:t xml:space="preserve">. </w:t>
      </w:r>
      <w:proofErr w:type="gramStart"/>
      <w:r w:rsidRPr="005E3FBE">
        <w:t>Three trials of the binary choice experiment.</w:t>
      </w:r>
      <w:proofErr w:type="gramEnd"/>
      <w:r w:rsidRPr="005E3FBE">
        <w:t xml:space="preserve"> Subject indicated their preferred candy bar on each trial. </w:t>
      </w:r>
      <w:r>
        <w:t>S</w:t>
      </w:r>
      <w:r w:rsidRPr="005E3FBE">
        <w:t>timulus presentation and choice was self-paced, with a maximum length of 5 seconds.</w:t>
      </w:r>
    </w:p>
    <w:p w:rsidR="00DE2925" w:rsidRDefault="00DE2925">
      <w:r>
        <w:br w:type="page"/>
      </w:r>
    </w:p>
    <w:p w:rsidR="00DE2925" w:rsidRDefault="00DE2925" w:rsidP="00DE2925">
      <w:r>
        <w:rPr>
          <w:noProof/>
        </w:rPr>
        <w:lastRenderedPageBreak/>
        <w:drawing>
          <wp:inline distT="0" distB="0" distL="0" distR="0">
            <wp:extent cx="3860800" cy="2580640"/>
            <wp:effectExtent l="0" t="0" r="0" b="1016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0800" cy="2580640"/>
                    </a:xfrm>
                    <a:prstGeom prst="rect">
                      <a:avLst/>
                    </a:prstGeom>
                    <a:noFill/>
                    <a:ln>
                      <a:noFill/>
                    </a:ln>
                  </pic:spPr>
                </pic:pic>
              </a:graphicData>
            </a:graphic>
          </wp:inline>
        </w:drawing>
      </w:r>
    </w:p>
    <w:p w:rsidR="00DE2925" w:rsidRDefault="00DE2925" w:rsidP="00DE2925">
      <w:r w:rsidRPr="005E3FBE">
        <w:rPr>
          <w:b/>
        </w:rPr>
        <w:t>Fig</w:t>
      </w:r>
      <w:r>
        <w:rPr>
          <w:b/>
        </w:rPr>
        <w:t>.</w:t>
      </w:r>
      <w:r w:rsidRPr="005E3FBE">
        <w:rPr>
          <w:b/>
        </w:rPr>
        <w:t xml:space="preserve"> 2</w:t>
      </w:r>
      <w:r w:rsidRPr="005E3FBE">
        <w:t>. Mean percentage of intransitive</w:t>
      </w:r>
      <w:r>
        <w:t xml:space="preserve"> choice</w:t>
      </w:r>
      <w:r w:rsidRPr="005E3FBE">
        <w:t>s per group</w:t>
      </w:r>
      <w:r>
        <w:t xml:space="preserve"> in each task</w:t>
      </w:r>
      <w:r w:rsidRPr="005E3FBE">
        <w:t xml:space="preserve"> (</w:t>
      </w:r>
      <w:proofErr w:type="spellStart"/>
      <w:r w:rsidRPr="005E3FBE">
        <w:t>n</w:t>
      </w:r>
      <w:r w:rsidRPr="005E3FBE">
        <w:rPr>
          <w:vertAlign w:val="subscript"/>
        </w:rPr>
        <w:t>MTL</w:t>
      </w:r>
      <w:proofErr w:type="spellEnd"/>
      <w:r w:rsidRPr="005E3FBE">
        <w:t xml:space="preserve"> = 31, </w:t>
      </w:r>
      <w:proofErr w:type="spellStart"/>
      <w:r w:rsidRPr="005E3FBE">
        <w:t>n</w:t>
      </w:r>
      <w:r w:rsidRPr="005E3FBE">
        <w:rPr>
          <w:vertAlign w:val="subscript"/>
        </w:rPr>
        <w:t>C</w:t>
      </w:r>
      <w:proofErr w:type="spellEnd"/>
      <w:r w:rsidRPr="005E3FBE">
        <w:t xml:space="preserve"> = 30, </w:t>
      </w:r>
      <w:proofErr w:type="spellStart"/>
      <w:r w:rsidRPr="005E3FBE">
        <w:t>n</w:t>
      </w:r>
      <w:r w:rsidRPr="005E3FBE">
        <w:rPr>
          <w:vertAlign w:val="subscript"/>
        </w:rPr>
        <w:t>ETL</w:t>
      </w:r>
      <w:proofErr w:type="spellEnd"/>
      <w:r w:rsidRPr="005E3FBE">
        <w:t xml:space="preserve"> = 30). Error bars represent SEM. </w:t>
      </w:r>
    </w:p>
    <w:p w:rsidR="00DE2925" w:rsidRDefault="00DE2925">
      <w:r>
        <w:br w:type="page"/>
      </w:r>
    </w:p>
    <w:p w:rsidR="00DE2925" w:rsidRDefault="00DE2925" w:rsidP="00DE2925">
      <w:r>
        <w:rPr>
          <w:noProof/>
        </w:rPr>
        <w:drawing>
          <wp:inline distT="0" distB="0" distL="0" distR="0">
            <wp:extent cx="2286000" cy="228600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rsidR="00DE2925" w:rsidRDefault="00DE2925" w:rsidP="00DE2925">
      <w:r w:rsidRPr="005E3FBE">
        <w:rPr>
          <w:b/>
        </w:rPr>
        <w:t>Fig</w:t>
      </w:r>
      <w:r>
        <w:rPr>
          <w:b/>
        </w:rPr>
        <w:t>.</w:t>
      </w:r>
      <w:r w:rsidRPr="005E3FBE">
        <w:rPr>
          <w:b/>
        </w:rPr>
        <w:t xml:space="preserve"> 3</w:t>
      </w:r>
      <w:r w:rsidRPr="005E3FBE">
        <w:t xml:space="preserve">. </w:t>
      </w:r>
      <w:proofErr w:type="gramStart"/>
      <w:r w:rsidRPr="005E3FBE">
        <w:t>Relation</w:t>
      </w:r>
      <w:r>
        <w:t>ship between</w:t>
      </w:r>
      <w:r w:rsidRPr="005E3FBE">
        <w:t xml:space="preserve"> hippocampal </w:t>
      </w:r>
      <w:r>
        <w:t>lesion volume</w:t>
      </w:r>
      <w:r w:rsidRPr="005E3FBE">
        <w:t xml:space="preserve"> and intransitive choices.</w:t>
      </w:r>
      <w:proofErr w:type="gramEnd"/>
      <w:r w:rsidRPr="005E3FBE">
        <w:t xml:space="preserve"> Scatterplot </w:t>
      </w:r>
      <w:r>
        <w:t xml:space="preserve">of compromised </w:t>
      </w:r>
      <w:r w:rsidRPr="005E3FBE">
        <w:t>hippocampal</w:t>
      </w:r>
      <w:r>
        <w:t xml:space="preserve"> volume</w:t>
      </w:r>
      <w:r w:rsidRPr="005E3FBE">
        <w:t xml:space="preserve"> (as a </w:t>
      </w:r>
      <w:r>
        <w:t xml:space="preserve">ratio of total volume) </w:t>
      </w:r>
      <w:r w:rsidRPr="005E3FBE">
        <w:t xml:space="preserve">against percentage of intransitive choices, </w:t>
      </w:r>
      <w:r>
        <w:t xml:space="preserve">with </w:t>
      </w:r>
      <w:r w:rsidRPr="005E3FBE">
        <w:t xml:space="preserve">a regression line with 95% CI for </w:t>
      </w:r>
      <w:r>
        <w:t>a linear regression. T</w:t>
      </w:r>
      <w:r w:rsidRPr="005E3FBE">
        <w:t xml:space="preserve">he observed </w:t>
      </w:r>
      <w:r>
        <w:t xml:space="preserve">robust nonparametric rank order </w:t>
      </w:r>
      <w:r w:rsidRPr="005E3FBE">
        <w:t>correlation rho=0.</w:t>
      </w:r>
      <w:r>
        <w:t>6</w:t>
      </w:r>
      <w:r w:rsidRPr="005E3FBE">
        <w:t>7</w:t>
      </w:r>
      <w:r>
        <w:t>6</w:t>
      </w:r>
      <w:r w:rsidRPr="005E3FBE">
        <w:t>, p</w:t>
      </w:r>
      <w:r>
        <w:t>=</w:t>
      </w:r>
      <w:r w:rsidRPr="005E3FBE">
        <w:t>0.00</w:t>
      </w:r>
      <w:r>
        <w:t>4.</w:t>
      </w:r>
    </w:p>
    <w:p w:rsidR="00DE2925" w:rsidRDefault="00DE2925">
      <w:r>
        <w:br w:type="page"/>
      </w:r>
    </w:p>
    <w:p w:rsidR="00DE2925" w:rsidRDefault="00DE2925" w:rsidP="00DE2925">
      <w:r>
        <w:rPr>
          <w:rFonts w:ascii="Times" w:hAnsi="Times"/>
          <w:noProof/>
        </w:rPr>
        <w:drawing>
          <wp:inline distT="0" distB="0" distL="0" distR="0">
            <wp:extent cx="5476240" cy="3129280"/>
            <wp:effectExtent l="0" t="0" r="1016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240" cy="3129280"/>
                    </a:xfrm>
                    <a:prstGeom prst="rect">
                      <a:avLst/>
                    </a:prstGeom>
                    <a:noFill/>
                    <a:ln>
                      <a:noFill/>
                    </a:ln>
                  </pic:spPr>
                </pic:pic>
              </a:graphicData>
            </a:graphic>
          </wp:inline>
        </w:drawing>
      </w:r>
    </w:p>
    <w:p w:rsidR="00DE2925" w:rsidRDefault="00DE2925" w:rsidP="00DE2925">
      <w:pPr>
        <w:rPr>
          <w:rFonts w:ascii="Times" w:hAnsi="Times"/>
          <w:bCs/>
          <w:i/>
          <w:iCs/>
          <w:sz w:val="20"/>
        </w:rPr>
      </w:pPr>
      <w:r>
        <w:rPr>
          <w:rFonts w:ascii="Times" w:hAnsi="Times"/>
          <w:i/>
          <w:sz w:val="20"/>
        </w:rPr>
        <w:t>Figure</w:t>
      </w:r>
      <w:r w:rsidRPr="00715933">
        <w:rPr>
          <w:rFonts w:ascii="Times" w:hAnsi="Times"/>
          <w:i/>
          <w:sz w:val="20"/>
        </w:rPr>
        <w:t xml:space="preserve"> S</w:t>
      </w:r>
      <w:r>
        <w:rPr>
          <w:rFonts w:ascii="Times" w:hAnsi="Times"/>
          <w:i/>
          <w:sz w:val="20"/>
        </w:rPr>
        <w:t>1</w:t>
      </w:r>
      <w:r w:rsidRPr="00715933">
        <w:rPr>
          <w:rFonts w:ascii="Times" w:hAnsi="Times"/>
          <w:i/>
          <w:sz w:val="20"/>
        </w:rPr>
        <w:t xml:space="preserve">: </w:t>
      </w:r>
      <w:r>
        <w:rPr>
          <w:rFonts w:ascii="Times" w:hAnsi="Times"/>
          <w:i/>
          <w:sz w:val="20"/>
        </w:rPr>
        <w:t xml:space="preserve">Response times (RT) for each task and group. RT’s decreased as the task progressed for all groups in both trials. The MTL group was consistently slower in the choice task. All groups were faster in the control task, particularly the healthy controls. </w:t>
      </w:r>
    </w:p>
    <w:p w:rsidR="00DE2925" w:rsidRDefault="00DE2925">
      <w:r>
        <w:br w:type="page"/>
      </w:r>
    </w:p>
    <w:p w:rsidR="00DE2925" w:rsidRDefault="00DE2925" w:rsidP="00DE2925">
      <w:r>
        <w:rPr>
          <w:noProof/>
        </w:rPr>
        <w:drawing>
          <wp:inline distT="0" distB="0" distL="0" distR="0">
            <wp:extent cx="4114800" cy="2743200"/>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rsidR="00DE2925" w:rsidRPr="001A49D3" w:rsidRDefault="00DE2925" w:rsidP="00DE2925">
      <w:pPr>
        <w:rPr>
          <w:i/>
          <w:sz w:val="20"/>
        </w:rPr>
      </w:pPr>
      <w:r w:rsidRPr="001A49D3">
        <w:rPr>
          <w:b/>
          <w:i/>
          <w:sz w:val="20"/>
        </w:rPr>
        <w:t>Figure S2</w:t>
      </w:r>
      <w:r w:rsidRPr="001A49D3">
        <w:rPr>
          <w:i/>
          <w:sz w:val="20"/>
        </w:rPr>
        <w:t>. Average number of intransitive triplets each stimulus was involved in for the preference task. There were no idiosyncratic differences between the stimuli (</w:t>
      </w:r>
      <w:proofErr w:type="gramStart"/>
      <w:r w:rsidRPr="001A49D3">
        <w:rPr>
          <w:i/>
          <w:sz w:val="20"/>
        </w:rPr>
        <w:t>F(</w:t>
      </w:r>
      <w:proofErr w:type="gramEnd"/>
      <w:r w:rsidRPr="001A49D3">
        <w:rPr>
          <w:i/>
          <w:sz w:val="20"/>
        </w:rPr>
        <w:t>1, 18) = 0.003, p  = 0.959).</w:t>
      </w:r>
    </w:p>
    <w:p w:rsidR="00DE2925" w:rsidRDefault="00DE2925">
      <w:r>
        <w:br w:type="page"/>
      </w:r>
    </w:p>
    <w:p w:rsidR="00DE2925" w:rsidRDefault="00DE2925" w:rsidP="00DE2925">
      <w:r>
        <w:rPr>
          <w:noProof/>
        </w:rPr>
        <w:drawing>
          <wp:inline distT="0" distB="0" distL="0" distR="0">
            <wp:extent cx="5486400" cy="2680305"/>
            <wp:effectExtent l="0" t="0" r="0" b="1270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680305"/>
                    </a:xfrm>
                    <a:prstGeom prst="rect">
                      <a:avLst/>
                    </a:prstGeom>
                    <a:noFill/>
                    <a:ln>
                      <a:noFill/>
                    </a:ln>
                  </pic:spPr>
                </pic:pic>
              </a:graphicData>
            </a:graphic>
          </wp:inline>
        </w:drawing>
      </w:r>
    </w:p>
    <w:p w:rsidR="00DE2925" w:rsidRPr="001A49D3" w:rsidRDefault="00DE2925" w:rsidP="00DE2925">
      <w:pPr>
        <w:rPr>
          <w:i/>
          <w:sz w:val="20"/>
        </w:rPr>
      </w:pPr>
      <w:r w:rsidRPr="001A49D3">
        <w:rPr>
          <w:b/>
          <w:i/>
          <w:sz w:val="20"/>
        </w:rPr>
        <w:t>Figure S3</w:t>
      </w:r>
      <w:r w:rsidRPr="001A49D3">
        <w:rPr>
          <w:i/>
          <w:sz w:val="20"/>
        </w:rPr>
        <w:t xml:space="preserve">. </w:t>
      </w:r>
      <w:proofErr w:type="gramStart"/>
      <w:r w:rsidRPr="001A49D3">
        <w:rPr>
          <w:i/>
          <w:sz w:val="20"/>
        </w:rPr>
        <w:t>Response times as a function of decision difficulty.</w:t>
      </w:r>
      <w:proofErr w:type="gramEnd"/>
      <w:r w:rsidRPr="001A49D3">
        <w:rPr>
          <w:i/>
          <w:sz w:val="20"/>
        </w:rPr>
        <w:t xml:space="preserve"> As decisions become easier in both tasks all groups respond faster. The MTL group is slower, however, to react to change in difficulty for the choice task, while this is not true for the control task. </w:t>
      </w:r>
    </w:p>
    <w:p w:rsidR="00DE2925" w:rsidRDefault="00DE2925">
      <w:r>
        <w:br w:type="page"/>
      </w:r>
    </w:p>
    <w:p w:rsidR="00DE2925" w:rsidRDefault="00DE2925" w:rsidP="00DE2925">
      <w:r>
        <w:rPr>
          <w:noProof/>
        </w:rPr>
        <w:drawing>
          <wp:inline distT="0" distB="0" distL="0" distR="0">
            <wp:extent cx="5486400" cy="3657600"/>
            <wp:effectExtent l="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rsidR="00DE2925" w:rsidRDefault="00DE2925" w:rsidP="00DE2925">
      <w:proofErr w:type="gramStart"/>
      <w:r w:rsidRPr="00715933">
        <w:rPr>
          <w:rFonts w:ascii="Times" w:hAnsi="Times"/>
          <w:i/>
          <w:sz w:val="20"/>
        </w:rPr>
        <w:t>Fig</w:t>
      </w:r>
      <w:r>
        <w:rPr>
          <w:rFonts w:ascii="Times" w:hAnsi="Times"/>
          <w:i/>
          <w:sz w:val="20"/>
        </w:rPr>
        <w:t xml:space="preserve">ure </w:t>
      </w:r>
      <w:r w:rsidRPr="00715933">
        <w:rPr>
          <w:rFonts w:ascii="Times" w:hAnsi="Times"/>
          <w:i/>
          <w:sz w:val="20"/>
        </w:rPr>
        <w:t xml:space="preserve"> S</w:t>
      </w:r>
      <w:r>
        <w:rPr>
          <w:rFonts w:ascii="Times" w:hAnsi="Times"/>
          <w:i/>
          <w:sz w:val="20"/>
        </w:rPr>
        <w:t>4</w:t>
      </w:r>
      <w:proofErr w:type="gramEnd"/>
      <w:r w:rsidRPr="00715933">
        <w:rPr>
          <w:rFonts w:ascii="Times" w:hAnsi="Times"/>
          <w:i/>
          <w:sz w:val="20"/>
        </w:rPr>
        <w:t xml:space="preserve">: </w:t>
      </w:r>
      <w:r>
        <w:rPr>
          <w:rFonts w:ascii="Times" w:hAnsi="Times"/>
          <w:i/>
          <w:sz w:val="20"/>
        </w:rPr>
        <w:t xml:space="preserve">Number of </w:t>
      </w:r>
      <w:proofErr w:type="spellStart"/>
      <w:r>
        <w:rPr>
          <w:rFonts w:ascii="Times" w:hAnsi="Times"/>
          <w:i/>
          <w:sz w:val="20"/>
        </w:rPr>
        <w:t>intransitivities</w:t>
      </w:r>
      <w:proofErr w:type="spellEnd"/>
      <w:r>
        <w:rPr>
          <w:rFonts w:ascii="Times" w:hAnsi="Times"/>
          <w:i/>
          <w:sz w:val="20"/>
        </w:rPr>
        <w:t xml:space="preserve"> throughout the task for each group. The probability of intransitivity remains constant across trials.</w:t>
      </w:r>
    </w:p>
    <w:p w:rsidR="00DE2925" w:rsidRDefault="00DE2925">
      <w:r>
        <w:br w:type="page"/>
      </w:r>
    </w:p>
    <w:p w:rsidR="00DE2925" w:rsidRDefault="00DE2925" w:rsidP="00DE2925">
      <w:r>
        <w:rPr>
          <w:rFonts w:ascii="Times" w:hAnsi="Times"/>
          <w:noProof/>
        </w:rPr>
        <w:drawing>
          <wp:inline distT="0" distB="0" distL="0" distR="0">
            <wp:extent cx="3769360" cy="3606800"/>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9360" cy="3606800"/>
                    </a:xfrm>
                    <a:prstGeom prst="rect">
                      <a:avLst/>
                    </a:prstGeom>
                    <a:noFill/>
                    <a:ln>
                      <a:noFill/>
                    </a:ln>
                  </pic:spPr>
                </pic:pic>
              </a:graphicData>
            </a:graphic>
          </wp:inline>
        </w:drawing>
      </w:r>
    </w:p>
    <w:p w:rsidR="00DE2925" w:rsidRPr="00217064" w:rsidRDefault="00DE2925" w:rsidP="00DE2925">
      <w:pPr>
        <w:rPr>
          <w:rFonts w:ascii="Times" w:hAnsi="Times"/>
          <w:bCs/>
          <w:i/>
          <w:iCs/>
          <w:sz w:val="20"/>
        </w:rPr>
      </w:pPr>
      <w:r>
        <w:rPr>
          <w:rFonts w:ascii="Times" w:hAnsi="Times"/>
          <w:i/>
          <w:sz w:val="20"/>
        </w:rPr>
        <w:t>Figure</w:t>
      </w:r>
      <w:r w:rsidRPr="00217064">
        <w:rPr>
          <w:rFonts w:ascii="Times" w:hAnsi="Times"/>
          <w:i/>
          <w:sz w:val="20"/>
        </w:rPr>
        <w:t xml:space="preserve"> S</w:t>
      </w:r>
      <w:r>
        <w:rPr>
          <w:rFonts w:ascii="Times" w:hAnsi="Times"/>
          <w:i/>
          <w:sz w:val="20"/>
        </w:rPr>
        <w:t>5</w:t>
      </w:r>
      <w:r w:rsidRPr="00217064">
        <w:rPr>
          <w:rFonts w:ascii="Times" w:hAnsi="Times"/>
          <w:i/>
          <w:sz w:val="20"/>
        </w:rPr>
        <w:t xml:space="preserve">: </w:t>
      </w:r>
      <w:r>
        <w:rPr>
          <w:rFonts w:ascii="Times" w:hAnsi="Times"/>
          <w:i/>
          <w:sz w:val="20"/>
        </w:rPr>
        <w:t>Tree diagram indicating possible intransitive paths from three binary choices</w:t>
      </w:r>
    </w:p>
    <w:p w:rsidR="00DE2925" w:rsidRDefault="00DE2925">
      <w:r>
        <w:br w:type="page"/>
      </w:r>
    </w:p>
    <w:p w:rsidR="00DE2925" w:rsidRDefault="00DE2925" w:rsidP="00DE2925">
      <w:r>
        <w:rPr>
          <w:rFonts w:ascii="Times" w:hAnsi="Times"/>
          <w:noProof/>
        </w:rPr>
        <w:drawing>
          <wp:inline distT="0" distB="0" distL="0" distR="0">
            <wp:extent cx="5486400" cy="3017520"/>
            <wp:effectExtent l="0" t="0" r="0" b="508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17520"/>
                    </a:xfrm>
                    <a:prstGeom prst="rect">
                      <a:avLst/>
                    </a:prstGeom>
                    <a:noFill/>
                    <a:ln>
                      <a:noFill/>
                    </a:ln>
                  </pic:spPr>
                </pic:pic>
              </a:graphicData>
            </a:graphic>
          </wp:inline>
        </w:drawing>
      </w:r>
    </w:p>
    <w:p w:rsidR="00DE2925" w:rsidRDefault="00DE2925" w:rsidP="00DE2925">
      <w:pPr>
        <w:rPr>
          <w:rFonts w:ascii="Times" w:hAnsi="Times"/>
          <w:bCs/>
          <w:iCs/>
        </w:rPr>
      </w:pPr>
      <w:proofErr w:type="gramStart"/>
      <w:r w:rsidRPr="00217064">
        <w:rPr>
          <w:rFonts w:ascii="Times" w:hAnsi="Times"/>
          <w:i/>
          <w:sz w:val="20"/>
        </w:rPr>
        <w:t>Fig</w:t>
      </w:r>
      <w:r>
        <w:rPr>
          <w:rFonts w:ascii="Times" w:hAnsi="Times"/>
          <w:i/>
          <w:sz w:val="20"/>
        </w:rPr>
        <w:t>ure</w:t>
      </w:r>
      <w:r w:rsidRPr="00217064">
        <w:rPr>
          <w:rFonts w:ascii="Times" w:hAnsi="Times"/>
          <w:i/>
          <w:sz w:val="20"/>
        </w:rPr>
        <w:t xml:space="preserve"> S</w:t>
      </w:r>
      <w:r>
        <w:rPr>
          <w:rFonts w:ascii="Times" w:hAnsi="Times"/>
          <w:i/>
          <w:sz w:val="20"/>
        </w:rPr>
        <w:t>6</w:t>
      </w:r>
      <w:r w:rsidRPr="00217064">
        <w:rPr>
          <w:rFonts w:ascii="Times" w:hAnsi="Times"/>
          <w:i/>
          <w:sz w:val="20"/>
        </w:rPr>
        <w:t xml:space="preserve">: </w:t>
      </w:r>
      <w:r>
        <w:rPr>
          <w:rFonts w:ascii="Times" w:hAnsi="Times"/>
          <w:i/>
          <w:sz w:val="20"/>
        </w:rPr>
        <w:t xml:space="preserve">Median percentage of </w:t>
      </w:r>
      <w:proofErr w:type="spellStart"/>
      <w:r>
        <w:rPr>
          <w:rFonts w:ascii="Times" w:hAnsi="Times"/>
          <w:i/>
          <w:sz w:val="20"/>
        </w:rPr>
        <w:t>intransitivities</w:t>
      </w:r>
      <w:proofErr w:type="spellEnd"/>
      <w:r>
        <w:rPr>
          <w:rFonts w:ascii="Times" w:hAnsi="Times"/>
          <w:i/>
          <w:sz w:val="20"/>
        </w:rPr>
        <w:t xml:space="preserve"> at different noise levels, based on 1000 simulations</w:t>
      </w:r>
      <w:r w:rsidRPr="00217064">
        <w:rPr>
          <w:rFonts w:ascii="Times" w:hAnsi="Times"/>
          <w:i/>
          <w:sz w:val="20"/>
        </w:rPr>
        <w:t>.</w:t>
      </w:r>
      <w:proofErr w:type="gramEnd"/>
      <w:r>
        <w:rPr>
          <w:rFonts w:ascii="Times" w:hAnsi="Times"/>
          <w:i/>
          <w:sz w:val="20"/>
        </w:rPr>
        <w:t xml:space="preserve"> Error bars indicate standard errors of the simulation means.</w:t>
      </w:r>
    </w:p>
    <w:p w:rsidR="00DE2925" w:rsidRPr="00CB4B24" w:rsidRDefault="00DE2925" w:rsidP="00DE2925">
      <w:bookmarkStart w:id="0" w:name="_GoBack"/>
      <w:bookmarkEnd w:id="0"/>
    </w:p>
    <w:p w:rsidR="00DE2925" w:rsidRDefault="00DE2925" w:rsidP="00DE2925"/>
    <w:p w:rsidR="00DE2925" w:rsidRDefault="00DE2925"/>
    <w:sectPr w:rsidR="00DE2925" w:rsidSect="004F162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925"/>
    <w:rsid w:val="004F1627"/>
    <w:rsid w:val="00DE29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E817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9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292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29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292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272</Words>
  <Characters>1552</Characters>
  <Application>Microsoft Macintosh Word</Application>
  <DocSecurity>0</DocSecurity>
  <Lines>12</Lines>
  <Paragraphs>3</Paragraphs>
  <ScaleCrop>false</ScaleCrop>
  <Company>Stanford University</Company>
  <LinksUpToDate>false</LinksUpToDate>
  <CharactersWithSpaces>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Ayse Zeynep Enkavi</dc:creator>
  <cp:keywords/>
  <dc:description/>
  <cp:lastModifiedBy>Ayse Zeynep Enkavi</cp:lastModifiedBy>
  <cp:revision>1</cp:revision>
  <cp:lastPrinted>2016-03-21T15:21:00Z</cp:lastPrinted>
  <dcterms:created xsi:type="dcterms:W3CDTF">2016-03-21T15:15:00Z</dcterms:created>
  <dcterms:modified xsi:type="dcterms:W3CDTF">2016-03-21T15:21:00Z</dcterms:modified>
</cp:coreProperties>
</file>