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Research Interests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Neuroeconomics and decision neuroscience</w:t>
      </w:r>
    </w:p>
    <w:p>
      <w:pPr/>
      <w:r>
        <w:rPr>
          <w:rFonts w:ascii="Times" w:hAnsi="Times" w:cs="Times"/>
          <w:sz w:val="20"/>
          <w:sz-cs w:val="20"/>
        </w:rPr>
        <w:t xml:space="preserve">Individual differences in and behavioral interventions on self-regulation</w:t>
      </w:r>
    </w:p>
    <w:p>
      <w:pPr/>
      <w:r>
        <w:rPr>
          <w:rFonts w:ascii="Times" w:hAnsi="Times" w:cs="Times"/>
          <w:sz w:val="20"/>
          <w:sz-cs w:val="20"/>
        </w:rPr>
        <w:t xml:space="preserve">Tool building for fast and reproducible meta-analyses in behavioral sciences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1.</w:t>
        <w:tab/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2.</w:t>
        <w:tab/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</w:rPr>
        <w:t xml:space="preserve"/>
        <w:tab/>
        <w:t xml:space="preserve">3.</w:t>
        <w:tab/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22222"/>
        </w:rPr>
        <w:t xml:space="preserve"/>
        <w:tab/>
        <w:t xml:space="preserve">4.</w:t>
        <w:tab/>
        <w:t xml:space="preserve">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b/>
          <w:color w:val="222222"/>
        </w:rPr>
        <w:t xml:space="preserve"/>
        <w:tab/>
        <w:t xml:space="preserve">5.</w:t>
        <w:tab/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22222"/>
        </w:rPr>
        <w:t xml:space="preserve"/>
        <w:tab/>
        <w:t xml:space="preserve">6.</w:t>
        <w:tab/>
        <w:t xml:space="preserve">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7.</w:t>
        <w:tab/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CocoaOOXMLWriter/1894.2</generator>
</meta>
</file>