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Research Interests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Neuroeconomics and decision neuroscience</w:t>
      </w:r>
    </w:p>
    <w:p>
      <w:pPr/>
      <w:r>
        <w:rPr>
          <w:rFonts w:ascii="Times" w:hAnsi="Times" w:cs="Times"/>
          <w:sz w:val="20"/>
          <w:sz-cs w:val="20"/>
        </w:rPr>
        <w:t xml:space="preserve">Individual differences in and behavioral interventions on self-regulation</w:t>
      </w:r>
    </w:p>
    <w:p>
      <w:pPr/>
      <w:r>
        <w:rPr>
          <w:rFonts w:ascii="Times" w:hAnsi="Times" w:cs="Times"/>
          <w:sz w:val="20"/>
          <w:sz-cs w:val="20"/>
        </w:rPr>
        <w:t xml:space="preserve">Tool building for fast and reproducible meta-analyses in behavioral sciences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Student in Psychology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2012 -14</w:t>
        <w:tab/>
        <w:t xml:space="preserve"/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2014-19</w:t>
        <w:tab/>
        <w:t xml:space="preserve"/>
        <w:tab/>
        <w:t xml:space="preserve">Stanford Graduate Fellowship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2010-12</w:t>
        <w:tab/>
        <w:t xml:space="preserve"/>
        <w:tab/>
        <w:t xml:space="preserve">Dean’s List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9)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Poldrack, R. A. (2020) Implications of the lacking relationship between cognitive task and self report measures for psychiatry.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Biological Psychiatry: Cognitive Neuroscience and Neuroimaging, </w:t>
      </w:r>
      <w:r>
        <w:rPr>
          <w:rFonts w:ascii="Times" w:hAnsi="Times" w:cs="Times"/>
          <w:sz w:val="20"/>
          <w:sz-cs w:val="20"/>
          <w:color w:val="222222"/>
        </w:rPr>
        <w:t xml:space="preserve">DOI: 10.1016/j.bpsc.2020.06.010</w:t>
      </w:r>
      <w:r>
        <w:rPr>
          <w:rFonts w:ascii="Times" w:hAnsi="Times" w:cs="Times"/>
          <w:sz w:val="20"/>
          <w:sz-cs w:val="20"/>
          <w:i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DOI: 10.1080/00223891.2020.1732994.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</w:t>
      </w:r>
    </w:p>
    <w:p>
      <w:pPr/>
      <w:r>
        <w:rPr>
          <w:rFonts w:ascii="Times" w:hAnsi="Times" w:cs="Times"/>
          <w:sz w:val="20"/>
          <w:sz-cs w:val="20"/>
        </w:rPr>
        <w:t xml:space="preserve">Biological Psychiatry</w:t>
      </w:r>
    </w:p>
    <w:p>
      <w:pPr/>
      <w:r>
        <w:rPr>
          <w:rFonts w:ascii="Times" w:hAnsi="Times" w:cs="Times"/>
          <w:sz w:val="20"/>
          <w:sz-cs w:val="20"/>
        </w:rPr>
        <w:t xml:space="preserve">Trends in Cognitive Sciences</w:t>
      </w:r>
    </w:p>
    <w:p>
      <w:pPr/>
      <w:r>
        <w:rPr>
          <w:rFonts w:ascii="Times" w:hAnsi="Times" w:cs="Times"/>
          <w:sz w:val="20"/>
          <w:sz-cs w:val="20"/>
        </w:rPr>
        <w:t xml:space="preserve">Nature Human Behaviour</w:t>
      </w:r>
    </w:p>
    <w:p>
      <w:pPr/>
      <w:r>
        <w:rPr>
          <w:rFonts w:ascii="Times" w:hAnsi="Times" w:cs="Times"/>
          <w:sz w:val="20"/>
          <w:sz-cs w:val="20"/>
        </w:rPr>
        <w:t xml:space="preserve">Journal of Neuroscience, Psychology and 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Antonio Rangel , PhD</w:t>
      </w:r>
    </w:p>
    <w:p>
      <w:pPr/>
      <w:r>
        <w:rPr>
          <w:rFonts w:ascii="Times" w:hAnsi="Times" w:cs="Times"/>
          <w:sz w:val="20"/>
          <w:sz-cs w:val="20"/>
        </w:rPr>
        <w:t xml:space="preserve">California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CocoaOOXMLWriter/1894.5</generator>
</meta>
</file>