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p. 359 e adiante – coisas relacionadas ao corpo, habitos esteticos em obras de ficção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p. 589 e adiante – purificacao do corpo – bastante coisa</w:t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Referências: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DUBY, G. et al. </w:t>
      </w:r>
      <w:r>
        <w:rPr>
          <w:b/>
          <w:bCs/>
        </w:rPr>
        <w:t>História da vida privada, 2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da Europa</w:t>
      </w:r>
      <w:r>
        <w:rPr>
          <w:b/>
          <w:bCs/>
        </w:rPr>
        <w:t xml:space="preserve"> </w:t>
      </w:r>
      <w:r>
        <w:rPr>
          <w:b w:val="false"/>
          <w:bCs w:val="false"/>
        </w:rPr>
        <w:t>Feudal à Renascença. 5 ed. São Paulo: Editora Schwarcz, 1992.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Os banhos no contexto renascentista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LibreOffice/24.2.7.2$Linux_X86_64 LibreOffice_project/420$Build-2</Application>
  <AppVersion>15.0000</AppVersion>
  <Pages>2</Pages>
  <Words>56</Words>
  <Characters>285</Characters>
  <CharactersWithSpaces>340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2025-09-01T16:18:57Z</dcterms:created>
  <dc:creator/>
  <dc:description/>
  <dc:language>pt-BR</dc:language>
  <cp:lastModifiedBy/>
  <dcterms:modified xsi:type="dcterms:W3CDTF">2025-09-03T22:07:08Z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