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Mathematical Equations Example</w:t>
      </w:r>
    </w:p>
    <w:p>
      <w:pPr>
        <w:pStyle w:val="MdParagraph"/>
      </w:pPr>
      <w:r>
        <w:t xml:space="preserve">This document demonstrates the LaTeX math equation support in markdown-docx.</w:t>
      </w:r>
    </w:p>
    <w:p>
      <w:pPr>
        <w:pStyle w:val="MdSpace"/>
      </w:pPr>
    </w:p>
    <w:p>
      <w:pPr>
        <w:pStyle w:val="Heading2"/>
        <w:pStyle w:val="MdHeading2"/>
      </w:pPr>
      <w:r>
        <w:t xml:space="preserve">Inline Math</w:t>
      </w:r>
    </w:p>
    <w:p>
      <w:pPr>
        <w:pStyle w:val="MdParagraph"/>
      </w:pPr>
      <w:r>
        <w:t xml:space="preserve">You can write inline equations like </w:t>
      </w:r>
      <m:oMath>
        <m:r>
          <m:t>E</m:t>
        </m:r>
        <m:r>
          <m:t>=</m:t>
        </m:r>
        <m:r>
          <m:t>m</m:t>
        </m:r>
        <m:sSup>
          <m:sSupPr/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directly in your text. Here are more examples:</w:t>
      </w:r>
    </w:p>
    <w:p>
      <w:pPr>
        <w:pStyle w:val="MdSpace"/>
      </w:pPr>
    </w:p>
    <w:p>
      <w:pPr>
        <w:pStyle w:val="ListParagraph"/>
        <w:pStyle w:val="MdListItem"/>
        <w:numPr>
          <w:ilvl w:val="0"/>
          <w:numId w:val="1"/>
        </w:numPr>
      </w:pPr>
      <w:r>
        <w:t xml:space="preserve">Einstein's mass-energy equivalence: </w:t>
      </w:r>
      <m:oMath>
        <m:r>
          <m:t>E</m:t>
        </m:r>
        <m:r>
          <m:t>=</m:t>
        </m:r>
        <m:r>
          <m:t>m</m:t>
        </m:r>
        <m:sSup>
          <m:sSupPr/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ListParagraph"/>
        <w:pStyle w:val="MdListItem"/>
        <w:numPr>
          <w:ilvl w:val="0"/>
          <w:numId w:val="1"/>
        </w:numPr>
      </w:pPr>
      <w:r>
        <w:t xml:space="preserve">Pythagorean theorem: </w:t>
      </w:r>
      <m:oMath>
        <m:sSup>
          <m:sSupPr/>
          <m:e>
            <m:r>
              <m:t>a</m:t>
            </m:r>
          </m:e>
          <m:sup>
            <m:r>
              <m:t>2</m:t>
            </m:r>
          </m:sup>
        </m:sSup>
        <m:r>
          <m:t>+</m:t>
        </m:r>
        <m:sSup>
          <m:sSupPr/>
          <m:e>
            <m:r>
              <m:t>b</m:t>
            </m:r>
          </m:e>
          <m:sup>
            <m:r>
              <m:t>2</m:t>
            </m:r>
          </m:sup>
        </m:sSup>
        <m:r>
          <m:t>=</m:t>
        </m:r>
        <m:sSup>
          <m:sSupPr/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ListParagraph"/>
        <w:pStyle w:val="MdListItem"/>
        <w:numPr>
          <w:ilvl w:val="0"/>
          <w:numId w:val="1"/>
        </w:numPr>
      </w:pPr>
      <w:r>
        <w:t xml:space="preserve">Quadratic formula: </w:t>
      </w:r>
      <m:oMath>
        <m:r>
          <m:t>x</m:t>
        </m:r>
        <m:r>
          <m:t>=</m:t>
        </m:r>
        <m:f>
          <m:num>
            <m:r>
              <m:t>−</m:t>
            </m:r>
            <m:r>
              <m:t>b</m:t>
            </m:r>
            <m:r>
              <m:t>±</m:t>
            </m:r>
            <m:rad>
              <m:radPr>
                <m:degHide m:val="1"/>
              </m:radPr>
              <m:deg/>
              <m:e>
                <m:sSup>
                  <m:sSupPr/>
                  <m:e>
                    <m:r>
                      <m:t>b</m:t>
                    </m:r>
                  </m:e>
                  <m:sup>
                    <m:r>
                      <m:t>2</m:t>
                    </m:r>
                  </m:sup>
                </m:sSup>
                <m:r>
                  <m:t>−</m:t>
                </m:r>
                <m:r>
                  <m:t>4</m:t>
                </m:r>
                <m:r>
                  <m:t>a</m:t>
                </m:r>
                <m:r>
                  <m:t>c</m:t>
                </m:r>
              </m:e>
            </m:rad>
          </m:num>
          <m:den>
            <m:r>
              <m:t>2</m:t>
            </m:r>
            <m:r>
              <m:t>a</m:t>
            </m:r>
          </m:den>
        </m:f>
      </m:oMath>
    </w:p>
    <w:p>
      <w:pPr>
        <w:pStyle w:val="ListParagraph"/>
        <w:pStyle w:val="MdListItem"/>
        <w:numPr>
          <w:ilvl w:val="0"/>
          <w:numId w:val="1"/>
        </w:numPr>
      </w:pPr>
      <w:r>
        <w:t xml:space="preserve">Greek letters: </w:t>
      </w:r>
      <m:oMath>
        <m:r>
          <m:t>α</m:t>
        </m:r>
      </m:oMath>
      <w:r>
        <w:t xml:space="preserve">, </w:t>
      </w:r>
      <m:oMath>
        <m:r>
          <m:t>β</m:t>
        </m:r>
      </m:oMath>
      <w:r>
        <w:t xml:space="preserve">, </w:t>
      </w:r>
      <m:oMath>
        <m:r>
          <m:t>γ</m:t>
        </m:r>
      </m:oMath>
      <w:r>
        <w:t xml:space="preserve">, </w:t>
      </w:r>
      <m:oMath>
        <m:r>
          <m:t>δ</m:t>
        </m:r>
      </m:oMath>
      <w:r>
        <w:t xml:space="preserve">, </w:t>
      </w:r>
      <m:oMath>
        <m:r>
          <m:t>π</m:t>
        </m:r>
      </m:oMath>
      <w:r>
        <w:t xml:space="preserve">, </w:t>
      </w:r>
      <m:oMath>
        <m:r>
          <m:t>ω</m:t>
        </m:r>
      </m:oMath>
    </w:p>
    <w:p>
      <w:pPr>
        <w:pStyle w:val="MdSpace"/>
      </w:pPr>
    </w:p>
    <w:p>
      <w:pPr>
        <w:pStyle w:val="Heading2"/>
        <w:pStyle w:val="MdHeading2"/>
      </w:pPr>
      <w:r>
        <w:t xml:space="preserve">Block Math</w:t>
      </w:r>
    </w:p>
    <w:p>
      <w:pPr>
        <w:pStyle w:val="MdParagraph"/>
      </w:pPr>
      <w:r>
        <w:t xml:space="preserve">For display equations, use double dollar signs:</w:t>
      </w:r>
    </w:p>
    <w:p>
      <w:pPr>
        <w:pStyle w:val="MdSpace"/>
      </w:pPr>
    </w:p>
    <w:p>
      <m:oMath>
        <m:r>
          <m:t>E</m:t>
        </m:r>
        <m:r>
          <m:t>=</m:t>
        </m:r>
        <m:r>
          <m:t>m</m:t>
        </m:r>
        <m:sSup>
          <m:sSupPr/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Heading3"/>
        <w:pStyle w:val="MdHeading3"/>
      </w:pPr>
      <w:r>
        <w:t xml:space="preserve">More Examples</w:t>
      </w:r>
    </w:p>
    <w:p>
      <w:pPr>
        <w:pStyle w:val="MdParagraph"/>
      </w:pPr>
      <w:r>
        <w:t xml:space="preserve">The Pythagorean theorem:</w:t>
      </w:r>
    </w:p>
    <w:p>
      <w:pPr>
        <w:pStyle w:val="MdSpace"/>
      </w:pPr>
    </w:p>
    <w:p>
      <m:oMath>
        <m:sSup>
          <m:sSupPr/>
          <m:e>
            <m:r>
              <m:t>a</m:t>
            </m:r>
          </m:e>
          <m:sup>
            <m:r>
              <m:t>2</m:t>
            </m:r>
          </m:sup>
        </m:sSup>
        <m:r>
          <m:t>+</m:t>
        </m:r>
        <m:sSup>
          <m:sSupPr/>
          <m:e>
            <m:r>
              <m:t>b</m:t>
            </m:r>
          </m:e>
          <m:sup>
            <m:r>
              <m:t>2</m:t>
            </m:r>
          </m:sup>
        </m:sSup>
        <m:r>
          <m:t>=</m:t>
        </m:r>
        <m:sSup>
          <m:sSupPr/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MdParagraph"/>
      </w:pPr>
      <w:r>
        <w:t xml:space="preserve">Sum of Greek letters:</w:t>
      </w:r>
    </w:p>
    <w:p>
      <w:pPr>
        <w:pStyle w:val="MdSpace"/>
      </w:pPr>
    </w:p>
    <w:p>
      <m:oMath>
        <m:r>
          <m:t>α</m:t>
        </m:r>
        <m:r>
          <m:t>+</m:t>
        </m:r>
        <m:r>
          <m:t>β</m:t>
        </m:r>
        <m:r>
          <m:t>+</m:t>
        </m:r>
        <m:r>
          <m:t>γ</m:t>
        </m:r>
        <m:r>
          <m:t>=</m:t>
        </m:r>
        <m:r>
          <m:t>π</m:t>
        </m:r>
      </m:oMath>
    </w:p>
    <w:p>
      <w:pPr>
        <w:pStyle w:val="MdParagraph"/>
      </w:pPr>
      <w:r>
        <w:t xml:space="preserve">Inequality:</w:t>
      </w:r>
    </w:p>
    <w:p>
      <w:pPr>
        <w:pStyle w:val="MdSpace"/>
      </w:pPr>
    </w:p>
    <w:p>
      <m:oMath>
        <m:r>
          <m:t>x</m:t>
        </m:r>
        <m:r>
          <m:t>≤</m:t>
        </m:r>
        <m:r>
          <m:t>y</m:t>
        </m:r>
      </m:oMath>
    </w:p>
    <w:p>
      <w:pPr>
        <w:pStyle w:val="MdParagraph"/>
      </w:pPr>
      <w:r>
        <w:t xml:space="preserve">Mathematical operations:</w:t>
      </w:r>
    </w:p>
    <w:p>
      <w:pPr>
        <w:pStyle w:val="MdSpace"/>
      </w:pPr>
    </w:p>
    <w:p>
      <m:oMath>
        <m:r>
          <m:t>a</m:t>
        </m:r>
        <m:r>
          <m:t>×</m:t>
        </m:r>
        <m:r>
          <m:t>b</m:t>
        </m:r>
        <m:r>
          <m:t>÷</m:t>
        </m:r>
        <m:r>
          <m:t>c</m:t>
        </m:r>
        <m:r>
          <m:t>±</m:t>
        </m:r>
        <m:r>
          <m:t>d</m:t>
        </m:r>
      </m:oMath>
    </w:p>
    <w:p>
      <w:pPr>
        <w:pStyle w:val="Heading3"/>
        <w:pStyle w:val="MdHeading3"/>
      </w:pPr>
      <w:r>
        <w:t xml:space="preserve">Accent and Vector Examples</w:t>
      </w:r>
    </w:p>
    <w:p>
      <w:pPr>
        <w:pStyle w:val="MdParagraph"/>
      </w:pPr>
      <w:r>
        <w:t xml:space="preserve">Inline accents: </w:t>
      </w:r>
      <m:oMath>
        <m:acc>
          <m:accPr>
            <m:chr m:val="⃗"/>
          </m:accPr>
          <m:e>
            <m:r>
              <m:t>F</m:t>
            </m:r>
          </m:e>
        </m:acc>
      </m:oMath>
      <w:r>
        <w:t xml:space="preserve">, </w:t>
      </w:r>
      <m:oMath>
        <m:acc>
          <m:accPr>
            <m:chr m:val="^"/>
          </m:accPr>
          <m:e>
            <m:r>
              <m:t>x</m:t>
            </m:r>
          </m:e>
        </m:acc>
      </m:oMath>
      <w:r>
        <w:t xml:space="preserve">, </w:t>
      </w:r>
      <m:oMath>
        <m:acc>
          <m:accPr>
            <m:chr m:val="‾"/>
          </m:accPr>
          <m:e>
            <m:r>
              <m:t>A</m:t>
            </m:r>
            <m:r>
              <m:t>B</m:t>
            </m:r>
          </m:e>
        </m:acc>
      </m:oMath>
      <w:r>
        <w:t xml:space="preserve">.</w:t>
      </w:r>
    </w:p>
    <w:p>
      <w:pPr>
        <w:pStyle w:val="MdSpace"/>
      </w:pPr>
    </w:p>
    <w:p>
      <w:pPr>
        <w:pStyle w:val="MdParagraph"/>
      </w:pPr>
      <w:r>
        <w:t xml:space="preserve">Accented expression with operator base:</w:t>
      </w:r>
    </w:p>
    <w:p>
      <w:pPr>
        <w:pStyle w:val="MdSpace"/>
      </w:pPr>
    </w:p>
    <w:p>
      <m:oMath>
        <m:acc>
          <m:accPr>
            <m:chr m:val="⃗"/>
          </m:accPr>
          <m:e>
            <m:r>
              <m:t>x</m:t>
            </m:r>
            <m:r>
              <m:t>+</m:t>
            </m:r>
            <m:r>
              <m:t>y</m:t>
            </m:r>
          </m:e>
        </m:acc>
      </m:oMath>
    </w:p>
    <w:p>
      <w:pPr>
        <w:pStyle w:val="Heading2"/>
        <w:pStyle w:val="MdHeading2"/>
      </w:pPr>
      <w:r>
        <w:t xml:space="preserve">Supported Features</w:t>
      </w:r>
    </w:p>
    <w:p>
      <w:pPr>
        <w:pStyle w:val="MdParagraph"/>
      </w:pPr>
      <w:r>
        <w:t xml:space="preserve">Currently supported LaTeX features:</w:t>
      </w:r>
    </w:p>
    <w:p>
      <w:pPr>
        <w:pStyle w:val="MdSpace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Superscripts</w:t>
      </w:r>
      <w:r>
        <w:t xml:space="preserve">: </w:t>
      </w:r>
      <m:oMath>
        <m:sSup>
          <m:sSupPr/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</w:t>
      </w:r>
      <m:oMath>
        <m:sSup>
          <m:sSupPr/>
          <m:e>
            <m:r>
              <m:t>e</m:t>
            </m:r>
          </m:e>
          <m:sup>
            <m:r>
              <m:t>10</m:t>
            </m:r>
          </m:sup>
        </m:sSup>
      </m:oMath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Subscripts</w:t>
      </w:r>
      <w:r>
        <w:t xml:space="preserve">: </w:t>
      </w:r>
      <m:oMath>
        <m:sSub>
          <m:sSubPr/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</w:t>
      </w:r>
      <m:oMath>
        <m:sSub>
          <m:sSubPr/>
          <m:e>
            <m:r>
              <m:t>a</m:t>
            </m:r>
          </m:e>
          <m:sub>
            <m:r>
              <m:t>10</m:t>
            </m:r>
          </m:sub>
        </m:sSub>
      </m:oMath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Greek letters</w:t>
      </w:r>
      <w:r>
        <w:t xml:space="preserve">: </w:t>
      </w:r>
      <m:oMath>
        <m:r>
          <m:t>α</m:t>
        </m:r>
      </m:oMath>
      <w:r>
        <w:t xml:space="preserve">, </w:t>
      </w:r>
      <m:oMath>
        <m:r>
          <m:t>β</m:t>
        </m:r>
      </m:oMath>
      <w:r>
        <w:t xml:space="preserve">, </w:t>
      </w:r>
      <m:oMath>
        <m:r>
          <m:t>γ</m:t>
        </m:r>
      </m:oMath>
      <w:r>
        <w:t xml:space="preserve">, </w:t>
      </w:r>
      <m:oMath>
        <m:r>
          <m:t>δ</m:t>
        </m:r>
      </m:oMath>
      <w:r>
        <w:t xml:space="preserve">, </w:t>
      </w:r>
      <m:oMath>
        <m:r>
          <m:t>ϵ</m:t>
        </m:r>
      </m:oMath>
      <w:r>
        <w:t xml:space="preserve">, </w:t>
      </w:r>
      <m:oMath>
        <m:r>
          <m:t>π</m:t>
        </m:r>
      </m:oMath>
      <w:r>
        <w:t xml:space="preserve">, </w:t>
      </w:r>
      <m:oMath>
        <m:r>
          <m:t>ω</m:t>
        </m:r>
      </m:oMath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Operators</w:t>
      </w:r>
      <w:r>
        <w:t xml:space="preserve">: </w:t>
      </w:r>
      <m:oMath>
        <m:r>
          <m:t>×</m:t>
        </m:r>
      </m:oMath>
      <w:r>
        <w:t xml:space="preserve">, </w:t>
      </w:r>
      <m:oMath>
        <m:r>
          <m:t>÷</m:t>
        </m:r>
      </m:oMath>
      <w:r>
        <w:t xml:space="preserve">, </w:t>
      </w:r>
      <m:oMath>
        <m:r>
          <m:t>±</m:t>
        </m:r>
      </m:oMath>
      <w:r>
        <w:t xml:space="preserve">, </w:t>
      </w:r>
      <m:oMath>
        <m:r>
          <m:t>∓</m:t>
        </m:r>
      </m:oMath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Relations</w:t>
      </w:r>
      <w:r>
        <w:t xml:space="preserve">: </w:t>
      </w:r>
      <m:oMath>
        <m:r>
          <m:t>≤</m:t>
        </m:r>
      </m:oMath>
      <w:r>
        <w:t xml:space="preserve">, </w:t>
      </w:r>
      <m:oMath>
        <m:r>
          <m:t>≥</m:t>
        </m:r>
      </m:oMath>
      <w:r>
        <w:t xml:space="preserve">, </w:t>
      </w:r>
      <m:oMath>
        <m:r>
          <m:t>≠</m:t>
        </m:r>
      </m:oMath>
      <w:r>
        <w:t xml:space="preserve">, </w:t>
      </w:r>
      <m:oMath>
        <m:r>
          <m:t>≈</m:t>
        </m:r>
      </m:oMath>
      <w:r>
        <w:t xml:space="preserve">, </w:t>
      </w:r>
      <m:oMath>
        <m:r>
          <m:t>≡</m:t>
        </m:r>
      </m:oMath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Special symbols</w:t>
      </w:r>
      <w:r>
        <w:t xml:space="preserve">: </w:t>
      </w:r>
      <m:oMath>
        <m:r>
          <m:t>∞</m:t>
        </m:r>
      </m:oMath>
      <w:r>
        <w:t xml:space="preserve">, </w:t>
      </w:r>
      <m:oMath>
        <m:r>
          <m:t>∈</m:t>
        </m:r>
      </m:oMath>
      <w:r>
        <w:t xml:space="preserve">, </w:t>
      </w:r>
      <m:oMath>
        <m:r>
          <m:t>∉</m:t>
        </m:r>
      </m:oMath>
    </w:p>
    <w:p>
      <w:pPr>
        <w:pStyle w:val="MdSpace"/>
      </w:pPr>
    </w:p>
    <w:p>
      <w:pPr>
        <w:pStyle w:val="Heading2"/>
        <w:pStyle w:val="MdHeading2"/>
      </w:pPr>
      <w:r>
        <w:t xml:space="preserve">Limitations</w:t>
      </w:r>
    </w:p>
    <w:p>
      <w:pPr>
        <w:pStyle w:val="MdParagraph"/>
      </w:pPr>
      <w:r>
        <w:t xml:space="preserve">This is a basic implementation that converts LaTeX to Unicode text representation. For more complex equations with fractions, matrices, integrals, etc., a more sophisticated LaTeX-to-OMML converter would be needed.</w:t>
      </w:r>
    </w:p>
    <w:p>
      <w:pPr>
        <w:pStyle w:val="MdSpace"/>
      </w:pPr>
    </w:p>
    <w:p>
      <w:pPr>
        <w:pStyle w:val="Heading2"/>
        <w:pStyle w:val="MdHeading2"/>
      </w:pPr>
      <w:r>
        <w:t xml:space="preserve">Future Enhancements</w:t>
      </w:r>
    </w:p>
    <w:p>
      <w:pPr>
        <w:pStyle w:val="MdParagraph"/>
      </w:pPr>
      <w:r>
        <w:t xml:space="preserve">Potential improvements:</w:t>
      </w:r>
    </w:p>
    <w:p>
      <w:pPr>
        <w:pStyle w:val="MdSpace"/>
      </w:pPr>
    </w:p>
    <w:p>
      <w:pPr>
        <w:pStyle w:val="ListParagraph"/>
        <w:pStyle w:val="MdListItem"/>
        <w:numPr>
          <w:ilvl w:val="0"/>
          <w:numId w:val="1"/>
        </w:numPr>
      </w:pPr>
      <w:r>
        <w:t xml:space="preserve">Full LaTeX-to-OMML conversion for complex equations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Support for fractions, radicals, matrices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Support for integrals, summations, products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Support for multi-line equations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Better handling of nested expressions</w:t>
      </w:r>
    </w:p>
    <w:p>
      <w:pPr>
        <w:pStyle w:val="MdSpace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start"/>
    </w:lvl>
    <w:lvl w:ilvl="1" w15:tentative="1">
      <w:start w:val="1"/>
      <w:numFmt w:val="decimal"/>
      <w:lvlText w:val="%1.%2"/>
      <w:lvlJc w:val="start"/>
    </w:lvl>
    <w:lvl w:ilvl="2" w15:tentative="1">
      <w:start w:val="1"/>
      <w:numFmt w:val="decimal"/>
      <w:lvlText w:val="%1.%2.%3"/>
      <w:lvlJc w:val="start"/>
    </w:lvl>
    <w:lvl w:ilvl="3" w15:tentative="1">
      <w:start w:val="1"/>
      <w:numFmt w:val="decimal"/>
      <w:lvlText w:val="%4)"/>
      <w:lvlJc w:val="start"/>
    </w:lvl>
    <w:lvl w:ilvl="4" w15:tentative="1">
      <w:start w:val="1"/>
      <w:numFmt w:val="decimal"/>
      <w:lvlText w:val="%5)"/>
      <w:lvlJc w:val="start"/>
    </w:lvl>
    <w:lvl w:ilvl="5" w15:tentative="1">
      <w:start w:val="1"/>
      <w:numFmt w:val="decimal"/>
      <w:lvlText w:val="%6)"/>
      <w:lvlJc w:val="start"/>
    </w:lvl>
    <w:lvl w:ilvl="6" w15:tentative="1">
      <w:start w:val="1"/>
      <w:numFmt w:val="decimal"/>
      <w:lvlText w:val="%7)"/>
      <w:lvlJc w:val="start"/>
    </w:lvl>
    <w:lvl w:ilvl="7" w15:tentative="1">
      <w:start w:val="1"/>
      <w:numFmt w:val="decimal"/>
      <w:lvlText w:val="%8)"/>
      <w:lvlJc w:val="start"/>
    </w:lvl>
    <w:lvl w:ilvl="8" w15:tentative="1">
      <w:start w:val="1"/>
      <w:numFmt w:val="decimal"/>
      <w:lvlText w:val="%9)"/>
      <w:lvlJc w:val="start"/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start"/>
    </w:lvl>
    <w:lvl w:ilvl="1" w15:tentative="1">
      <w:start w:val="1"/>
      <w:numFmt w:val="bullet"/>
      <w:lvlText w:val="■"/>
      <w:lvlJc w:val="start"/>
    </w:lvl>
    <w:lvl w:ilvl="2" w15:tentative="1">
      <w:start w:val="1"/>
      <w:numFmt w:val="bullet"/>
      <w:lvlText w:val="▶"/>
      <w:lvlJc w:val="start"/>
    </w:lvl>
    <w:lvl w:ilvl="3" w15:tentative="1">
      <w:start w:val="1"/>
      <w:numFmt w:val="bullet"/>
      <w:lvlText w:val="▲"/>
      <w:lvlJc w:val="start"/>
    </w:lvl>
    <w:lvl w:ilvl="4" w15:tentative="1">
      <w:start w:val="1"/>
      <w:numFmt w:val="bullet"/>
      <w:lvlText w:val="◆"/>
      <w:lvlJc w:val="start"/>
    </w:lvl>
    <w:lvl w:ilvl="5" w15:tentative="1">
      <w:start w:val="1"/>
      <w:numFmt w:val="bullet"/>
      <w:lvlText w:val="●"/>
      <w:lvlJc w:val="start"/>
    </w:lvl>
    <w:lvl w:ilvl="6" w15:tentative="1">
      <w:start w:val="1"/>
      <w:numFmt w:val="bullet"/>
      <w:lvlText w:val="□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before="480" w:after="240"/>
      <w:outlineLvl w:val="0"/>
    </w:pPr>
    <w:rPr>
      <w:b/>
      <w:bCs/>
      <w:color w:val="2F5597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before="400" w:after="200"/>
      <w:outlineLvl w:val="1"/>
    </w:pPr>
    <w:rPr>
      <w:b/>
      <w:bCs/>
      <w:color w:val="5B9BD5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320" w:after="160"/>
      <w:outlineLvl w:val="2"/>
    </w:pPr>
    <w:rPr>
      <w:b/>
      <w:bCs/>
      <w:color w:val="44546A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bCs/>
      <w:color w:val="44546A"/>
      <w:sz w:val="26"/>
      <w:szCs w:val="26"/>
    </w:rPr>
  </w:style>
  <w:style w:type="paragraph" w:styleId="Heading5">
    <w:name w:val="Heading 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color w:val="44546A"/>
      <w:sz w:val="24"/>
      <w:szCs w:val="24"/>
    </w:rPr>
  </w:style>
  <w:style w:type="paragraph" w:styleId="Heading6">
    <w:name w:val="Heading 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color w:val="44546A"/>
      <w:sz w:val="24"/>
      <w:szCs w:val="24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hd w:fill="f6f6f7"/>
      <w:spacing w:before="200" w:after="200"/>
    </w:pPr>
    <w:rPr>
      <w:rFonts w:ascii="Courier New" w:cs="Courier New" w:eastAsia="Courier New" w:hAnsi="Courier New"/>
      <w:color w:val="032F62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D9D9D9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666666" w:sz="20" w:space="12"/>
      </w:pBdr>
      <w:shd w:fill="F9F9F9"/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4472C4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rPr>
      <w:b/>
      <w:bCs/>
    </w:rPr>
  </w:style>
  <w:style w:type="paragraph" w:styleId="MdTableCell">
    <w:name w:val="MdTableCell"/>
    <w:basedOn w:val="Normal"/>
    <w:next w:val="Normal"/>
    <w:qFormat/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color w:val="2F5597"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color w:val="5B9BD5"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color w:val="44546A"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color w:val="44546A"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color w:val="44546A"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color w:val="44546A"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  <w:color w:val="FF0000"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2026-02-17T05:10:37.703Z</dcterms:created>
  <dcterms:modified xsi:type="dcterms:W3CDTF">2026-02-17T05:10:37.703Z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