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CARLOS ALBERTO FUENTES</w:t>
        <w:br/>
        <w:t>Vs</w:t>
        <w:br/>
        <w:t>JULIANA FELIPE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Carlos Alberto Fuentes y Juliana Felipe, por nuestro propio derecho, señalando como domicilio para oír y recibir toda clase de notificaciones, valores y documentos, el ubicado en Rosa, 87, Colonia, 09870, Iztapala, autorizando para tales efectos al C. Licenciado en Derecho Juan Pérez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23 de abril de 2025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No procreamos hijos menores de edad ni existen personas incapaces a nuestro cargo, y ambas partes deseamos disolver el vínculo matrimonial de forma voluntaria ante la autoridad judicial.</w:t>
        <w:br/>
      </w:r>
    </w:p>
    <w:p>
      <w:pPr>
        <w:jc w:val="both"/>
      </w:pPr>
      <w:r>
        <w:t>3.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Se acuerda que Juliana Feipe recibirá una pensión conyugal equivalente a 40%,  conforme a lo dispuesto por la legislación vigente.</w:t>
        <w:br/>
      </w:r>
    </w:p>
    <w:p>
      <w:pPr>
        <w:jc w:val="both"/>
      </w:pPr>
      <w:r>
        <w:t>SEGUNDA.- Toda vez que el matrimonio se celebró bajo el régimen de separación de bienes, cada parte conserva el dominio, uso y disfrute de los bienes que haya adquirido antes y durante el matrimonio.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comprobante de domicilio, que acredita la competencia territorial de este H. Juzgado para conocer del presente juicio.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12 de junio de 2025</w:t>
        <w:br/>
        <w:br/>
        <w:t>___________________________________</w:t>
        <w:br/>
        <w:t>CARLOS ALBERTO FUENTES</w:t>
        <w:br/>
        <w:br/>
        <w:t>_____________________________________</w:t>
        <w:br/>
        <w:t>JULIANA FELIPE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