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0211C" w14:textId="0DDB5F47" w:rsidR="00714BFD" w:rsidRDefault="009A59D2">
      <w:pPr>
        <w:pStyle w:val="TextBody"/>
        <w:spacing w:after="0"/>
        <w:jc w:val="right"/>
        <w:rPr>
          <w:b/>
          <w:sz w:val="20"/>
        </w:rPr>
      </w:pPr>
      <w:r>
        <w:rPr>
          <w:b/>
          <w:sz w:val="20"/>
          <w:lang w:val="fr"/>
        </w:rPr>
        <w:t>Tableau 4.2</w:t>
      </w:r>
    </w:p>
    <w:p w14:paraId="1182F2AF" w14:textId="77777777" w:rsidR="00714BFD" w:rsidRDefault="009A59D2">
      <w:pPr>
        <w:pStyle w:val="TextBody"/>
        <w:spacing w:after="0"/>
        <w:jc w:val="center"/>
      </w:pPr>
      <w:r>
        <w:t> </w:t>
      </w:r>
    </w:p>
    <w:p w14:paraId="67A4F04C" w14:textId="77777777" w:rsidR="00714BFD" w:rsidRDefault="009A59D2">
      <w:pPr>
        <w:pStyle w:val="TextBody"/>
        <w:spacing w:after="0"/>
        <w:jc w:val="center"/>
        <w:rPr>
          <w:b/>
          <w:sz w:val="20"/>
        </w:rPr>
      </w:pPr>
      <w:r>
        <w:rPr>
          <w:b/>
          <w:sz w:val="20"/>
          <w:lang w:val="fr"/>
        </w:rPr>
        <w:t>AMENDEMENT N° 1 À LA CONVENTION D’ACHAT D’ACTIONS ET D’ACTIFS</w:t>
      </w:r>
    </w:p>
    <w:p w14:paraId="3DA393D0" w14:textId="77777777" w:rsidR="00714BFD" w:rsidRDefault="009A59D2">
      <w:pPr>
        <w:pStyle w:val="TextBody"/>
        <w:spacing w:after="0"/>
        <w:jc w:val="center"/>
      </w:pPr>
      <w:r>
        <w:t> </w:t>
      </w:r>
    </w:p>
    <w:p w14:paraId="476A643C" w14:textId="77777777" w:rsidR="00714BFD" w:rsidRDefault="009A59D2">
      <w:pPr>
        <w:pStyle w:val="TextBody"/>
        <w:spacing w:after="0"/>
        <w:rPr>
          <w:sz w:val="20"/>
        </w:rPr>
      </w:pPr>
      <w:r>
        <w:rPr>
          <w:sz w:val="20"/>
          <w:lang w:val="fr"/>
        </w:rPr>
        <w:t xml:space="preserve">Le présent premier amendement à la convention d’achat d’actions et d’actifs, daté du 27 décembre 2013 (le « </w:t>
      </w:r>
      <w:r>
        <w:rPr>
          <w:b/>
          <w:sz w:val="20"/>
          <w:lang w:val="fr"/>
        </w:rPr>
        <w:t>premier amendement</w:t>
      </w:r>
      <w:r>
        <w:rPr>
          <w:lang w:val="fr"/>
        </w:rPr>
        <w:t xml:space="preserve"> »), </w:t>
      </w:r>
      <w:r>
        <w:rPr>
          <w:sz w:val="20"/>
          <w:lang w:val="fr"/>
        </w:rPr>
        <w:t xml:space="preserve">est conclu par et entre </w:t>
      </w:r>
      <w:r>
        <w:rPr>
          <w:lang w:val="fr"/>
        </w:rPr>
        <w:t xml:space="preserve"> Novartis Vaccines and Diagnostics, Inc., une société du Delaware (« </w:t>
      </w:r>
      <w:r>
        <w:rPr>
          <w:b/>
          <w:sz w:val="20"/>
          <w:lang w:val="fr"/>
        </w:rPr>
        <w:t>Vendeur</w:t>
      </w:r>
      <w:r>
        <w:rPr>
          <w:lang w:val="fr"/>
        </w:rPr>
        <w:t xml:space="preserve"> »), </w:t>
      </w:r>
      <w:r>
        <w:rPr>
          <w:sz w:val="20"/>
          <w:lang w:val="fr"/>
        </w:rPr>
        <w:t>Novartis Corporation, une société de New York, en tant que garant, G-C Diagnostics Corp</w:t>
      </w:r>
      <w:r>
        <w:rPr>
          <w:lang w:val="fr"/>
        </w:rPr>
        <w:t xml:space="preserve">., une société </w:t>
      </w:r>
      <w:r>
        <w:rPr>
          <w:sz w:val="20"/>
          <w:lang w:val="fr"/>
        </w:rPr>
        <w:t>du Delaware («</w:t>
      </w:r>
      <w:r>
        <w:rPr>
          <w:lang w:val="fr"/>
        </w:rPr>
        <w:t xml:space="preserve"> </w:t>
      </w:r>
      <w:r>
        <w:rPr>
          <w:b/>
          <w:sz w:val="20"/>
          <w:lang w:val="fr"/>
        </w:rPr>
        <w:t>Acheteur</w:t>
      </w:r>
      <w:r>
        <w:rPr>
          <w:lang w:val="fr"/>
        </w:rPr>
        <w:t xml:space="preserve"> </w:t>
      </w:r>
      <w:r>
        <w:rPr>
          <w:sz w:val="20"/>
          <w:lang w:val="fr"/>
        </w:rPr>
        <w:t>»), et Grifols, S.A. une société (</w:t>
      </w:r>
      <w:proofErr w:type="spellStart"/>
      <w:r>
        <w:rPr>
          <w:i/>
          <w:sz w:val="20"/>
          <w:lang w:val="fr"/>
        </w:rPr>
        <w:t>sociedad</w:t>
      </w:r>
      <w:proofErr w:type="spellEnd"/>
      <w:r>
        <w:rPr>
          <w:i/>
          <w:sz w:val="20"/>
          <w:lang w:val="fr"/>
        </w:rPr>
        <w:t xml:space="preserve"> </w:t>
      </w:r>
      <w:proofErr w:type="spellStart"/>
      <w:r>
        <w:rPr>
          <w:i/>
          <w:sz w:val="20"/>
          <w:lang w:val="fr"/>
        </w:rPr>
        <w:t>anónima</w:t>
      </w:r>
      <w:proofErr w:type="spellEnd"/>
      <w:r>
        <w:rPr>
          <w:sz w:val="20"/>
          <w:lang w:val="fr"/>
        </w:rPr>
        <w:t xml:space="preserve"> ) organisée en vertu des lois espagnoles, en qualité de garant.</w:t>
      </w:r>
    </w:p>
    <w:p w14:paraId="57942B2F" w14:textId="77777777" w:rsidR="00714BFD" w:rsidRDefault="009A59D2">
      <w:pPr>
        <w:pStyle w:val="TextBody"/>
        <w:spacing w:after="0"/>
      </w:pPr>
      <w:r>
        <w:t> </w:t>
      </w:r>
    </w:p>
    <w:p w14:paraId="6A499EA9" w14:textId="77777777" w:rsidR="00714BFD" w:rsidRDefault="009A59D2">
      <w:pPr>
        <w:pStyle w:val="TextBody"/>
        <w:spacing w:after="0"/>
        <w:jc w:val="center"/>
        <w:rPr>
          <w:b/>
          <w:sz w:val="20"/>
        </w:rPr>
      </w:pPr>
      <w:r>
        <w:rPr>
          <w:b/>
          <w:sz w:val="20"/>
          <w:lang w:val="fr"/>
        </w:rPr>
        <w:t>CONSIDÉRANTS</w:t>
      </w:r>
    </w:p>
    <w:p w14:paraId="2558AB83" w14:textId="77777777" w:rsidR="00714BFD" w:rsidRDefault="009A59D2">
      <w:pPr>
        <w:pStyle w:val="TextBody"/>
        <w:spacing w:after="0"/>
        <w:jc w:val="center"/>
      </w:pPr>
      <w:r>
        <w:t> </w:t>
      </w:r>
    </w:p>
    <w:p w14:paraId="55B88C91" w14:textId="77777777" w:rsidR="00714BFD" w:rsidRDefault="009A59D2">
      <w:pPr>
        <w:pStyle w:val="TextBody"/>
        <w:spacing w:after="0"/>
        <w:rPr>
          <w:sz w:val="20"/>
        </w:rPr>
      </w:pPr>
      <w:r>
        <w:rPr>
          <w:sz w:val="20"/>
          <w:lang w:val="fr"/>
        </w:rPr>
        <w:t>ATTENDU QUE les parties aux présentes sont parties à cette convention d’achat d’actions et d’actifs datée du 10 novembre 2013 (la « convention originale ») et souhaitent amender et modifier certaines modalités de la convention originale telles que spécifiées dans le</w:t>
      </w:r>
      <w:r>
        <w:rPr>
          <w:lang w:val="fr"/>
        </w:rPr>
        <w:t xml:space="preserve"> </w:t>
      </w:r>
      <w:r>
        <w:rPr>
          <w:sz w:val="20"/>
          <w:lang w:val="fr"/>
        </w:rPr>
        <w:t>présent premier amendement; et</w:t>
      </w:r>
    </w:p>
    <w:p w14:paraId="23F5778F" w14:textId="77777777" w:rsidR="00714BFD" w:rsidRDefault="009A59D2">
      <w:pPr>
        <w:pStyle w:val="TextBody"/>
        <w:spacing w:after="0"/>
      </w:pPr>
      <w:r>
        <w:t> </w:t>
      </w:r>
    </w:p>
    <w:p w14:paraId="1AF87D79" w14:textId="77777777" w:rsidR="00714BFD" w:rsidRDefault="009A59D2">
      <w:pPr>
        <w:pStyle w:val="TextBody"/>
        <w:spacing w:after="0"/>
        <w:rPr>
          <w:sz w:val="20"/>
        </w:rPr>
      </w:pPr>
      <w:r>
        <w:rPr>
          <w:sz w:val="20"/>
          <w:lang w:val="fr"/>
        </w:rPr>
        <w:t xml:space="preserve">ATTENDU QUE l’article 10.10 de l’entente originale exige que tout amendement ou modification à l’entente originale soit fait par écrit et signé par l’acheteur et le </w:t>
      </w:r>
      <w:proofErr w:type="gramStart"/>
      <w:r>
        <w:rPr>
          <w:sz w:val="20"/>
          <w:lang w:val="fr"/>
        </w:rPr>
        <w:t>vendeur;</w:t>
      </w:r>
      <w:proofErr w:type="gramEnd"/>
    </w:p>
    <w:p w14:paraId="49F23A3D" w14:textId="77777777" w:rsidR="00714BFD" w:rsidRDefault="009A59D2">
      <w:pPr>
        <w:pStyle w:val="TextBody"/>
        <w:spacing w:after="0"/>
      </w:pPr>
      <w:r>
        <w:t> </w:t>
      </w:r>
    </w:p>
    <w:p w14:paraId="6CB1013C" w14:textId="77777777" w:rsidR="00714BFD" w:rsidRDefault="009A59D2">
      <w:pPr>
        <w:pStyle w:val="TextBody"/>
        <w:spacing w:after="0"/>
        <w:rPr>
          <w:sz w:val="20"/>
        </w:rPr>
      </w:pPr>
      <w:r>
        <w:rPr>
          <w:sz w:val="20"/>
          <w:lang w:val="fr"/>
        </w:rPr>
        <w:t>MAINTENANT, PAR CONSÉQUENT, en considération des engagements et accords mutuelsci-après énoncés et pour toute autre contrepartie valable et valable, dont la réception et la suffisance sont reconnues par les présentes, les parties conviennent de ce qui suit:</w:t>
      </w:r>
    </w:p>
    <w:p w14:paraId="5D895B26" w14:textId="77777777" w:rsidR="00714BFD" w:rsidRDefault="009A59D2">
      <w:pPr>
        <w:pStyle w:val="TextBody"/>
        <w:spacing w:after="0"/>
      </w:pPr>
      <w:r>
        <w:t> </w:t>
      </w:r>
    </w:p>
    <w:p w14:paraId="797AA07C" w14:textId="77777777" w:rsidR="00714BFD" w:rsidRDefault="009A59D2">
      <w:pPr>
        <w:pStyle w:val="TextBody"/>
        <w:spacing w:after="0"/>
        <w:jc w:val="center"/>
        <w:rPr>
          <w:b/>
          <w:sz w:val="20"/>
        </w:rPr>
      </w:pPr>
      <w:r>
        <w:rPr>
          <w:b/>
          <w:sz w:val="20"/>
          <w:lang w:val="fr"/>
        </w:rPr>
        <w:br/>
        <w:t>DÉFINITIONS DE</w:t>
      </w:r>
      <w:r>
        <w:rPr>
          <w:lang w:val="fr"/>
        </w:rPr>
        <w:t xml:space="preserve"> L’ARTICLE PREMIER</w:t>
      </w:r>
    </w:p>
    <w:p w14:paraId="706BB386" w14:textId="77777777" w:rsidR="00714BFD" w:rsidRDefault="009A59D2">
      <w:pPr>
        <w:pStyle w:val="TextBody"/>
        <w:spacing w:after="0"/>
        <w:jc w:val="center"/>
      </w:pPr>
      <w:r>
        <w:t> </w:t>
      </w:r>
    </w:p>
    <w:p w14:paraId="6ED30CE5" w14:textId="77777777" w:rsidR="00714BFD" w:rsidRDefault="009A59D2">
      <w:pPr>
        <w:pStyle w:val="TextBody"/>
        <w:spacing w:after="0"/>
        <w:rPr>
          <w:sz w:val="20"/>
        </w:rPr>
      </w:pPr>
      <w:r>
        <w:rPr>
          <w:sz w:val="20"/>
          <w:lang w:val="fr"/>
        </w:rPr>
        <w:t>Les termes commençant par une majuscule utilisés mais non définis autrement dansle Premier amendement auront la signification indiquée dans l’Accord original.</w:t>
      </w:r>
    </w:p>
    <w:p w14:paraId="31A298B7" w14:textId="77777777" w:rsidR="00714BFD" w:rsidRDefault="009A59D2">
      <w:pPr>
        <w:pStyle w:val="TextBody"/>
        <w:spacing w:after="0"/>
      </w:pPr>
      <w:r>
        <w:t> </w:t>
      </w:r>
    </w:p>
    <w:p w14:paraId="45C97122" w14:textId="77777777" w:rsidR="00714BFD" w:rsidRDefault="009A59D2">
      <w:pPr>
        <w:pStyle w:val="TextBody"/>
        <w:spacing w:after="0"/>
        <w:jc w:val="center"/>
        <w:rPr>
          <w:b/>
          <w:sz w:val="20"/>
        </w:rPr>
      </w:pPr>
      <w:r>
        <w:rPr>
          <w:b/>
          <w:sz w:val="20"/>
          <w:lang w:val="fr"/>
        </w:rPr>
        <w:t>ARTICLE II</w:t>
      </w:r>
      <w:r>
        <w:rPr>
          <w:b/>
          <w:sz w:val="20"/>
          <w:lang w:val="fr"/>
        </w:rPr>
        <w:br/>
        <w:t>DATE APPLICABLE DU FONDS DE ROULEMENT</w:t>
      </w:r>
    </w:p>
    <w:p w14:paraId="5C05F839" w14:textId="77777777" w:rsidR="00714BFD" w:rsidRDefault="009A59D2">
      <w:pPr>
        <w:pStyle w:val="TextBody"/>
        <w:spacing w:after="0"/>
        <w:jc w:val="center"/>
      </w:pPr>
      <w:r>
        <w:t> </w:t>
      </w:r>
    </w:p>
    <w:p w14:paraId="6C10787F" w14:textId="77777777" w:rsidR="00714BFD" w:rsidRDefault="009A59D2">
      <w:pPr>
        <w:pStyle w:val="TextBody"/>
        <w:spacing w:after="0"/>
        <w:rPr>
          <w:sz w:val="20"/>
        </w:rPr>
      </w:pPr>
      <w:r>
        <w:rPr>
          <w:sz w:val="20"/>
          <w:lang w:val="fr"/>
        </w:rPr>
        <w:t>La définition de la « date de fonds de roulement applicable » figurant à l’article I de l’accord initial est modifiée et reformulée commesuit:</w:t>
      </w:r>
    </w:p>
    <w:p w14:paraId="4EEB9F84" w14:textId="77777777" w:rsidR="00714BFD" w:rsidRDefault="009A59D2">
      <w:pPr>
        <w:pStyle w:val="TextBody"/>
        <w:spacing w:after="0"/>
      </w:pPr>
      <w:r>
        <w:t> </w:t>
      </w:r>
    </w:p>
    <w:p w14:paraId="40535CB3" w14:textId="77777777" w:rsidR="00714BFD" w:rsidRDefault="009A59D2">
      <w:pPr>
        <w:pStyle w:val="TextBody"/>
        <w:spacing w:after="0"/>
      </w:pPr>
      <w:r>
        <w:rPr>
          <w:lang w:val="fr"/>
        </w:rPr>
        <w:t xml:space="preserve">« </w:t>
      </w:r>
      <w:r>
        <w:rPr>
          <w:b/>
          <w:sz w:val="20"/>
          <w:lang w:val="fr"/>
        </w:rPr>
        <w:t>« Date du fonds de roulement applicable</w:t>
      </w:r>
      <w:r>
        <w:rPr>
          <w:lang w:val="fr"/>
        </w:rPr>
        <w:t xml:space="preserve"> » </w:t>
      </w:r>
      <w:r>
        <w:rPr>
          <w:sz w:val="20"/>
          <w:lang w:val="fr"/>
        </w:rPr>
        <w:t>désigne</w:t>
      </w:r>
      <w:r>
        <w:rPr>
          <w:lang w:val="fr"/>
        </w:rPr>
        <w:t xml:space="preserve"> (</w:t>
      </w:r>
      <w:r>
        <w:rPr>
          <w:sz w:val="20"/>
          <w:lang w:val="fr"/>
        </w:rPr>
        <w:t>i</w:t>
      </w:r>
      <w:r>
        <w:rPr>
          <w:lang w:val="fr"/>
        </w:rPr>
        <w:t>) si la clôture a lieu au plus tard le 10 janvier 2014</w:t>
      </w:r>
      <w:r>
        <w:rPr>
          <w:sz w:val="20"/>
          <w:lang w:val="fr"/>
        </w:rPr>
        <w:t>, le 31 décembre 2013, et (ii) si la clôture a lieu après le 10 janvier 2014, la date de clôture. »</w:t>
      </w:r>
    </w:p>
    <w:p w14:paraId="59181F62" w14:textId="77777777" w:rsidR="00714BFD" w:rsidRDefault="009A59D2">
      <w:pPr>
        <w:pStyle w:val="TextBody"/>
        <w:spacing w:after="0"/>
      </w:pPr>
      <w:r>
        <w:t> </w:t>
      </w:r>
    </w:p>
    <w:p w14:paraId="0D78E313" w14:textId="77777777" w:rsidR="00714BFD" w:rsidRDefault="009A59D2">
      <w:pPr>
        <w:pStyle w:val="TextBody"/>
        <w:spacing w:after="0"/>
        <w:jc w:val="center"/>
        <w:rPr>
          <w:b/>
          <w:sz w:val="20"/>
        </w:rPr>
      </w:pPr>
      <w:r>
        <w:rPr>
          <w:b/>
          <w:sz w:val="20"/>
          <w:lang w:val="fr"/>
        </w:rPr>
        <w:t>ARTICLE III</w:t>
      </w:r>
      <w:r>
        <w:rPr>
          <w:b/>
          <w:sz w:val="20"/>
          <w:lang w:val="fr"/>
        </w:rPr>
        <w:br/>
        <w:t>CLÔTURE</w:t>
      </w:r>
    </w:p>
    <w:p w14:paraId="71ABF5AA" w14:textId="77777777" w:rsidR="00714BFD" w:rsidRDefault="009A59D2">
      <w:pPr>
        <w:pStyle w:val="TextBody"/>
        <w:spacing w:after="0"/>
        <w:jc w:val="center"/>
      </w:pPr>
      <w:r>
        <w:t> </w:t>
      </w:r>
    </w:p>
    <w:p w14:paraId="6CFC6993" w14:textId="77777777" w:rsidR="00714BFD" w:rsidRDefault="009A59D2">
      <w:pPr>
        <w:pStyle w:val="TextBody"/>
        <w:spacing w:after="0"/>
        <w:rPr>
          <w:sz w:val="20"/>
        </w:rPr>
      </w:pPr>
      <w:r>
        <w:rPr>
          <w:sz w:val="20"/>
          <w:lang w:val="fr"/>
        </w:rPr>
        <w:t>Le point 3.01 de l’accord initialest modifié et reformulé comme suit:</w:t>
      </w:r>
    </w:p>
    <w:p w14:paraId="2A6B1F1F" w14:textId="77777777" w:rsidR="00714BFD" w:rsidRDefault="009A59D2">
      <w:pPr>
        <w:pStyle w:val="TextBody"/>
        <w:spacing w:after="0"/>
      </w:pPr>
      <w:r>
        <w:t> </w:t>
      </w:r>
    </w:p>
    <w:p w14:paraId="6A959F55" w14:textId="77777777" w:rsidR="00714BFD" w:rsidRDefault="009A59D2">
      <w:pPr>
        <w:pStyle w:val="TextBody"/>
        <w:spacing w:after="0"/>
      </w:pPr>
      <w:r>
        <w:rPr>
          <w:lang w:val="fr"/>
        </w:rPr>
        <w:t xml:space="preserve">« </w:t>
      </w:r>
      <w:r>
        <w:rPr>
          <w:sz w:val="20"/>
          <w:lang w:val="fr"/>
        </w:rPr>
        <w:t>Sous réserve des modalités et conditions du présent Accord, la réalisation des transactions envisagées par le présent Contrat (la «</w:t>
      </w:r>
      <w:r>
        <w:rPr>
          <w:lang w:val="fr"/>
        </w:rPr>
        <w:t xml:space="preserve"> </w:t>
      </w:r>
      <w:r>
        <w:rPr>
          <w:b/>
          <w:sz w:val="20"/>
          <w:lang w:val="fr"/>
        </w:rPr>
        <w:t>Clôture</w:t>
      </w:r>
      <w:r>
        <w:rPr>
          <w:lang w:val="fr"/>
        </w:rPr>
        <w:t xml:space="preserve"> </w:t>
      </w:r>
      <w:r>
        <w:rPr>
          <w:sz w:val="20"/>
          <w:lang w:val="fr"/>
        </w:rPr>
        <w:t xml:space="preserve">») aura lieu aux bureaux d’Allen &amp; </w:t>
      </w:r>
      <w:proofErr w:type="spellStart"/>
      <w:r>
        <w:rPr>
          <w:sz w:val="20"/>
          <w:lang w:val="fr"/>
        </w:rPr>
        <w:t>Overy</w:t>
      </w:r>
      <w:proofErr w:type="spellEnd"/>
      <w:r>
        <w:rPr>
          <w:sz w:val="20"/>
          <w:lang w:val="fr"/>
        </w:rPr>
        <w:t xml:space="preserve"> LLP, 1221 Avenue of the Americas, New York, New York 10020, à compter de 15 h 00, heure normale de l’Est, le 9 janvier 2014; </w:t>
      </w:r>
      <w:r>
        <w:rPr>
          <w:lang w:val="fr"/>
        </w:rPr>
        <w:t xml:space="preserve"> </w:t>
      </w:r>
      <w:r>
        <w:rPr>
          <w:i/>
          <w:sz w:val="20"/>
          <w:lang w:val="fr"/>
        </w:rPr>
        <w:t>toutefois</w:t>
      </w:r>
      <w:r>
        <w:rPr>
          <w:lang w:val="fr"/>
        </w:rPr>
        <w:t xml:space="preserve">, si toutes les conditions de clôture énoncées à l’article VII </w:t>
      </w:r>
      <w:r>
        <w:rPr>
          <w:sz w:val="20"/>
          <w:lang w:val="fr"/>
        </w:rPr>
        <w:t xml:space="preserve">ne sont pas remplies ou levées (autres que les conditions qui, de par leur nature, doivent être remplies à la date de clôture) au plus tard le 9 janvier 2014, la clôture aura lieu le dernier jour civil du mois au cours duquel toutes les conditions de clôture énoncées à l’article </w:t>
      </w:r>
      <w:r>
        <w:rPr>
          <w:b/>
          <w:sz w:val="20"/>
          <w:lang w:val="fr"/>
        </w:rPr>
        <w:t xml:space="preserve">VII  </w:t>
      </w:r>
      <w:r>
        <w:rPr>
          <w:sz w:val="20"/>
          <w:lang w:val="fr"/>
        </w:rPr>
        <w:t xml:space="preserve"> sont satisfaites ou ont fait l’objet d’une renonciation (autres que les conditions qui, de par leur nature, doivent être</w:t>
      </w:r>
    </w:p>
    <w:p w14:paraId="090E6D21" w14:textId="77777777" w:rsidR="00714BFD" w:rsidRDefault="009A59D2">
      <w:pPr>
        <w:pStyle w:val="TextBody"/>
        <w:spacing w:after="0"/>
      </w:pPr>
      <w:r>
        <w:t> </w:t>
      </w:r>
    </w:p>
    <w:p w14:paraId="097D3806" w14:textId="77777777" w:rsidR="00714BFD" w:rsidRDefault="009A59D2">
      <w:pPr>
        <w:pStyle w:val="HorizontalLine"/>
        <w:pBdr>
          <w:bottom w:val="single" w:sz="18" w:space="0" w:color="010101"/>
        </w:pBdr>
        <w:spacing w:after="0"/>
      </w:pPr>
      <w:r>
        <w:br w:type="page"/>
      </w:r>
    </w:p>
    <w:p w14:paraId="23DAF807" w14:textId="77777777" w:rsidR="00714BFD" w:rsidRDefault="009A59D2">
      <w:pPr>
        <w:pStyle w:val="TextBody"/>
        <w:spacing w:after="0"/>
      </w:pPr>
      <w:r>
        <w:lastRenderedPageBreak/>
        <w:t> </w:t>
      </w:r>
    </w:p>
    <w:p w14:paraId="2269E0B6" w14:textId="77777777" w:rsidR="00714BFD" w:rsidRDefault="009A59D2">
      <w:pPr>
        <w:pStyle w:val="TextBody"/>
        <w:spacing w:after="0"/>
        <w:rPr>
          <w:rFonts w:ascii="Times New Roman" w:hAnsi="Times New Roman"/>
          <w:sz w:val="20"/>
        </w:rPr>
      </w:pPr>
      <w:r>
        <w:rPr>
          <w:sz w:val="20"/>
          <w:lang w:val="fr"/>
        </w:rPr>
        <w:t>satisfait à la date de clôture); ou autrement à tout autre moment, date ou lieu convenu mutuellement par écrit entre le vendeur et l’acheteur.  La date à laquelle la Clôture doit avoir lieu est ci-après appelée la « Date de</w:t>
      </w:r>
      <w:r>
        <w:rPr>
          <w:lang w:val="fr"/>
        </w:rPr>
        <w:t xml:space="preserve"> </w:t>
      </w:r>
      <w:r>
        <w:rPr>
          <w:b/>
          <w:sz w:val="20"/>
          <w:lang w:val="fr"/>
        </w:rPr>
        <w:t>clôture</w:t>
      </w:r>
      <w:r>
        <w:rPr>
          <w:lang w:val="fr"/>
        </w:rPr>
        <w:t xml:space="preserve"> </w:t>
      </w:r>
      <w:r>
        <w:rPr>
          <w:sz w:val="20"/>
          <w:lang w:val="fr"/>
        </w:rPr>
        <w:t xml:space="preserve">».  Si la clôture doit avoir lieu le 9 janvier 2014, les documents à remettre à la clôture conformément à l’article </w:t>
      </w:r>
      <w:r>
        <w:rPr>
          <w:b/>
          <w:sz w:val="20"/>
          <w:lang w:val="fr"/>
        </w:rPr>
        <w:t>3.02</w:t>
      </w:r>
      <w:r>
        <w:rPr>
          <w:sz w:val="20"/>
          <w:lang w:val="fr"/>
        </w:rPr>
        <w:t xml:space="preserve"> seront conservés sous séquestre en attendant la réception</w:t>
      </w:r>
      <w:r>
        <w:rPr>
          <w:lang w:val="fr"/>
        </w:rPr>
        <w:t xml:space="preserve"> par </w:t>
      </w:r>
      <w:r>
        <w:rPr>
          <w:sz w:val="20"/>
          <w:lang w:val="fr"/>
        </w:rPr>
        <w:t xml:space="preserve">le vendeur du montant payable par l’acheteur conformément à l’article </w:t>
      </w:r>
      <w:r>
        <w:rPr>
          <w:b/>
          <w:sz w:val="20"/>
          <w:lang w:val="fr"/>
        </w:rPr>
        <w:t>2.07(a).</w:t>
      </w:r>
      <w:r>
        <w:rPr>
          <w:sz w:val="20"/>
          <w:lang w:val="fr"/>
        </w:rPr>
        <w:t>  Si ce montant est reçu par le vendeur le 9 janvier 2014, les documents à remettre à la date de clôture seront libérés de l’entiercement et la clôture sera réputée avoir eu lieu le 9 janvier 2014.  Si ce montant n’est pas reçu par le vendeur avant le 10 janvier 2014, les documents à remettre à la clôture seront libérés de l’entiercement le 10 janvier 2014 et la clôture sera réputée avoir eu lieu le 10 janvier 2014.</w:t>
      </w:r>
      <w:r>
        <w:rPr>
          <w:lang w:val="fr"/>
        </w:rPr>
        <w:t xml:space="preserve"> </w:t>
      </w:r>
      <w:r>
        <w:rPr>
          <w:sz w:val="20"/>
          <w:lang w:val="fr"/>
        </w:rPr>
        <w:t>"</w:t>
      </w:r>
    </w:p>
    <w:p w14:paraId="52DE7A7C" w14:textId="77777777" w:rsidR="00714BFD" w:rsidRDefault="009A59D2">
      <w:pPr>
        <w:pStyle w:val="TextBody"/>
        <w:spacing w:after="0"/>
      </w:pPr>
      <w:r>
        <w:t> </w:t>
      </w:r>
    </w:p>
    <w:p w14:paraId="3C0DD51E" w14:textId="77777777" w:rsidR="00714BFD" w:rsidRDefault="009A59D2">
      <w:pPr>
        <w:pStyle w:val="TextBody"/>
        <w:spacing w:after="0"/>
        <w:jc w:val="center"/>
        <w:rPr>
          <w:rFonts w:ascii="Times New Roman" w:hAnsi="Times New Roman"/>
          <w:b/>
          <w:sz w:val="20"/>
        </w:rPr>
      </w:pPr>
      <w:r>
        <w:rPr>
          <w:b/>
          <w:sz w:val="20"/>
          <w:lang w:val="fr"/>
        </w:rPr>
        <w:t>ARTICLE IV ACCORDS DE</w:t>
      </w:r>
      <w:r>
        <w:rPr>
          <w:b/>
          <w:sz w:val="20"/>
          <w:lang w:val="fr"/>
        </w:rPr>
        <w:br/>
        <w:t>CESSION ET DE PRISE EN CHARGE</w:t>
      </w:r>
    </w:p>
    <w:p w14:paraId="79B5B337" w14:textId="77777777" w:rsidR="00714BFD" w:rsidRDefault="009A59D2">
      <w:pPr>
        <w:pStyle w:val="TextBody"/>
        <w:spacing w:after="0"/>
        <w:jc w:val="center"/>
      </w:pPr>
      <w:r>
        <w:t> </w:t>
      </w:r>
    </w:p>
    <w:p w14:paraId="4AA94495" w14:textId="77777777" w:rsidR="00714BFD" w:rsidRDefault="009A59D2">
      <w:pPr>
        <w:pStyle w:val="TextBody"/>
        <w:spacing w:after="0"/>
        <w:rPr>
          <w:rFonts w:ascii="Times New Roman" w:hAnsi="Times New Roman"/>
        </w:rPr>
      </w:pPr>
      <w:r>
        <w:rPr>
          <w:sz w:val="20"/>
          <w:lang w:val="fr"/>
        </w:rPr>
        <w:t>1. La définition de « convention de cession et de prise en charge » figurant à l’article premier de l’accord initial est modifiée et reformulée comme suit :</w:t>
      </w:r>
    </w:p>
    <w:p w14:paraId="5AB8EEDB" w14:textId="77777777" w:rsidR="00714BFD" w:rsidRDefault="009A59D2">
      <w:pPr>
        <w:pStyle w:val="TextBody"/>
        <w:spacing w:after="0"/>
      </w:pPr>
      <w:r>
        <w:t> </w:t>
      </w:r>
    </w:p>
    <w:p w14:paraId="03B02287" w14:textId="77777777" w:rsidR="00714BFD" w:rsidRDefault="009A59D2">
      <w:pPr>
        <w:pStyle w:val="TextBody"/>
        <w:spacing w:after="0"/>
      </w:pPr>
      <w:r>
        <w:rPr>
          <w:lang w:val="fr"/>
        </w:rPr>
        <w:t>« "</w:t>
      </w:r>
      <w:r>
        <w:rPr>
          <w:b/>
          <w:sz w:val="20"/>
          <w:lang w:val="fr"/>
        </w:rPr>
        <w:t>Contrat</w:t>
      </w:r>
      <w:r>
        <w:rPr>
          <w:lang w:val="fr"/>
        </w:rPr>
        <w:t xml:space="preserve"> de cession et de prise en charge » désigne un accord de cession et de prise en charge substantiellement </w:t>
      </w:r>
      <w:r>
        <w:rPr>
          <w:sz w:val="20"/>
          <w:lang w:val="fr"/>
        </w:rPr>
        <w:t xml:space="preserve">sous la forme énoncée à </w:t>
      </w:r>
      <w:r>
        <w:rPr>
          <w:lang w:val="fr"/>
        </w:rPr>
        <w:t xml:space="preserve"> l’Annexe A, ou, </w:t>
      </w:r>
      <w:r>
        <w:rPr>
          <w:sz w:val="20"/>
          <w:lang w:val="fr"/>
        </w:rPr>
        <w:t>alternativement, un autre accord convenu entre le vendeur et l’acheteur effectuant la cession et la prise en charge par l’acheteur ou l’une de ses filialesdes actifs achetés et des passifs pris en charge (chacun de ces accords alternatifs, un « </w:t>
      </w:r>
      <w:r>
        <w:rPr>
          <w:b/>
          <w:sz w:val="20"/>
          <w:lang w:val="fr"/>
        </w:rPr>
        <w:t>accord de transfert local</w:t>
      </w:r>
      <w:r>
        <w:rPr>
          <w:sz w:val="20"/>
          <w:lang w:val="fr"/>
        </w:rPr>
        <w:t> »). »</w:t>
      </w:r>
    </w:p>
    <w:p w14:paraId="172935CA" w14:textId="77777777" w:rsidR="00714BFD" w:rsidRDefault="009A59D2">
      <w:pPr>
        <w:pStyle w:val="TextBody"/>
        <w:spacing w:after="0"/>
      </w:pPr>
      <w:r>
        <w:t> </w:t>
      </w:r>
    </w:p>
    <w:p w14:paraId="23014852" w14:textId="77777777" w:rsidR="00714BFD" w:rsidRDefault="009A59D2">
      <w:pPr>
        <w:pStyle w:val="TextBody"/>
        <w:spacing w:after="0"/>
        <w:rPr>
          <w:rFonts w:ascii="Times New Roman" w:hAnsi="Times New Roman"/>
        </w:rPr>
      </w:pPr>
      <w:r>
        <w:rPr>
          <w:sz w:val="20"/>
          <w:lang w:val="fr"/>
        </w:rPr>
        <w:t xml:space="preserve">2. L’article premier de l’accord initial est modifié par adjonction, dans </w:t>
      </w:r>
      <w:r>
        <w:rPr>
          <w:lang w:val="fr"/>
        </w:rPr>
        <w:t xml:space="preserve"> la </w:t>
      </w:r>
      <w:r>
        <w:rPr>
          <w:sz w:val="20"/>
          <w:lang w:val="fr"/>
        </w:rPr>
        <w:t>position alphabétique appropriée,</w:t>
      </w:r>
      <w:r>
        <w:rPr>
          <w:lang w:val="fr"/>
        </w:rPr>
        <w:t xml:space="preserve"> de la définition suivante :</w:t>
      </w:r>
    </w:p>
    <w:p w14:paraId="034045A3" w14:textId="77777777" w:rsidR="00714BFD" w:rsidRDefault="009A59D2">
      <w:pPr>
        <w:pStyle w:val="TextBody"/>
        <w:spacing w:after="0"/>
      </w:pPr>
      <w:r>
        <w:t> </w:t>
      </w:r>
    </w:p>
    <w:p w14:paraId="53BC3B81" w14:textId="77777777" w:rsidR="00714BFD" w:rsidRDefault="009A59D2">
      <w:pPr>
        <w:pStyle w:val="TextBody"/>
        <w:spacing w:after="0"/>
      </w:pPr>
      <w:r>
        <w:rPr>
          <w:lang w:val="fr"/>
        </w:rPr>
        <w:t xml:space="preserve">« « Accord </w:t>
      </w:r>
      <w:r>
        <w:rPr>
          <w:b/>
          <w:sz w:val="20"/>
          <w:lang w:val="fr"/>
        </w:rPr>
        <w:t>de transfert local</w:t>
      </w:r>
      <w:r>
        <w:rPr>
          <w:lang w:val="fr"/>
        </w:rPr>
        <w:t xml:space="preserve"> </w:t>
      </w:r>
      <w:r>
        <w:rPr>
          <w:sz w:val="20"/>
          <w:lang w:val="fr"/>
        </w:rPr>
        <w:t>» a le sens qui lui est donné dans la définition de «</w:t>
      </w:r>
      <w:r>
        <w:rPr>
          <w:lang w:val="fr"/>
        </w:rPr>
        <w:t xml:space="preserve"> </w:t>
      </w:r>
      <w:r>
        <w:rPr>
          <w:b/>
          <w:sz w:val="20"/>
          <w:lang w:val="fr"/>
        </w:rPr>
        <w:t>Accord de cession et de prise en charge</w:t>
      </w:r>
      <w:r>
        <w:rPr>
          <w:lang w:val="fr"/>
        </w:rPr>
        <w:t xml:space="preserve"> </w:t>
      </w:r>
      <w:r>
        <w:rPr>
          <w:sz w:val="20"/>
          <w:lang w:val="fr"/>
        </w:rPr>
        <w:t>».</w:t>
      </w:r>
    </w:p>
    <w:p w14:paraId="7743B408" w14:textId="77777777" w:rsidR="00714BFD" w:rsidRDefault="009A59D2">
      <w:pPr>
        <w:pStyle w:val="TextBody"/>
        <w:spacing w:after="0"/>
      </w:pPr>
      <w:r>
        <w:t> </w:t>
      </w:r>
    </w:p>
    <w:p w14:paraId="7B5E8486" w14:textId="77777777" w:rsidR="00714BFD" w:rsidRDefault="009A59D2">
      <w:pPr>
        <w:pStyle w:val="TextBody"/>
        <w:spacing w:after="0"/>
        <w:rPr>
          <w:rFonts w:ascii="Times New Roman" w:hAnsi="Times New Roman"/>
        </w:rPr>
      </w:pPr>
      <w:r>
        <w:rPr>
          <w:sz w:val="20"/>
          <w:lang w:val="fr"/>
        </w:rPr>
        <w:t>3. L’article 3.02(a)(i) de l’accord initial est modifiéet reformulé comme suit :</w:t>
      </w:r>
    </w:p>
    <w:p w14:paraId="740EFEFD" w14:textId="77777777" w:rsidR="00714BFD" w:rsidRDefault="009A59D2">
      <w:pPr>
        <w:pStyle w:val="TextBody"/>
        <w:spacing w:after="0"/>
      </w:pPr>
      <w:r>
        <w:t> </w:t>
      </w:r>
    </w:p>
    <w:p w14:paraId="7E5928EA" w14:textId="77777777" w:rsidR="00714BFD" w:rsidRDefault="009A59D2">
      <w:pPr>
        <w:pStyle w:val="TextBody"/>
        <w:spacing w:after="0"/>
      </w:pPr>
      <w:r>
        <w:rPr>
          <w:lang w:val="fr"/>
        </w:rPr>
        <w:t>« </w:t>
      </w:r>
      <w:r>
        <w:rPr>
          <w:sz w:val="20"/>
          <w:lang w:val="fr"/>
        </w:rPr>
        <w:t>(i</w:t>
      </w:r>
      <w:r>
        <w:rPr>
          <w:lang w:val="fr"/>
        </w:rPr>
        <w:t xml:space="preserve">) un ou plusieurs accords de cession et de prise en charge </w:t>
      </w:r>
      <w:r>
        <w:rPr>
          <w:sz w:val="20"/>
          <w:lang w:val="fr"/>
        </w:rPr>
        <w:t>dûment signés par le vendeur ou une société affiliée du vendeur, effectuant collectivement la cession et la prise</w:t>
      </w:r>
      <w:r>
        <w:rPr>
          <w:lang w:val="fr"/>
        </w:rPr>
        <w:t xml:space="preserve"> en charge par l’acheteur et ses sociétés affiliées de tous les actifs achetés et de tous </w:t>
      </w:r>
      <w:r>
        <w:rPr>
          <w:sz w:val="20"/>
          <w:lang w:val="fr"/>
        </w:rPr>
        <w:t xml:space="preserve"> les passifs pris en charge autres que les actifs achetés et les passifs pris en charge qui seront transférés à l’acheteur ou à ses sociétés affiliées conformément à d’autres documents de transaction; »</w:t>
      </w:r>
    </w:p>
    <w:p w14:paraId="3D83A6B3" w14:textId="77777777" w:rsidR="00714BFD" w:rsidRDefault="009A59D2">
      <w:pPr>
        <w:pStyle w:val="TextBody"/>
        <w:spacing w:after="0"/>
      </w:pPr>
      <w:r>
        <w:t> </w:t>
      </w:r>
    </w:p>
    <w:p w14:paraId="7E9EE715" w14:textId="77777777" w:rsidR="00714BFD" w:rsidRDefault="009A59D2">
      <w:pPr>
        <w:pStyle w:val="TextBody"/>
        <w:spacing w:after="0"/>
        <w:rPr>
          <w:rFonts w:ascii="Times New Roman" w:hAnsi="Times New Roman"/>
        </w:rPr>
      </w:pPr>
      <w:r>
        <w:rPr>
          <w:sz w:val="20"/>
          <w:lang w:val="fr"/>
        </w:rPr>
        <w:t>4. L’article 6.25 de l’entente initiale est modifiépar adjonction, à la fin de cet article, de ce qui suit :</w:t>
      </w:r>
    </w:p>
    <w:p w14:paraId="31140A77" w14:textId="77777777" w:rsidR="00714BFD" w:rsidRDefault="009A59D2">
      <w:pPr>
        <w:pStyle w:val="TextBody"/>
        <w:spacing w:after="0"/>
      </w:pPr>
      <w:r>
        <w:t> </w:t>
      </w:r>
    </w:p>
    <w:p w14:paraId="68E23831" w14:textId="77777777" w:rsidR="00714BFD" w:rsidRDefault="009A59D2">
      <w:pPr>
        <w:pStyle w:val="TextBody"/>
        <w:spacing w:after="0"/>
      </w:pPr>
      <w:r>
        <w:rPr>
          <w:lang w:val="fr"/>
        </w:rPr>
        <w:t>« </w:t>
      </w:r>
      <w:r>
        <w:rPr>
          <w:sz w:val="20"/>
          <w:lang w:val="fr"/>
        </w:rPr>
        <w:t>Chaque accord de transfert local est soumis et régi par les termes et conditions du présent accord</w:t>
      </w:r>
      <w:r>
        <w:rPr>
          <w:lang w:val="fr"/>
        </w:rPr>
        <w:t xml:space="preserve">, </w:t>
      </w:r>
      <w:r>
        <w:rPr>
          <w:i/>
          <w:sz w:val="20"/>
          <w:lang w:val="fr"/>
        </w:rPr>
        <w:t>mutatis mutandis</w:t>
      </w:r>
      <w:r>
        <w:rPr>
          <w:lang w:val="fr"/>
        </w:rPr>
        <w:t xml:space="preserve">, </w:t>
      </w:r>
      <w:r>
        <w:rPr>
          <w:sz w:val="20"/>
          <w:lang w:val="fr"/>
        </w:rPr>
        <w:t>à tous égards (y compris, sans limitation, l’article VIII).  En cas de conflit ou d’incohérence entre les termes du présent Accord et tout Accord de transfert local, les termes du présent Accord prévaudront.  Pour éviter toute ambiguïté, en ce qui concerne chaque accord de transfert local, la contrepartie (telle que définie dans cet accord de transfert local) pour les actifs achetés en vertu de celui-ci est incluse dans le prix d’achat ci-dessous et sera payable dans le cadre de (et non en s’y ajoutant).</w:t>
      </w:r>
    </w:p>
    <w:p w14:paraId="49929C26" w14:textId="77777777" w:rsidR="00714BFD" w:rsidRDefault="009A59D2">
      <w:pPr>
        <w:pStyle w:val="TextBody"/>
        <w:spacing w:after="0"/>
      </w:pPr>
      <w:r>
        <w:t> </w:t>
      </w:r>
    </w:p>
    <w:p w14:paraId="187D2A4F" w14:textId="77777777" w:rsidR="00714BFD" w:rsidRDefault="009A59D2">
      <w:pPr>
        <w:pStyle w:val="HorizontalLine"/>
        <w:pBdr>
          <w:bottom w:val="single" w:sz="18" w:space="0" w:color="010101"/>
        </w:pBdr>
        <w:spacing w:after="0"/>
      </w:pPr>
      <w:r>
        <w:br w:type="page"/>
      </w:r>
    </w:p>
    <w:p w14:paraId="14CCDDA3" w14:textId="77777777" w:rsidR="00714BFD" w:rsidRDefault="009A59D2">
      <w:pPr>
        <w:pStyle w:val="TextBody"/>
        <w:spacing w:after="0"/>
        <w:jc w:val="center"/>
      </w:pPr>
      <w:r>
        <w:lastRenderedPageBreak/>
        <w:t> </w:t>
      </w:r>
    </w:p>
    <w:p w14:paraId="125F6DE4" w14:textId="77777777" w:rsidR="00714BFD" w:rsidRDefault="009A59D2">
      <w:pPr>
        <w:pStyle w:val="TextBody"/>
        <w:spacing w:after="0"/>
        <w:jc w:val="center"/>
        <w:rPr>
          <w:rFonts w:ascii="Times New Roman" w:hAnsi="Times New Roman"/>
          <w:b/>
          <w:sz w:val="20"/>
        </w:rPr>
      </w:pPr>
      <w:r>
        <w:rPr>
          <w:b/>
          <w:sz w:val="20"/>
          <w:lang w:val="fr"/>
        </w:rPr>
        <w:t>ARTICLE V</w:t>
      </w:r>
      <w:r>
        <w:rPr>
          <w:b/>
          <w:sz w:val="20"/>
          <w:lang w:val="fr"/>
        </w:rPr>
        <w:br/>
        <w:t>CONTRAT FRANÇAIS</w:t>
      </w:r>
    </w:p>
    <w:p w14:paraId="720775BA" w14:textId="77777777" w:rsidR="00714BFD" w:rsidRDefault="009A59D2">
      <w:pPr>
        <w:pStyle w:val="TextBody"/>
        <w:spacing w:after="0"/>
        <w:jc w:val="center"/>
      </w:pPr>
      <w:r>
        <w:t> </w:t>
      </w:r>
    </w:p>
    <w:p w14:paraId="233C5FBA" w14:textId="77777777" w:rsidR="00714BFD" w:rsidRDefault="009A59D2">
      <w:pPr>
        <w:pStyle w:val="TextBody"/>
        <w:spacing w:after="0"/>
        <w:rPr>
          <w:rFonts w:ascii="Times New Roman" w:hAnsi="Times New Roman"/>
          <w:sz w:val="20"/>
        </w:rPr>
      </w:pPr>
      <w:r>
        <w:rPr>
          <w:sz w:val="20"/>
          <w:lang w:val="fr"/>
        </w:rPr>
        <w:t>Nonobstant toute disposition contraire à l’article 6.09(e) du Contrat initial, à l’Annexe 6.09(e) du Contrat original ou à toute autre disposition de l’Accord original, le Vendeur et l’Acheteur conviennent par les présentes que le Vendeur n’aura aucune obligation de transférer, d’obtenir ou d’utiliser des élémentspour obtenir un consentement à l’égard de :  le contrat Français.</w:t>
      </w:r>
    </w:p>
    <w:p w14:paraId="5E311F7C" w14:textId="77777777" w:rsidR="00714BFD" w:rsidRDefault="009A59D2">
      <w:pPr>
        <w:pStyle w:val="TextBody"/>
        <w:spacing w:after="0"/>
      </w:pPr>
      <w:r>
        <w:t> </w:t>
      </w:r>
    </w:p>
    <w:p w14:paraId="1D91CBBD" w14:textId="77777777" w:rsidR="00714BFD" w:rsidRDefault="009A59D2">
      <w:pPr>
        <w:pStyle w:val="TextBody"/>
        <w:spacing w:after="0"/>
        <w:jc w:val="center"/>
        <w:rPr>
          <w:rFonts w:ascii="Times New Roman" w:hAnsi="Times New Roman"/>
          <w:b/>
          <w:sz w:val="20"/>
        </w:rPr>
      </w:pPr>
      <w:r>
        <w:rPr>
          <w:b/>
          <w:sz w:val="20"/>
          <w:lang w:val="fr"/>
        </w:rPr>
        <w:t>ARTICLE VI</w:t>
      </w:r>
      <w:r>
        <w:rPr>
          <w:b/>
          <w:sz w:val="20"/>
          <w:lang w:val="fr"/>
        </w:rPr>
        <w:br/>
        <w:t>CONDITIONS RELATIVES AUX OBLIGATIONS DE L’ACHETEUR</w:t>
      </w:r>
    </w:p>
    <w:p w14:paraId="7D41D684" w14:textId="77777777" w:rsidR="00714BFD" w:rsidRDefault="009A59D2">
      <w:pPr>
        <w:pStyle w:val="TextBody"/>
        <w:spacing w:after="0"/>
        <w:jc w:val="center"/>
      </w:pPr>
      <w:r>
        <w:t> </w:t>
      </w:r>
    </w:p>
    <w:p w14:paraId="61CF8362" w14:textId="77777777" w:rsidR="00714BFD" w:rsidRDefault="009A59D2">
      <w:pPr>
        <w:pStyle w:val="TextBody"/>
        <w:spacing w:after="0"/>
        <w:rPr>
          <w:rFonts w:ascii="Times New Roman" w:hAnsi="Times New Roman"/>
        </w:rPr>
      </w:pPr>
      <w:r>
        <w:rPr>
          <w:sz w:val="20"/>
          <w:lang w:val="fr"/>
        </w:rPr>
        <w:t>1. L’article 7.02(a) de l’entente initiale est modifié et reformulé comme suit :</w:t>
      </w:r>
    </w:p>
    <w:p w14:paraId="70F02323" w14:textId="77777777" w:rsidR="00714BFD" w:rsidRDefault="009A59D2">
      <w:pPr>
        <w:pStyle w:val="TextBody"/>
        <w:spacing w:after="0"/>
      </w:pPr>
      <w:r>
        <w:t> </w:t>
      </w:r>
    </w:p>
    <w:p w14:paraId="4780DC11" w14:textId="77777777" w:rsidR="00714BFD" w:rsidRDefault="009A59D2">
      <w:pPr>
        <w:pStyle w:val="TextBody"/>
        <w:spacing w:after="0"/>
      </w:pPr>
      <w:r>
        <w:rPr>
          <w:lang w:val="fr"/>
        </w:rPr>
        <w:t>« </w:t>
      </w:r>
      <w:r>
        <w:rPr>
          <w:sz w:val="20"/>
          <w:lang w:val="fr"/>
        </w:rPr>
        <w:t>(a</w:t>
      </w:r>
      <w:r>
        <w:rPr>
          <w:lang w:val="fr"/>
        </w:rPr>
        <w:t>) Outre les déclarations et garanties du Vendeur contenues dans l’article 4.01(a), l’article 4.02, l’article 4.04, l’article 4.08(a) et l’article 4.22 (</w:t>
      </w:r>
      <w:r>
        <w:rPr>
          <w:sz w:val="20"/>
          <w:lang w:val="fr"/>
        </w:rPr>
        <w:t>collectivement, les «</w:t>
      </w:r>
      <w:r>
        <w:rPr>
          <w:lang w:val="fr"/>
        </w:rPr>
        <w:t xml:space="preserve"> </w:t>
      </w:r>
      <w:r>
        <w:rPr>
          <w:b/>
          <w:sz w:val="20"/>
          <w:lang w:val="fr"/>
        </w:rPr>
        <w:t>Déclarations fondamentales du vendeur</w:t>
      </w:r>
      <w:r>
        <w:rPr>
          <w:sz w:val="20"/>
          <w:lang w:val="fr"/>
        </w:rPr>
        <w:t xml:space="preserve">  »)  et   </w:t>
      </w:r>
      <w:r>
        <w:rPr>
          <w:b/>
          <w:sz w:val="20"/>
          <w:lang w:val="fr"/>
        </w:rPr>
        <w:t>l’article</w:t>
      </w:r>
      <w:r>
        <w:rPr>
          <w:lang w:val="fr"/>
        </w:rPr>
        <w:t xml:space="preserve"> </w:t>
      </w:r>
      <w:r>
        <w:rPr>
          <w:b/>
          <w:sz w:val="20"/>
          <w:lang w:val="fr"/>
        </w:rPr>
        <w:t>4.06(b),</w:t>
      </w:r>
      <w:r>
        <w:rPr>
          <w:lang w:val="fr"/>
        </w:rPr>
        <w:t xml:space="preserve"> le </w:t>
      </w:r>
      <w:r>
        <w:rPr>
          <w:b/>
          <w:sz w:val="20"/>
          <w:lang w:val="fr"/>
        </w:rPr>
        <w:t xml:space="preserve"> </w:t>
      </w:r>
      <w:r>
        <w:rPr>
          <w:sz w:val="20"/>
          <w:lang w:val="fr"/>
        </w:rPr>
        <w:t xml:space="preserve"> les déclarations et garanties du Vendeur contenues dans le présent Contrat et les autres Conventions de transaction doivent être véridiques et correctes (sans donner effet à toute réserve quant à l’importance relative ou à l’Effet défavorable important énoncée dans les présentes et dans les présentes) </w:t>
      </w:r>
      <w:proofErr w:type="spellStart"/>
      <w:r>
        <w:rPr>
          <w:sz w:val="20"/>
          <w:lang w:val="fr"/>
        </w:rPr>
        <w:t>àcompter</w:t>
      </w:r>
      <w:proofErr w:type="spellEnd"/>
      <w:r>
        <w:rPr>
          <w:sz w:val="20"/>
          <w:lang w:val="fr"/>
        </w:rPr>
        <w:t xml:space="preserve"> de</w:t>
      </w:r>
      <w:r>
        <w:rPr>
          <w:lang w:val="fr"/>
        </w:rPr>
        <w:t xml:space="preserve"> (</w:t>
      </w:r>
      <w:r>
        <w:rPr>
          <w:sz w:val="20"/>
          <w:lang w:val="fr"/>
        </w:rPr>
        <w:t xml:space="preserve">i) si la Clôture a lieu au plus tard le 10 janvier 2014, le 31 décembre 2013 (comme si,  aux fins du présent </w:t>
      </w:r>
      <w:r>
        <w:rPr>
          <w:b/>
          <w:sz w:val="20"/>
          <w:lang w:val="fr"/>
        </w:rPr>
        <w:t>article 7.02</w:t>
      </w:r>
      <w:r>
        <w:rPr>
          <w:lang w:val="fr"/>
        </w:rPr>
        <w:t xml:space="preserve"> (a), les </w:t>
      </w:r>
      <w:r>
        <w:rPr>
          <w:sz w:val="20"/>
          <w:lang w:val="fr"/>
        </w:rPr>
        <w:t xml:space="preserve">transactions envisagées par les présentes et sont ainsi consommées le 31 décembre 2013) ou (ii) si la clôture a lieu après le 10 janvier 2014, date de clôture, avec le même effet que si elle avait été faite à cette date (à l’exception des déclarations et garanties qui ne traitent de questions qu’à une date spécifiée,  dont l’exactitude doit être déterminée à partir de ce da te spécifié), sauf si le défaut de ces déclarations et garanties d’être aussi vraies et correctes n’aurait pas d’effet défavorable important.  Les déclarations fondamentales du vendeur doivent être véridiques </w:t>
      </w:r>
      <w:r>
        <w:rPr>
          <w:lang w:val="fr"/>
        </w:rPr>
        <w:t xml:space="preserve"> et correctes à tous égards importants et les déclarations et </w:t>
      </w:r>
      <w:r>
        <w:rPr>
          <w:sz w:val="20"/>
          <w:lang w:val="fr"/>
        </w:rPr>
        <w:t xml:space="preserve">garanties du vendeur contenues dans l’article </w:t>
      </w:r>
      <w:r>
        <w:rPr>
          <w:b/>
          <w:sz w:val="20"/>
          <w:lang w:val="fr"/>
        </w:rPr>
        <w:t>4.06(b</w:t>
      </w:r>
      <w:r>
        <w:rPr>
          <w:lang w:val="fr"/>
        </w:rPr>
        <w:t xml:space="preserve">) </w:t>
      </w:r>
      <w:r>
        <w:rPr>
          <w:sz w:val="20"/>
          <w:lang w:val="fr"/>
        </w:rPr>
        <w:t>doivent être vraies et correctes à tous égards, dans chaque cas, à compter du</w:t>
      </w:r>
      <w:r>
        <w:rPr>
          <w:lang w:val="fr"/>
        </w:rPr>
        <w:t xml:space="preserve"> (</w:t>
      </w:r>
      <w:r>
        <w:rPr>
          <w:sz w:val="20"/>
          <w:lang w:val="fr"/>
        </w:rPr>
        <w:t xml:space="preserve">i) si la clôture a lieu au plus tard le 10 janvier 2014, le 31 décembre 2013 (comme si,  aux fins du </w:t>
      </w:r>
      <w:r>
        <w:rPr>
          <w:lang w:val="fr"/>
        </w:rPr>
        <w:t xml:space="preserve"> présent </w:t>
      </w:r>
      <w:r>
        <w:rPr>
          <w:b/>
          <w:sz w:val="20"/>
          <w:lang w:val="fr"/>
        </w:rPr>
        <w:t>article 7.02</w:t>
      </w:r>
      <w:r>
        <w:rPr>
          <w:lang w:val="fr"/>
        </w:rPr>
        <w:t xml:space="preserve"> (a), les </w:t>
      </w:r>
      <w:r>
        <w:rPr>
          <w:sz w:val="20"/>
          <w:lang w:val="fr"/>
        </w:rPr>
        <w:t>transactionsenvisagées par le présent accord et les autres conventions de transaction sont consommées le 31 décembre 2013) ou (ii) si la clôture a lieu après le 10 janvier 2014, date de clôture, avec le même effet que si elle avait été effectuée à cette date (à l’exception de celles</w:t>
      </w:r>
      <w:r>
        <w:rPr>
          <w:lang w:val="fr"/>
        </w:rPr>
        <w:t xml:space="preserve"> qui ont été effectuées</w:t>
      </w:r>
      <w:r>
        <w:rPr>
          <w:sz w:val="20"/>
          <w:lang w:val="fr"/>
        </w:rPr>
        <w:t>) e les déclarations et garanties qui ne traitent de questions qu’à une date spécifiée, dont l’exactitude sera déterminée à compter de cette date spécifiée). »</w:t>
      </w:r>
    </w:p>
    <w:p w14:paraId="358756D0" w14:textId="77777777" w:rsidR="00714BFD" w:rsidRDefault="009A59D2">
      <w:pPr>
        <w:pStyle w:val="TextBody"/>
        <w:spacing w:after="0"/>
      </w:pPr>
      <w:r>
        <w:t> </w:t>
      </w:r>
    </w:p>
    <w:p w14:paraId="241A2CDA" w14:textId="77777777" w:rsidR="00714BFD" w:rsidRDefault="009A59D2">
      <w:pPr>
        <w:pStyle w:val="TextBody"/>
        <w:spacing w:after="0"/>
        <w:rPr>
          <w:rFonts w:ascii="Times New Roman" w:hAnsi="Times New Roman"/>
        </w:rPr>
      </w:pPr>
      <w:r>
        <w:rPr>
          <w:sz w:val="20"/>
          <w:lang w:val="fr"/>
        </w:rPr>
        <w:t>2. L’article 7.02(c) de l’entente initiale est modifié et reformulé comme suit :</w:t>
      </w:r>
    </w:p>
    <w:p w14:paraId="1B375F05" w14:textId="77777777" w:rsidR="00714BFD" w:rsidRDefault="009A59D2">
      <w:pPr>
        <w:pStyle w:val="TextBody"/>
        <w:spacing w:after="0"/>
      </w:pPr>
      <w:r>
        <w:t> </w:t>
      </w:r>
    </w:p>
    <w:p w14:paraId="364502A8" w14:textId="77777777" w:rsidR="00714BFD" w:rsidRDefault="009A59D2">
      <w:pPr>
        <w:pStyle w:val="TextBody"/>
        <w:spacing w:after="0"/>
      </w:pPr>
      <w:r>
        <w:rPr>
          <w:lang w:val="fr"/>
        </w:rPr>
        <w:t>(</w:t>
      </w:r>
      <w:r>
        <w:rPr>
          <w:sz w:val="20"/>
          <w:lang w:val="fr"/>
        </w:rPr>
        <w:t>c</w:t>
      </w:r>
      <w:r>
        <w:rPr>
          <w:lang w:val="fr"/>
        </w:rPr>
        <w:t xml:space="preserve">) </w:t>
      </w:r>
      <w:r>
        <w:rPr>
          <w:sz w:val="20"/>
          <w:lang w:val="fr"/>
        </w:rPr>
        <w:t xml:space="preserve"> Les consentements à l’accord de collaboration seront pleinement en vigueur et de plein effet à compter</w:t>
      </w:r>
      <w:r>
        <w:rPr>
          <w:lang w:val="fr"/>
        </w:rPr>
        <w:t xml:space="preserve"> (</w:t>
      </w:r>
      <w:r>
        <w:rPr>
          <w:sz w:val="20"/>
          <w:lang w:val="fr"/>
        </w:rPr>
        <w:t>i</w:t>
      </w:r>
      <w:r>
        <w:rPr>
          <w:lang w:val="fr"/>
        </w:rPr>
        <w:t>) si la clôture a lieu au plus tard le 10 janvier 2014</w:t>
      </w:r>
      <w:r>
        <w:rPr>
          <w:sz w:val="20"/>
          <w:lang w:val="fr"/>
        </w:rPr>
        <w:t xml:space="preserve">, le 31 décembre 2013, ou (ii) si la clôture a lieu après le 10 janvier 2014, date de clôture; </w:t>
      </w:r>
      <w:r>
        <w:rPr>
          <w:lang w:val="fr"/>
        </w:rPr>
        <w:t xml:space="preserve"> </w:t>
      </w:r>
      <w:r>
        <w:rPr>
          <w:i/>
          <w:sz w:val="20"/>
          <w:lang w:val="fr"/>
        </w:rPr>
        <w:t>étant entendu</w:t>
      </w:r>
      <w:r>
        <w:rPr>
          <w:lang w:val="fr"/>
        </w:rPr>
        <w:t xml:space="preserve"> qu’un consentement à l’accord de collaboration </w:t>
      </w:r>
      <w:r>
        <w:rPr>
          <w:sz w:val="20"/>
          <w:lang w:val="fr"/>
        </w:rPr>
        <w:t xml:space="preserve"> signé et remis qui n’a pas été révoqué par écrit par la contrepartie constitue </w:t>
      </w:r>
      <w:r>
        <w:rPr>
          <w:i/>
          <w:sz w:val="20"/>
          <w:lang w:val="fr"/>
        </w:rPr>
        <w:t>une preuve prima facie</w:t>
      </w:r>
      <w:r>
        <w:rPr>
          <w:sz w:val="20"/>
          <w:lang w:val="fr"/>
        </w:rPr>
        <w:t xml:space="preserve"> que ce consentement à l’accord de collaboration a été obtenu et qu’il est pleinement en vigueur. »</w:t>
      </w:r>
    </w:p>
    <w:p w14:paraId="1083B795" w14:textId="77777777" w:rsidR="00714BFD" w:rsidRDefault="009A59D2">
      <w:pPr>
        <w:pStyle w:val="TextBody"/>
        <w:spacing w:after="0"/>
      </w:pPr>
      <w:r>
        <w:t> </w:t>
      </w:r>
    </w:p>
    <w:p w14:paraId="28268CB9" w14:textId="77777777" w:rsidR="00714BFD" w:rsidRDefault="009A59D2">
      <w:pPr>
        <w:pStyle w:val="TextBody"/>
        <w:spacing w:after="0"/>
        <w:rPr>
          <w:rFonts w:ascii="Times New Roman" w:hAnsi="Times New Roman"/>
        </w:rPr>
      </w:pPr>
      <w:r>
        <w:rPr>
          <w:sz w:val="20"/>
          <w:lang w:val="fr"/>
        </w:rPr>
        <w:t>3. L’article 7.02(d) de l’entente initiale est modifié et reformulé comme suit :</w:t>
      </w:r>
    </w:p>
    <w:p w14:paraId="69F15485" w14:textId="77777777" w:rsidR="00714BFD" w:rsidRDefault="009A59D2">
      <w:pPr>
        <w:pStyle w:val="TextBody"/>
        <w:spacing w:after="0"/>
      </w:pPr>
      <w:r>
        <w:t> </w:t>
      </w:r>
    </w:p>
    <w:p w14:paraId="6A445ECF" w14:textId="77777777" w:rsidR="00714BFD" w:rsidRDefault="009A59D2">
      <w:pPr>
        <w:pStyle w:val="TextBody"/>
        <w:spacing w:after="0"/>
      </w:pPr>
      <w:r>
        <w:rPr>
          <w:lang w:val="fr"/>
        </w:rPr>
        <w:t>(</w:t>
      </w:r>
      <w:r>
        <w:rPr>
          <w:sz w:val="20"/>
          <w:lang w:val="fr"/>
        </w:rPr>
        <w:t>d</w:t>
      </w:r>
      <w:r>
        <w:rPr>
          <w:lang w:val="fr"/>
        </w:rPr>
        <w:t xml:space="preserve">) </w:t>
      </w:r>
      <w:r>
        <w:rPr>
          <w:sz w:val="20"/>
          <w:lang w:val="fr"/>
        </w:rPr>
        <w:t xml:space="preserve"> À compter de la date du présent accord jusqu’à</w:t>
      </w:r>
      <w:r>
        <w:rPr>
          <w:lang w:val="fr"/>
        </w:rPr>
        <w:t xml:space="preserve"> (</w:t>
      </w:r>
      <w:r>
        <w:rPr>
          <w:sz w:val="20"/>
          <w:lang w:val="fr"/>
        </w:rPr>
        <w:t>i</w:t>
      </w:r>
      <w:r>
        <w:rPr>
          <w:lang w:val="fr"/>
        </w:rPr>
        <w:t xml:space="preserve">) si la clôture a lieu le 10 janvier 2014 ou avant le 31 décembre 2013 (comme si, aux fins de la présente </w:t>
      </w:r>
      <w:r>
        <w:rPr>
          <w:b/>
          <w:sz w:val="20"/>
          <w:lang w:val="fr"/>
        </w:rPr>
        <w:t>section 7.02 (d</w:t>
      </w:r>
      <w:r>
        <w:rPr>
          <w:lang w:val="fr"/>
        </w:rPr>
        <w:t>)</w:t>
      </w:r>
      <w:r>
        <w:rPr>
          <w:sz w:val="20"/>
          <w:lang w:val="fr"/>
        </w:rPr>
        <w:t>), les transactions envisagées par le présent accord et les autres conventions de transaction sont consommées le 31 décembre 2013) ou (ii) si la clôture a lieu après Janu  Le 10 mai 2014, date de clôture, aucun effet défavorable important ne doit s’être produit et se poursuivre.</w:t>
      </w:r>
    </w:p>
    <w:p w14:paraId="5BF62C00" w14:textId="77777777" w:rsidR="00714BFD" w:rsidRDefault="009A59D2">
      <w:pPr>
        <w:pStyle w:val="TextBody"/>
        <w:spacing w:after="0"/>
      </w:pPr>
      <w:r>
        <w:t> </w:t>
      </w:r>
    </w:p>
    <w:p w14:paraId="0E02DF0F" w14:textId="77777777" w:rsidR="00714BFD" w:rsidRDefault="009A59D2">
      <w:pPr>
        <w:pStyle w:val="TextBody"/>
        <w:spacing w:after="0"/>
        <w:rPr>
          <w:rFonts w:ascii="Times New Roman" w:hAnsi="Times New Roman"/>
        </w:rPr>
      </w:pPr>
      <w:r>
        <w:rPr>
          <w:sz w:val="20"/>
          <w:lang w:val="fr"/>
        </w:rPr>
        <w:t>4. L’article 8.02(a) de l’entente initiale est modifié et reformulé comme suit :</w:t>
      </w:r>
    </w:p>
    <w:p w14:paraId="1F33FADF" w14:textId="77777777" w:rsidR="00714BFD" w:rsidRDefault="009A59D2">
      <w:pPr>
        <w:pStyle w:val="TextBody"/>
        <w:spacing w:after="0"/>
      </w:pPr>
      <w:r>
        <w:t> </w:t>
      </w:r>
    </w:p>
    <w:p w14:paraId="282C0E3C" w14:textId="77777777" w:rsidR="00714BFD" w:rsidRDefault="009A59D2">
      <w:pPr>
        <w:pStyle w:val="HorizontalLine"/>
        <w:pBdr>
          <w:bottom w:val="single" w:sz="18" w:space="0" w:color="010101"/>
        </w:pBdr>
        <w:spacing w:after="0"/>
      </w:pPr>
      <w:r>
        <w:br w:type="page"/>
      </w:r>
    </w:p>
    <w:p w14:paraId="3D2AE9BD" w14:textId="77777777" w:rsidR="00714BFD" w:rsidRDefault="009A59D2">
      <w:pPr>
        <w:pStyle w:val="TextBody"/>
        <w:spacing w:after="0"/>
        <w:jc w:val="center"/>
      </w:pPr>
      <w:r>
        <w:lastRenderedPageBreak/>
        <w:t> </w:t>
      </w:r>
    </w:p>
    <w:p w14:paraId="3255DE9D" w14:textId="77777777" w:rsidR="00714BFD" w:rsidRDefault="009A59D2">
      <w:pPr>
        <w:pStyle w:val="TextBody"/>
        <w:spacing w:after="0"/>
      </w:pPr>
      <w:r>
        <w:rPr>
          <w:lang w:val="fr"/>
        </w:rPr>
        <w:t>(</w:t>
      </w:r>
      <w:r>
        <w:rPr>
          <w:sz w:val="20"/>
          <w:lang w:val="fr"/>
        </w:rPr>
        <w:t>a</w:t>
      </w:r>
      <w:r>
        <w:rPr>
          <w:lang w:val="fr"/>
        </w:rPr>
        <w:t xml:space="preserve">) toute </w:t>
      </w:r>
      <w:r>
        <w:rPr>
          <w:sz w:val="20"/>
          <w:lang w:val="fr"/>
        </w:rPr>
        <w:t xml:space="preserve"> inexactitude ou violation de l’une des déclarations ou garanties du Vendeur contenues dans le présent Contrat ou toute autre Convention de transaction, à la date des présentes et à compter de</w:t>
      </w:r>
      <w:r>
        <w:rPr>
          <w:lang w:val="fr"/>
        </w:rPr>
        <w:t xml:space="preserve"> (</w:t>
      </w:r>
      <w:r>
        <w:rPr>
          <w:sz w:val="20"/>
          <w:lang w:val="fr"/>
        </w:rPr>
        <w:t>i</w:t>
      </w:r>
      <w:r>
        <w:rPr>
          <w:lang w:val="fr"/>
        </w:rPr>
        <w:t xml:space="preserve">) si </w:t>
      </w:r>
      <w:r>
        <w:rPr>
          <w:sz w:val="20"/>
          <w:lang w:val="fr"/>
        </w:rPr>
        <w:t xml:space="preserve">la Clôture a lieu au plus tard le 10 janvier </w:t>
      </w:r>
      <w:r>
        <w:rPr>
          <w:lang w:val="fr"/>
        </w:rPr>
        <w:t xml:space="preserve"> 2014</w:t>
      </w:r>
      <w:r>
        <w:rPr>
          <w:sz w:val="20"/>
          <w:lang w:val="fr"/>
        </w:rPr>
        <w:t xml:space="preserve">, le 31 décembre 2013 (comme si, aux fins du présent </w:t>
      </w:r>
      <w:r>
        <w:rPr>
          <w:b/>
          <w:sz w:val="20"/>
          <w:lang w:val="fr"/>
        </w:rPr>
        <w:t>Article 8.02(a)</w:t>
      </w:r>
      <w:r>
        <w:rPr>
          <w:sz w:val="20"/>
          <w:lang w:val="fr"/>
        </w:rPr>
        <w:t xml:space="preserve"> , les transactions envisagées par la présente convention et les autres conventions de transaction sont consommées le 31 décembre 2013) ou (ii) si la clôture a lieu après le 10 janvier 2014</w:t>
      </w:r>
      <w:r>
        <w:rPr>
          <w:lang w:val="fr"/>
        </w:rPr>
        <w:t xml:space="preserve">, date </w:t>
      </w:r>
      <w:r>
        <w:rPr>
          <w:sz w:val="20"/>
          <w:lang w:val="fr"/>
        </w:rPr>
        <w:t>de perte C (à l’exception des déclarations et garanties qui se rapportent expressément à une date spécifiée, dont l’inexactitude ou la violation sera déterminée par référence à cette date spécifiée);</w:t>
      </w:r>
    </w:p>
    <w:p w14:paraId="2349F68B" w14:textId="77777777" w:rsidR="00714BFD" w:rsidRDefault="009A59D2">
      <w:pPr>
        <w:pStyle w:val="TextBody"/>
        <w:spacing w:after="0"/>
      </w:pPr>
      <w:r>
        <w:t> </w:t>
      </w:r>
    </w:p>
    <w:p w14:paraId="6783ED3D" w14:textId="77777777" w:rsidR="00714BFD" w:rsidRDefault="009A59D2">
      <w:pPr>
        <w:pStyle w:val="TextBody"/>
        <w:spacing w:after="0"/>
        <w:jc w:val="center"/>
        <w:rPr>
          <w:rFonts w:ascii="Times New Roman" w:hAnsi="Times New Roman"/>
          <w:b/>
          <w:sz w:val="20"/>
        </w:rPr>
      </w:pPr>
      <w:r>
        <w:rPr>
          <w:b/>
          <w:sz w:val="20"/>
          <w:lang w:val="fr"/>
        </w:rPr>
        <w:br/>
        <w:t>AVIS</w:t>
      </w:r>
      <w:r>
        <w:rPr>
          <w:lang w:val="fr"/>
        </w:rPr>
        <w:t xml:space="preserve"> AU TITRE DE L’ARTICLE VII</w:t>
      </w:r>
    </w:p>
    <w:p w14:paraId="4B312695" w14:textId="77777777" w:rsidR="00714BFD" w:rsidRDefault="009A59D2">
      <w:pPr>
        <w:pStyle w:val="TextBody"/>
        <w:spacing w:after="0"/>
        <w:jc w:val="center"/>
      </w:pPr>
      <w:r>
        <w:t> </w:t>
      </w:r>
    </w:p>
    <w:p w14:paraId="37A211C6" w14:textId="77777777" w:rsidR="00714BFD" w:rsidRDefault="009A59D2">
      <w:pPr>
        <w:pStyle w:val="TextBody"/>
        <w:spacing w:after="0"/>
        <w:rPr>
          <w:rFonts w:ascii="Times New Roman" w:hAnsi="Times New Roman"/>
        </w:rPr>
      </w:pPr>
      <w:r>
        <w:rPr>
          <w:sz w:val="20"/>
          <w:lang w:val="fr"/>
        </w:rPr>
        <w:t>1. L’article 10.03 du Contrat original est modifié par la présente en supprimant l’adresse indiquée pour « Acheteur ou Grifols » et en la remplaçant par ce qui suit :</w:t>
      </w:r>
    </w:p>
    <w:p w14:paraId="5F90A521" w14:textId="77777777" w:rsidR="00714BFD" w:rsidRDefault="009A59D2">
      <w:pPr>
        <w:pStyle w:val="TextBody"/>
        <w:spacing w:after="0"/>
      </w:pPr>
      <w:r>
        <w:t> </w:t>
      </w:r>
    </w:p>
    <w:p w14:paraId="4B1BD8C6" w14:textId="77777777" w:rsidR="00714BFD" w:rsidRDefault="009A59D2">
      <w:pPr>
        <w:pStyle w:val="TextBody"/>
        <w:spacing w:after="0"/>
        <w:rPr>
          <w:rFonts w:ascii="Times New Roman" w:hAnsi="Times New Roman"/>
        </w:rPr>
      </w:pPr>
      <w:r>
        <w:rPr>
          <w:sz w:val="20"/>
          <w:lang w:val="fr"/>
        </w:rPr>
        <w:t>Grifols, S.A.c</w:t>
      </w:r>
      <w:r>
        <w:rPr>
          <w:sz w:val="20"/>
          <w:lang w:val="fr"/>
        </w:rPr>
        <w:br/>
        <w:t>/o Proskauer Rose LLP</w:t>
      </w:r>
      <w:r>
        <w:rPr>
          <w:sz w:val="20"/>
          <w:lang w:val="fr"/>
        </w:rPr>
        <w:br/>
        <w:t>Eleven Times Square</w:t>
      </w:r>
      <w:r>
        <w:rPr>
          <w:lang w:val="fr"/>
        </w:rPr>
        <w:t xml:space="preserve"> New York</w:t>
      </w:r>
      <w:r>
        <w:rPr>
          <w:sz w:val="20"/>
          <w:lang w:val="fr"/>
        </w:rPr>
        <w:br/>
        <w:t>, New York 10036</w:t>
      </w:r>
      <w:r>
        <w:rPr>
          <w:sz w:val="20"/>
          <w:lang w:val="fr"/>
        </w:rPr>
        <w:br/>
        <w:t>Télécopieur : +1 (212) 969-2900</w:t>
      </w:r>
      <w:r>
        <w:rPr>
          <w:sz w:val="20"/>
          <w:lang w:val="fr"/>
        </w:rPr>
        <w:br/>
        <w:t>À l’attention de : Peter G. Samuels</w:t>
      </w:r>
    </w:p>
    <w:p w14:paraId="06581274" w14:textId="77777777" w:rsidR="00714BFD" w:rsidRDefault="009A59D2">
      <w:pPr>
        <w:pStyle w:val="TextBody"/>
        <w:spacing w:after="0"/>
        <w:rPr>
          <w:rFonts w:ascii="Times New Roman" w:hAnsi="Times New Roman"/>
          <w:sz w:val="20"/>
        </w:rPr>
      </w:pPr>
      <w:r>
        <w:rPr>
          <w:sz w:val="20"/>
          <w:lang w:val="fr"/>
        </w:rPr>
        <w:t xml:space="preserve">Daniel I. </w:t>
      </w:r>
      <w:proofErr w:type="spellStart"/>
      <w:r>
        <w:rPr>
          <w:sz w:val="20"/>
          <w:lang w:val="fr"/>
        </w:rPr>
        <w:t>Ganitsky</w:t>
      </w:r>
      <w:proofErr w:type="spellEnd"/>
    </w:p>
    <w:p w14:paraId="7BC89C8A" w14:textId="77777777" w:rsidR="00714BFD" w:rsidRDefault="009A59D2">
      <w:pPr>
        <w:pStyle w:val="TextBody"/>
        <w:spacing w:after="0"/>
      </w:pPr>
      <w:r>
        <w:t> </w:t>
      </w:r>
    </w:p>
    <w:p w14:paraId="5A2A675F" w14:textId="77777777" w:rsidR="00714BFD" w:rsidRDefault="009A59D2">
      <w:pPr>
        <w:pStyle w:val="TextBody"/>
        <w:spacing w:after="0"/>
        <w:rPr>
          <w:rFonts w:ascii="Times New Roman" w:hAnsi="Times New Roman"/>
        </w:rPr>
      </w:pPr>
      <w:r>
        <w:rPr>
          <w:sz w:val="20"/>
          <w:lang w:val="fr"/>
        </w:rPr>
        <w:t>2. L’article 10.03 du Contrat original est modifié par la présente par la suppression de l’exigence selon laquelle une copie de chaque communication adressée</w:t>
      </w:r>
      <w:r>
        <w:rPr>
          <w:lang w:val="fr"/>
        </w:rPr>
        <w:t xml:space="preserve"> à </w:t>
      </w:r>
      <w:r>
        <w:rPr>
          <w:sz w:val="20"/>
          <w:lang w:val="fr"/>
        </w:rPr>
        <w:t>l’Acheteur ou à Grifols doit être envoyée à l’adresse suivante :</w:t>
      </w:r>
    </w:p>
    <w:p w14:paraId="27CC907D" w14:textId="77777777" w:rsidR="00714BFD" w:rsidRDefault="009A59D2">
      <w:pPr>
        <w:pStyle w:val="TextBody"/>
        <w:spacing w:after="0"/>
      </w:pPr>
      <w:r>
        <w:t> </w:t>
      </w:r>
    </w:p>
    <w:p w14:paraId="6DCFD13E" w14:textId="77777777" w:rsidR="00714BFD" w:rsidRDefault="009A59D2">
      <w:pPr>
        <w:pStyle w:val="TextBody"/>
        <w:spacing w:after="0"/>
        <w:rPr>
          <w:rFonts w:ascii="Times New Roman" w:hAnsi="Times New Roman"/>
        </w:rPr>
      </w:pPr>
      <w:r>
        <w:rPr>
          <w:sz w:val="20"/>
          <w:lang w:val="fr"/>
        </w:rPr>
        <w:t>Proskauer Rose LLP</w:t>
      </w:r>
      <w:r>
        <w:rPr>
          <w:sz w:val="20"/>
          <w:lang w:val="fr"/>
        </w:rPr>
        <w:br/>
        <w:t>Eleven Times Square</w:t>
      </w:r>
      <w:r>
        <w:rPr>
          <w:lang w:val="fr"/>
        </w:rPr>
        <w:t xml:space="preserve"> New York</w:t>
      </w:r>
      <w:r>
        <w:rPr>
          <w:sz w:val="20"/>
          <w:lang w:val="fr"/>
        </w:rPr>
        <w:br/>
        <w:t>, New York 10036</w:t>
      </w:r>
      <w:r>
        <w:rPr>
          <w:sz w:val="20"/>
          <w:lang w:val="fr"/>
        </w:rPr>
        <w:br/>
        <w:t>Télécopieur : +1 (212) 969-2900</w:t>
      </w:r>
      <w:r>
        <w:rPr>
          <w:sz w:val="20"/>
          <w:lang w:val="fr"/>
        </w:rPr>
        <w:br/>
        <w:t>À l’attention de : Peter G. Samuels</w:t>
      </w:r>
    </w:p>
    <w:p w14:paraId="589B1C73" w14:textId="77777777" w:rsidR="00714BFD" w:rsidRDefault="009A59D2">
      <w:pPr>
        <w:pStyle w:val="TextBody"/>
        <w:spacing w:after="0"/>
        <w:rPr>
          <w:rFonts w:ascii="Times New Roman" w:hAnsi="Times New Roman"/>
          <w:sz w:val="20"/>
        </w:rPr>
      </w:pPr>
      <w:r>
        <w:rPr>
          <w:sz w:val="20"/>
          <w:lang w:val="fr"/>
        </w:rPr>
        <w:t xml:space="preserve">Daniel I. </w:t>
      </w:r>
      <w:proofErr w:type="spellStart"/>
      <w:r>
        <w:rPr>
          <w:sz w:val="20"/>
          <w:lang w:val="fr"/>
        </w:rPr>
        <w:t>Ganitsky</w:t>
      </w:r>
      <w:proofErr w:type="spellEnd"/>
    </w:p>
    <w:p w14:paraId="519F5B64" w14:textId="77777777" w:rsidR="00714BFD" w:rsidRDefault="009A59D2">
      <w:pPr>
        <w:pStyle w:val="TextBody"/>
        <w:spacing w:after="0"/>
      </w:pPr>
      <w:r>
        <w:t> </w:t>
      </w:r>
    </w:p>
    <w:p w14:paraId="6981EF94" w14:textId="77777777" w:rsidR="00714BFD" w:rsidRDefault="009A59D2">
      <w:pPr>
        <w:pStyle w:val="TextBody"/>
        <w:spacing w:after="0"/>
        <w:jc w:val="center"/>
        <w:rPr>
          <w:rFonts w:ascii="Times New Roman" w:hAnsi="Times New Roman"/>
          <w:b/>
          <w:sz w:val="20"/>
        </w:rPr>
      </w:pPr>
      <w:r>
        <w:rPr>
          <w:b/>
          <w:sz w:val="20"/>
          <w:lang w:val="fr"/>
        </w:rPr>
        <w:t>ARTICLE VIII</w:t>
      </w:r>
      <w:r>
        <w:rPr>
          <w:b/>
          <w:sz w:val="20"/>
          <w:lang w:val="fr"/>
        </w:rPr>
        <w:br/>
        <w:t xml:space="preserve">RELATION AVEC L’ACCORD INITIAL </w:t>
      </w:r>
    </w:p>
    <w:p w14:paraId="38D10251" w14:textId="77777777" w:rsidR="00714BFD" w:rsidRDefault="009A59D2">
      <w:pPr>
        <w:pStyle w:val="TextBody"/>
        <w:spacing w:after="0"/>
        <w:jc w:val="center"/>
      </w:pPr>
      <w:r>
        <w:t> </w:t>
      </w:r>
    </w:p>
    <w:p w14:paraId="4552B970" w14:textId="77777777" w:rsidR="00714BFD" w:rsidRDefault="009A59D2">
      <w:pPr>
        <w:pStyle w:val="TextBody"/>
        <w:spacing w:after="0"/>
        <w:rPr>
          <w:rFonts w:ascii="Times New Roman" w:hAnsi="Times New Roman"/>
          <w:sz w:val="20"/>
        </w:rPr>
      </w:pPr>
      <w:r>
        <w:rPr>
          <w:sz w:val="20"/>
          <w:lang w:val="fr"/>
        </w:rPr>
        <w:t>Sauf dans les cas où il est amendé et modifié, toutes les dispositions de l’Accord original resteront pleinement en vigueur et, telles qu’amendées et modifiées, seront ratifiées et réaffirmées.  Le présent premier amendement est soumis aux conditions</w:t>
      </w:r>
      <w:r>
        <w:rPr>
          <w:lang w:val="fr"/>
        </w:rPr>
        <w:t xml:space="preserve"> et conditions applicables de </w:t>
      </w:r>
      <w:r>
        <w:rPr>
          <w:sz w:val="20"/>
          <w:lang w:val="fr"/>
        </w:rPr>
        <w:t>l’accord initial, et interprété avec et comme faisant partie intégrante de celui-ci.  À compter de la date du présent premier amendement, toutes les références dans l’accord original au « présent accord » seront réputées être des références à l’accord originaltel qu’amendé et modifié par les présentes.</w:t>
      </w:r>
    </w:p>
    <w:p w14:paraId="11A0D9A1" w14:textId="77777777" w:rsidR="00714BFD" w:rsidRDefault="009A59D2">
      <w:pPr>
        <w:pStyle w:val="TextBody"/>
        <w:spacing w:after="0"/>
      </w:pPr>
      <w:r>
        <w:t> </w:t>
      </w:r>
    </w:p>
    <w:p w14:paraId="62C9A418" w14:textId="77777777" w:rsidR="00714BFD" w:rsidRDefault="009A59D2">
      <w:pPr>
        <w:pStyle w:val="TextBody"/>
        <w:spacing w:after="0"/>
        <w:jc w:val="center"/>
        <w:rPr>
          <w:rFonts w:ascii="Times New Roman" w:hAnsi="Times New Roman"/>
          <w:b/>
          <w:sz w:val="20"/>
        </w:rPr>
      </w:pPr>
      <w:r>
        <w:rPr>
          <w:b/>
          <w:sz w:val="20"/>
          <w:lang w:val="fr"/>
        </w:rPr>
        <w:br/>
        <w:t>CONTREPARTIES</w:t>
      </w:r>
      <w:r>
        <w:rPr>
          <w:lang w:val="fr"/>
        </w:rPr>
        <w:t xml:space="preserve"> DE L’ARTICLE IX</w:t>
      </w:r>
    </w:p>
    <w:p w14:paraId="6CA905CE" w14:textId="77777777" w:rsidR="00714BFD" w:rsidRDefault="009A59D2">
      <w:pPr>
        <w:pStyle w:val="TextBody"/>
        <w:spacing w:after="0"/>
        <w:jc w:val="center"/>
      </w:pPr>
      <w:r>
        <w:t> </w:t>
      </w:r>
    </w:p>
    <w:p w14:paraId="2B50AEEA" w14:textId="77777777" w:rsidR="00714BFD" w:rsidRDefault="009A59D2">
      <w:pPr>
        <w:pStyle w:val="TextBody"/>
        <w:spacing w:after="0"/>
        <w:rPr>
          <w:rFonts w:ascii="Times New Roman" w:hAnsi="Times New Roman"/>
          <w:sz w:val="20"/>
        </w:rPr>
      </w:pPr>
      <w:r>
        <w:rPr>
          <w:sz w:val="20"/>
          <w:lang w:val="fr"/>
        </w:rPr>
        <w:t>Ce premier amendement peut être exécuté en contreparties, chacune d’entre elles étant considérée comme un original, mais qui, ensemble, sont considérées comme un seul et même accord.  Une copie signée du présent Premier amendement remise par télécopieur, par courrier électronique ou par tout autre moyen de transmission électronique est réputée avoir le même effet juridique que la remise d’une copie originale signée du présent Premier amendement.</w:t>
      </w:r>
    </w:p>
    <w:p w14:paraId="5153233E" w14:textId="77777777" w:rsidR="00714BFD" w:rsidRDefault="009A59D2">
      <w:pPr>
        <w:pStyle w:val="TextBody"/>
        <w:spacing w:after="0"/>
      </w:pPr>
      <w:r>
        <w:t> </w:t>
      </w:r>
    </w:p>
    <w:p w14:paraId="7D7BF25D" w14:textId="77777777" w:rsidR="00714BFD" w:rsidRDefault="009A59D2">
      <w:pPr>
        <w:pStyle w:val="HorizontalLine"/>
        <w:pBdr>
          <w:bottom w:val="single" w:sz="18" w:space="0" w:color="010101"/>
        </w:pBdr>
        <w:spacing w:after="0"/>
      </w:pPr>
      <w:r>
        <w:br w:type="page"/>
      </w:r>
    </w:p>
    <w:p w14:paraId="170DC8C2" w14:textId="77777777" w:rsidR="00714BFD" w:rsidRDefault="009A59D2">
      <w:pPr>
        <w:pStyle w:val="TextBody"/>
        <w:spacing w:after="0"/>
      </w:pPr>
      <w:r>
        <w:lastRenderedPageBreak/>
        <w:t> </w:t>
      </w:r>
    </w:p>
    <w:p w14:paraId="06DB6E68" w14:textId="77777777" w:rsidR="00714BFD" w:rsidRDefault="009A59D2">
      <w:pPr>
        <w:pStyle w:val="TextBody"/>
        <w:spacing w:after="0"/>
        <w:rPr>
          <w:sz w:val="20"/>
        </w:rPr>
      </w:pPr>
      <w:r>
        <w:rPr>
          <w:sz w:val="20"/>
          <w:lang w:val="fr"/>
        </w:rPr>
        <w:t>EN FOI DE QUOI, les parties aux présentes ontfait exécuter le présent premier amendement à la date indiquée ci-dessus par leurs fonctionnaires respectifs dûment autorisés.</w:t>
      </w:r>
    </w:p>
    <w:p w14:paraId="2B273A8A" w14:textId="77777777" w:rsidR="00714BFD" w:rsidRDefault="009A59D2">
      <w:pPr>
        <w:pStyle w:val="TextBody"/>
        <w:spacing w:after="0"/>
      </w:pPr>
      <w:r>
        <w:t> </w:t>
      </w:r>
    </w:p>
    <w:p w14:paraId="1AFD80CC" w14:textId="77777777" w:rsidR="00714BFD" w:rsidRDefault="009A59D2">
      <w:pPr>
        <w:pStyle w:val="TextBody"/>
        <w:spacing w:after="0"/>
      </w:pPr>
      <w:r>
        <w:t> </w:t>
      </w:r>
    </w:p>
    <w:tbl>
      <w:tblPr>
        <w:tblW w:w="5000" w:type="pct"/>
        <w:tblCellMar>
          <w:left w:w="0" w:type="dxa"/>
          <w:right w:w="0" w:type="dxa"/>
        </w:tblCellMar>
        <w:tblLook w:val="04A0" w:firstRow="1" w:lastRow="0" w:firstColumn="1" w:lastColumn="0" w:noHBand="0" w:noVBand="1"/>
      </w:tblPr>
      <w:tblGrid>
        <w:gridCol w:w="4986"/>
        <w:gridCol w:w="671"/>
        <w:gridCol w:w="4548"/>
      </w:tblGrid>
      <w:tr w:rsidR="00714BFD" w14:paraId="3D7D8156" w14:textId="77777777">
        <w:tc>
          <w:tcPr>
            <w:tcW w:w="5752" w:type="dxa"/>
            <w:shd w:val="clear" w:color="auto" w:fill="auto"/>
          </w:tcPr>
          <w:p w14:paraId="0A42E296" w14:textId="77777777" w:rsidR="00714BFD" w:rsidRDefault="009A59D2">
            <w:pPr>
              <w:pStyle w:val="TableContents"/>
              <w:spacing w:after="0"/>
            </w:pPr>
            <w:r>
              <w:t> </w:t>
            </w:r>
          </w:p>
        </w:tc>
        <w:tc>
          <w:tcPr>
            <w:tcW w:w="5753" w:type="dxa"/>
            <w:gridSpan w:val="2"/>
            <w:shd w:val="clear" w:color="auto" w:fill="auto"/>
          </w:tcPr>
          <w:p w14:paraId="42FB4B1D" w14:textId="77777777" w:rsidR="00714BFD" w:rsidRDefault="009A59D2">
            <w:pPr>
              <w:pStyle w:val="TableContents"/>
              <w:spacing w:after="0"/>
              <w:rPr>
                <w:b/>
                <w:sz w:val="20"/>
              </w:rPr>
            </w:pPr>
            <w:r>
              <w:rPr>
                <w:b/>
                <w:sz w:val="20"/>
                <w:lang w:val="fr"/>
              </w:rPr>
              <w:t>NOVARTIS VACCINES AND DIAGNOSTICS, INC.</w:t>
            </w:r>
          </w:p>
        </w:tc>
      </w:tr>
      <w:tr w:rsidR="00714BFD" w14:paraId="2C2EAFBF" w14:textId="77777777">
        <w:tc>
          <w:tcPr>
            <w:tcW w:w="5752" w:type="dxa"/>
            <w:shd w:val="clear" w:color="auto" w:fill="auto"/>
          </w:tcPr>
          <w:p w14:paraId="12D78601" w14:textId="77777777" w:rsidR="00714BFD" w:rsidRDefault="009A59D2">
            <w:pPr>
              <w:pStyle w:val="TableContents"/>
              <w:spacing w:after="0"/>
            </w:pPr>
            <w:r>
              <w:t> </w:t>
            </w:r>
          </w:p>
        </w:tc>
        <w:tc>
          <w:tcPr>
            <w:tcW w:w="704" w:type="dxa"/>
            <w:shd w:val="clear" w:color="auto" w:fill="auto"/>
          </w:tcPr>
          <w:p w14:paraId="713C8BF5" w14:textId="77777777" w:rsidR="00714BFD" w:rsidRDefault="009A59D2">
            <w:pPr>
              <w:pStyle w:val="TableContents"/>
              <w:spacing w:after="0"/>
            </w:pPr>
            <w:r>
              <w:t> </w:t>
            </w:r>
          </w:p>
        </w:tc>
        <w:tc>
          <w:tcPr>
            <w:tcW w:w="5049" w:type="dxa"/>
            <w:shd w:val="clear" w:color="auto" w:fill="auto"/>
          </w:tcPr>
          <w:p w14:paraId="3AD22DAA" w14:textId="77777777" w:rsidR="00714BFD" w:rsidRDefault="009A59D2">
            <w:pPr>
              <w:pStyle w:val="TableContents"/>
              <w:spacing w:after="0"/>
            </w:pPr>
            <w:r>
              <w:t> </w:t>
            </w:r>
          </w:p>
        </w:tc>
      </w:tr>
      <w:tr w:rsidR="00714BFD" w14:paraId="47E41C1B" w14:textId="77777777">
        <w:tc>
          <w:tcPr>
            <w:tcW w:w="5752" w:type="dxa"/>
            <w:shd w:val="clear" w:color="auto" w:fill="auto"/>
          </w:tcPr>
          <w:p w14:paraId="1618F5D3" w14:textId="77777777" w:rsidR="00714BFD" w:rsidRDefault="009A59D2">
            <w:pPr>
              <w:pStyle w:val="TableContents"/>
              <w:spacing w:after="0"/>
            </w:pPr>
            <w:r>
              <w:t> </w:t>
            </w:r>
          </w:p>
        </w:tc>
        <w:tc>
          <w:tcPr>
            <w:tcW w:w="704" w:type="dxa"/>
            <w:shd w:val="clear" w:color="auto" w:fill="auto"/>
          </w:tcPr>
          <w:p w14:paraId="569B6569" w14:textId="77777777" w:rsidR="00714BFD" w:rsidRDefault="009A59D2">
            <w:pPr>
              <w:pStyle w:val="TableContents"/>
              <w:spacing w:after="0"/>
            </w:pPr>
            <w:r>
              <w:t> </w:t>
            </w:r>
          </w:p>
        </w:tc>
        <w:tc>
          <w:tcPr>
            <w:tcW w:w="5049" w:type="dxa"/>
            <w:shd w:val="clear" w:color="auto" w:fill="auto"/>
          </w:tcPr>
          <w:p w14:paraId="228E4B1B" w14:textId="77777777" w:rsidR="00714BFD" w:rsidRDefault="009A59D2">
            <w:pPr>
              <w:pStyle w:val="TableContents"/>
              <w:spacing w:after="0"/>
            </w:pPr>
            <w:r>
              <w:t> </w:t>
            </w:r>
          </w:p>
        </w:tc>
      </w:tr>
      <w:tr w:rsidR="00714BFD" w14:paraId="20751C28" w14:textId="77777777">
        <w:tc>
          <w:tcPr>
            <w:tcW w:w="5752" w:type="dxa"/>
            <w:shd w:val="clear" w:color="auto" w:fill="auto"/>
          </w:tcPr>
          <w:p w14:paraId="151714B9" w14:textId="77777777" w:rsidR="00714BFD" w:rsidRDefault="009A59D2">
            <w:pPr>
              <w:pStyle w:val="TableContents"/>
              <w:spacing w:after="0"/>
            </w:pPr>
            <w:r>
              <w:t> </w:t>
            </w:r>
          </w:p>
        </w:tc>
        <w:tc>
          <w:tcPr>
            <w:tcW w:w="704" w:type="dxa"/>
            <w:shd w:val="clear" w:color="auto" w:fill="auto"/>
          </w:tcPr>
          <w:p w14:paraId="3182B9AD" w14:textId="77777777" w:rsidR="00714BFD" w:rsidRDefault="009A59D2">
            <w:pPr>
              <w:pStyle w:val="TableContents"/>
              <w:spacing w:after="0"/>
              <w:rPr>
                <w:sz w:val="20"/>
              </w:rPr>
            </w:pPr>
            <w:r>
              <w:rPr>
                <w:sz w:val="20"/>
                <w:lang w:val="fr"/>
              </w:rPr>
              <w:t>Par:</w:t>
            </w:r>
          </w:p>
        </w:tc>
        <w:tc>
          <w:tcPr>
            <w:tcW w:w="5049" w:type="dxa"/>
            <w:tcBorders>
              <w:bottom w:val="single" w:sz="8" w:space="0" w:color="000000"/>
            </w:tcBorders>
            <w:shd w:val="clear" w:color="auto" w:fill="auto"/>
            <w:tcMar>
              <w:bottom w:w="28" w:type="dxa"/>
            </w:tcMar>
          </w:tcPr>
          <w:p w14:paraId="7F19EBB9" w14:textId="77777777" w:rsidR="00714BFD" w:rsidRDefault="009A59D2">
            <w:pPr>
              <w:pStyle w:val="TableContents"/>
              <w:spacing w:after="0"/>
              <w:rPr>
                <w:sz w:val="20"/>
              </w:rPr>
            </w:pPr>
            <w:r>
              <w:rPr>
                <w:sz w:val="20"/>
                <w:lang w:val="fr"/>
              </w:rPr>
              <w:t>/s/ Jonathan Emery</w:t>
            </w:r>
          </w:p>
        </w:tc>
      </w:tr>
      <w:tr w:rsidR="00714BFD" w14:paraId="2515DC13" w14:textId="77777777">
        <w:tc>
          <w:tcPr>
            <w:tcW w:w="5752" w:type="dxa"/>
            <w:shd w:val="clear" w:color="auto" w:fill="auto"/>
          </w:tcPr>
          <w:p w14:paraId="47C5FF6D" w14:textId="77777777" w:rsidR="00714BFD" w:rsidRDefault="009A59D2">
            <w:pPr>
              <w:pStyle w:val="TableContents"/>
              <w:spacing w:after="0"/>
            </w:pPr>
            <w:r>
              <w:t> </w:t>
            </w:r>
          </w:p>
        </w:tc>
        <w:tc>
          <w:tcPr>
            <w:tcW w:w="704" w:type="dxa"/>
            <w:shd w:val="clear" w:color="auto" w:fill="auto"/>
          </w:tcPr>
          <w:p w14:paraId="11E4CAB9" w14:textId="77777777" w:rsidR="00714BFD" w:rsidRDefault="009A59D2">
            <w:pPr>
              <w:pStyle w:val="TableContents"/>
              <w:spacing w:after="0"/>
              <w:rPr>
                <w:sz w:val="20"/>
              </w:rPr>
            </w:pPr>
            <w:r>
              <w:rPr>
                <w:sz w:val="20"/>
                <w:lang w:val="fr"/>
              </w:rPr>
              <w:t>Nom:</w:t>
            </w:r>
          </w:p>
        </w:tc>
        <w:tc>
          <w:tcPr>
            <w:tcW w:w="5049" w:type="dxa"/>
            <w:shd w:val="clear" w:color="auto" w:fill="auto"/>
          </w:tcPr>
          <w:p w14:paraId="1141D1AF" w14:textId="77777777" w:rsidR="00714BFD" w:rsidRDefault="009A59D2">
            <w:pPr>
              <w:pStyle w:val="TableContents"/>
              <w:spacing w:after="0"/>
              <w:rPr>
                <w:sz w:val="20"/>
              </w:rPr>
            </w:pPr>
            <w:r>
              <w:rPr>
                <w:sz w:val="20"/>
                <w:lang w:val="fr"/>
              </w:rPr>
              <w:t>Jonathan Emery</w:t>
            </w:r>
          </w:p>
        </w:tc>
      </w:tr>
      <w:tr w:rsidR="00714BFD" w14:paraId="64FD4546" w14:textId="77777777">
        <w:tc>
          <w:tcPr>
            <w:tcW w:w="5752" w:type="dxa"/>
            <w:shd w:val="clear" w:color="auto" w:fill="auto"/>
          </w:tcPr>
          <w:p w14:paraId="52A892E7" w14:textId="77777777" w:rsidR="00714BFD" w:rsidRDefault="009A59D2">
            <w:pPr>
              <w:pStyle w:val="TableContents"/>
              <w:spacing w:after="0"/>
            </w:pPr>
            <w:r>
              <w:t> </w:t>
            </w:r>
          </w:p>
        </w:tc>
        <w:tc>
          <w:tcPr>
            <w:tcW w:w="704" w:type="dxa"/>
            <w:shd w:val="clear" w:color="auto" w:fill="auto"/>
          </w:tcPr>
          <w:p w14:paraId="28188521" w14:textId="77777777" w:rsidR="00714BFD" w:rsidRDefault="009A59D2">
            <w:pPr>
              <w:pStyle w:val="TableContents"/>
              <w:spacing w:after="0"/>
              <w:rPr>
                <w:sz w:val="20"/>
              </w:rPr>
            </w:pPr>
            <w:r>
              <w:rPr>
                <w:sz w:val="20"/>
                <w:lang w:val="fr"/>
              </w:rPr>
              <w:t>Titre</w:t>
            </w:r>
          </w:p>
        </w:tc>
        <w:tc>
          <w:tcPr>
            <w:tcW w:w="5049" w:type="dxa"/>
            <w:shd w:val="clear" w:color="auto" w:fill="auto"/>
          </w:tcPr>
          <w:p w14:paraId="4FB81B54" w14:textId="77777777" w:rsidR="00714BFD" w:rsidRDefault="009A59D2">
            <w:pPr>
              <w:pStyle w:val="TableContents"/>
              <w:spacing w:after="0"/>
              <w:rPr>
                <w:sz w:val="20"/>
              </w:rPr>
            </w:pPr>
            <w:r>
              <w:rPr>
                <w:sz w:val="20"/>
                <w:lang w:val="fr"/>
              </w:rPr>
              <w:t>En tant qu’avocat</w:t>
            </w:r>
          </w:p>
        </w:tc>
      </w:tr>
      <w:tr w:rsidR="00714BFD" w14:paraId="24151B25" w14:textId="77777777">
        <w:tc>
          <w:tcPr>
            <w:tcW w:w="5752" w:type="dxa"/>
            <w:shd w:val="clear" w:color="auto" w:fill="auto"/>
          </w:tcPr>
          <w:p w14:paraId="63576D83" w14:textId="77777777" w:rsidR="00714BFD" w:rsidRDefault="009A59D2">
            <w:pPr>
              <w:pStyle w:val="TableContents"/>
              <w:spacing w:after="0"/>
            </w:pPr>
            <w:r>
              <w:t> </w:t>
            </w:r>
          </w:p>
        </w:tc>
        <w:tc>
          <w:tcPr>
            <w:tcW w:w="704" w:type="dxa"/>
            <w:shd w:val="clear" w:color="auto" w:fill="auto"/>
          </w:tcPr>
          <w:p w14:paraId="2C1127B0" w14:textId="77777777" w:rsidR="00714BFD" w:rsidRDefault="009A59D2">
            <w:pPr>
              <w:pStyle w:val="TableContents"/>
              <w:spacing w:after="0"/>
            </w:pPr>
            <w:r>
              <w:t> </w:t>
            </w:r>
          </w:p>
        </w:tc>
        <w:tc>
          <w:tcPr>
            <w:tcW w:w="5049" w:type="dxa"/>
            <w:shd w:val="clear" w:color="auto" w:fill="auto"/>
          </w:tcPr>
          <w:p w14:paraId="292C5066" w14:textId="77777777" w:rsidR="00714BFD" w:rsidRDefault="009A59D2">
            <w:pPr>
              <w:pStyle w:val="TableContents"/>
              <w:spacing w:after="0"/>
            </w:pPr>
            <w:r>
              <w:t> </w:t>
            </w:r>
          </w:p>
        </w:tc>
      </w:tr>
      <w:tr w:rsidR="00714BFD" w14:paraId="2F124EAF" w14:textId="77777777">
        <w:tc>
          <w:tcPr>
            <w:tcW w:w="5752" w:type="dxa"/>
            <w:shd w:val="clear" w:color="auto" w:fill="auto"/>
          </w:tcPr>
          <w:p w14:paraId="58BF15DC" w14:textId="77777777" w:rsidR="00714BFD" w:rsidRDefault="009A59D2">
            <w:pPr>
              <w:pStyle w:val="TableContents"/>
              <w:spacing w:after="0"/>
            </w:pPr>
            <w:r>
              <w:t> </w:t>
            </w:r>
          </w:p>
        </w:tc>
        <w:tc>
          <w:tcPr>
            <w:tcW w:w="704" w:type="dxa"/>
            <w:shd w:val="clear" w:color="auto" w:fill="auto"/>
          </w:tcPr>
          <w:p w14:paraId="35B67456" w14:textId="77777777" w:rsidR="00714BFD" w:rsidRDefault="009A59D2">
            <w:pPr>
              <w:pStyle w:val="TableContents"/>
              <w:spacing w:after="0"/>
            </w:pPr>
            <w:r>
              <w:t> </w:t>
            </w:r>
          </w:p>
        </w:tc>
        <w:tc>
          <w:tcPr>
            <w:tcW w:w="5049" w:type="dxa"/>
            <w:shd w:val="clear" w:color="auto" w:fill="auto"/>
          </w:tcPr>
          <w:p w14:paraId="3399D1CC" w14:textId="77777777" w:rsidR="00714BFD" w:rsidRDefault="009A59D2">
            <w:pPr>
              <w:pStyle w:val="TableContents"/>
              <w:spacing w:after="0"/>
            </w:pPr>
            <w:r>
              <w:t> </w:t>
            </w:r>
          </w:p>
        </w:tc>
      </w:tr>
      <w:tr w:rsidR="00714BFD" w14:paraId="0778E492" w14:textId="77777777">
        <w:tc>
          <w:tcPr>
            <w:tcW w:w="5752" w:type="dxa"/>
            <w:shd w:val="clear" w:color="auto" w:fill="auto"/>
          </w:tcPr>
          <w:p w14:paraId="6C6165AA" w14:textId="77777777" w:rsidR="00714BFD" w:rsidRDefault="009A59D2">
            <w:pPr>
              <w:pStyle w:val="TableContents"/>
              <w:spacing w:after="0"/>
            </w:pPr>
            <w:r>
              <w:t> </w:t>
            </w:r>
          </w:p>
        </w:tc>
        <w:tc>
          <w:tcPr>
            <w:tcW w:w="5753" w:type="dxa"/>
            <w:gridSpan w:val="2"/>
            <w:shd w:val="clear" w:color="auto" w:fill="auto"/>
          </w:tcPr>
          <w:p w14:paraId="6F861FA5" w14:textId="77777777" w:rsidR="00714BFD" w:rsidRDefault="009A59D2">
            <w:pPr>
              <w:pStyle w:val="TableContents"/>
              <w:spacing w:after="0"/>
              <w:rPr>
                <w:b/>
                <w:sz w:val="20"/>
              </w:rPr>
            </w:pPr>
            <w:r>
              <w:rPr>
                <w:b/>
                <w:sz w:val="20"/>
                <w:lang w:val="fr"/>
              </w:rPr>
              <w:t>G-C DIAGNOSTICS CORP.</w:t>
            </w:r>
          </w:p>
        </w:tc>
      </w:tr>
      <w:tr w:rsidR="00714BFD" w14:paraId="1C4D3C14" w14:textId="77777777">
        <w:tc>
          <w:tcPr>
            <w:tcW w:w="5752" w:type="dxa"/>
            <w:shd w:val="clear" w:color="auto" w:fill="auto"/>
          </w:tcPr>
          <w:p w14:paraId="43E5709B" w14:textId="77777777" w:rsidR="00714BFD" w:rsidRDefault="009A59D2">
            <w:pPr>
              <w:pStyle w:val="TableContents"/>
              <w:spacing w:after="0"/>
            </w:pPr>
            <w:r>
              <w:t> </w:t>
            </w:r>
          </w:p>
        </w:tc>
        <w:tc>
          <w:tcPr>
            <w:tcW w:w="704" w:type="dxa"/>
            <w:shd w:val="clear" w:color="auto" w:fill="auto"/>
          </w:tcPr>
          <w:p w14:paraId="541DD3A8" w14:textId="77777777" w:rsidR="00714BFD" w:rsidRDefault="009A59D2">
            <w:pPr>
              <w:pStyle w:val="TableContents"/>
              <w:spacing w:after="0"/>
            </w:pPr>
            <w:r>
              <w:t> </w:t>
            </w:r>
          </w:p>
        </w:tc>
        <w:tc>
          <w:tcPr>
            <w:tcW w:w="5049" w:type="dxa"/>
            <w:shd w:val="clear" w:color="auto" w:fill="auto"/>
          </w:tcPr>
          <w:p w14:paraId="174DBCB5" w14:textId="77777777" w:rsidR="00714BFD" w:rsidRDefault="009A59D2">
            <w:pPr>
              <w:pStyle w:val="TableContents"/>
              <w:spacing w:after="0"/>
            </w:pPr>
            <w:r>
              <w:t> </w:t>
            </w:r>
          </w:p>
        </w:tc>
      </w:tr>
      <w:tr w:rsidR="00714BFD" w14:paraId="479F6FEE" w14:textId="77777777">
        <w:tc>
          <w:tcPr>
            <w:tcW w:w="5752" w:type="dxa"/>
            <w:shd w:val="clear" w:color="auto" w:fill="auto"/>
          </w:tcPr>
          <w:p w14:paraId="5A069A50" w14:textId="77777777" w:rsidR="00714BFD" w:rsidRDefault="009A59D2">
            <w:pPr>
              <w:pStyle w:val="TableContents"/>
              <w:spacing w:after="0"/>
            </w:pPr>
            <w:r>
              <w:t> </w:t>
            </w:r>
          </w:p>
        </w:tc>
        <w:tc>
          <w:tcPr>
            <w:tcW w:w="704" w:type="dxa"/>
            <w:shd w:val="clear" w:color="auto" w:fill="auto"/>
          </w:tcPr>
          <w:p w14:paraId="4A5AE11A" w14:textId="77777777" w:rsidR="00714BFD" w:rsidRDefault="009A59D2">
            <w:pPr>
              <w:pStyle w:val="TableContents"/>
              <w:spacing w:after="0"/>
            </w:pPr>
            <w:r>
              <w:t> </w:t>
            </w:r>
          </w:p>
        </w:tc>
        <w:tc>
          <w:tcPr>
            <w:tcW w:w="5049" w:type="dxa"/>
            <w:shd w:val="clear" w:color="auto" w:fill="auto"/>
          </w:tcPr>
          <w:p w14:paraId="1B7A8DD2" w14:textId="77777777" w:rsidR="00714BFD" w:rsidRDefault="009A59D2">
            <w:pPr>
              <w:pStyle w:val="TableContents"/>
              <w:spacing w:after="0"/>
            </w:pPr>
            <w:r>
              <w:t> </w:t>
            </w:r>
          </w:p>
        </w:tc>
      </w:tr>
      <w:tr w:rsidR="00714BFD" w14:paraId="711DC8C4" w14:textId="77777777">
        <w:tc>
          <w:tcPr>
            <w:tcW w:w="5752" w:type="dxa"/>
            <w:shd w:val="clear" w:color="auto" w:fill="auto"/>
          </w:tcPr>
          <w:p w14:paraId="4A95D19B" w14:textId="77777777" w:rsidR="00714BFD" w:rsidRDefault="009A59D2">
            <w:pPr>
              <w:pStyle w:val="TableContents"/>
              <w:spacing w:after="0"/>
            </w:pPr>
            <w:r>
              <w:t> </w:t>
            </w:r>
          </w:p>
        </w:tc>
        <w:tc>
          <w:tcPr>
            <w:tcW w:w="704" w:type="dxa"/>
            <w:shd w:val="clear" w:color="auto" w:fill="auto"/>
          </w:tcPr>
          <w:p w14:paraId="70970078" w14:textId="77777777" w:rsidR="00714BFD" w:rsidRDefault="009A59D2">
            <w:pPr>
              <w:pStyle w:val="TableContents"/>
              <w:spacing w:after="0"/>
              <w:rPr>
                <w:sz w:val="20"/>
              </w:rPr>
            </w:pPr>
            <w:r>
              <w:rPr>
                <w:sz w:val="20"/>
                <w:lang w:val="fr"/>
              </w:rPr>
              <w:t>Par:</w:t>
            </w:r>
          </w:p>
        </w:tc>
        <w:tc>
          <w:tcPr>
            <w:tcW w:w="5049" w:type="dxa"/>
            <w:tcBorders>
              <w:bottom w:val="single" w:sz="8" w:space="0" w:color="000000"/>
            </w:tcBorders>
            <w:shd w:val="clear" w:color="auto" w:fill="auto"/>
            <w:tcMar>
              <w:bottom w:w="28" w:type="dxa"/>
            </w:tcMar>
          </w:tcPr>
          <w:p w14:paraId="6BFA01A3" w14:textId="77777777" w:rsidR="00714BFD" w:rsidRDefault="009A59D2">
            <w:pPr>
              <w:pStyle w:val="TableContents"/>
              <w:spacing w:after="0"/>
              <w:rPr>
                <w:sz w:val="20"/>
              </w:rPr>
            </w:pPr>
            <w:r>
              <w:rPr>
                <w:sz w:val="20"/>
                <w:lang w:val="fr"/>
              </w:rPr>
              <w:t xml:space="preserve">/s/ Tomas </w:t>
            </w:r>
            <w:proofErr w:type="spellStart"/>
            <w:r>
              <w:rPr>
                <w:sz w:val="20"/>
                <w:lang w:val="fr"/>
              </w:rPr>
              <w:t>Daga</w:t>
            </w:r>
            <w:proofErr w:type="spellEnd"/>
          </w:p>
        </w:tc>
      </w:tr>
      <w:tr w:rsidR="00714BFD" w14:paraId="60B7D507" w14:textId="77777777">
        <w:tc>
          <w:tcPr>
            <w:tcW w:w="5752" w:type="dxa"/>
            <w:shd w:val="clear" w:color="auto" w:fill="auto"/>
          </w:tcPr>
          <w:p w14:paraId="1EABFF77" w14:textId="77777777" w:rsidR="00714BFD" w:rsidRDefault="009A59D2">
            <w:pPr>
              <w:pStyle w:val="TableContents"/>
              <w:spacing w:after="0"/>
            </w:pPr>
            <w:r>
              <w:t> </w:t>
            </w:r>
          </w:p>
        </w:tc>
        <w:tc>
          <w:tcPr>
            <w:tcW w:w="704" w:type="dxa"/>
            <w:shd w:val="clear" w:color="auto" w:fill="auto"/>
          </w:tcPr>
          <w:p w14:paraId="4774403D" w14:textId="77777777" w:rsidR="00714BFD" w:rsidRDefault="009A59D2">
            <w:pPr>
              <w:pStyle w:val="TableContents"/>
              <w:spacing w:after="0"/>
              <w:rPr>
                <w:sz w:val="20"/>
              </w:rPr>
            </w:pPr>
            <w:r>
              <w:rPr>
                <w:sz w:val="20"/>
                <w:lang w:val="fr"/>
              </w:rPr>
              <w:t>Nom:</w:t>
            </w:r>
          </w:p>
        </w:tc>
        <w:tc>
          <w:tcPr>
            <w:tcW w:w="5049" w:type="dxa"/>
            <w:shd w:val="clear" w:color="auto" w:fill="auto"/>
          </w:tcPr>
          <w:p w14:paraId="51D12CFD" w14:textId="77777777" w:rsidR="00714BFD" w:rsidRDefault="009A59D2">
            <w:pPr>
              <w:pStyle w:val="TableContents"/>
              <w:spacing w:after="0"/>
              <w:rPr>
                <w:sz w:val="20"/>
              </w:rPr>
            </w:pPr>
            <w:r>
              <w:rPr>
                <w:sz w:val="20"/>
                <w:lang w:val="fr"/>
              </w:rPr>
              <w:t xml:space="preserve">Tomas </w:t>
            </w:r>
            <w:proofErr w:type="spellStart"/>
            <w:r>
              <w:rPr>
                <w:sz w:val="20"/>
                <w:lang w:val="fr"/>
              </w:rPr>
              <w:t>Daga</w:t>
            </w:r>
            <w:proofErr w:type="spellEnd"/>
          </w:p>
        </w:tc>
      </w:tr>
      <w:tr w:rsidR="00714BFD" w14:paraId="36ED073E" w14:textId="77777777">
        <w:tc>
          <w:tcPr>
            <w:tcW w:w="5752" w:type="dxa"/>
            <w:shd w:val="clear" w:color="auto" w:fill="auto"/>
          </w:tcPr>
          <w:p w14:paraId="077455B2" w14:textId="77777777" w:rsidR="00714BFD" w:rsidRDefault="009A59D2">
            <w:pPr>
              <w:pStyle w:val="TableContents"/>
              <w:spacing w:after="0"/>
            </w:pPr>
            <w:r>
              <w:t> </w:t>
            </w:r>
          </w:p>
        </w:tc>
        <w:tc>
          <w:tcPr>
            <w:tcW w:w="704" w:type="dxa"/>
            <w:shd w:val="clear" w:color="auto" w:fill="auto"/>
          </w:tcPr>
          <w:p w14:paraId="15085393" w14:textId="77777777" w:rsidR="00714BFD" w:rsidRDefault="009A59D2">
            <w:pPr>
              <w:pStyle w:val="TableContents"/>
              <w:spacing w:after="0"/>
              <w:rPr>
                <w:sz w:val="20"/>
              </w:rPr>
            </w:pPr>
            <w:r>
              <w:rPr>
                <w:sz w:val="20"/>
                <w:lang w:val="fr"/>
              </w:rPr>
              <w:t>Titre</w:t>
            </w:r>
          </w:p>
        </w:tc>
        <w:tc>
          <w:tcPr>
            <w:tcW w:w="5049" w:type="dxa"/>
            <w:shd w:val="clear" w:color="auto" w:fill="auto"/>
          </w:tcPr>
          <w:p w14:paraId="7B7AF3EF" w14:textId="77777777" w:rsidR="00714BFD" w:rsidRDefault="009A59D2">
            <w:pPr>
              <w:pStyle w:val="TableContents"/>
              <w:spacing w:after="0"/>
              <w:rPr>
                <w:sz w:val="20"/>
              </w:rPr>
            </w:pPr>
            <w:r>
              <w:rPr>
                <w:sz w:val="20"/>
                <w:lang w:val="fr"/>
              </w:rPr>
              <w:t>Membre du conseil d’administration</w:t>
            </w:r>
          </w:p>
        </w:tc>
      </w:tr>
      <w:tr w:rsidR="00714BFD" w14:paraId="3F7F9AF6" w14:textId="77777777">
        <w:tc>
          <w:tcPr>
            <w:tcW w:w="5752" w:type="dxa"/>
            <w:shd w:val="clear" w:color="auto" w:fill="auto"/>
          </w:tcPr>
          <w:p w14:paraId="3E3BB342" w14:textId="77777777" w:rsidR="00714BFD" w:rsidRDefault="009A59D2">
            <w:pPr>
              <w:pStyle w:val="TableContents"/>
              <w:spacing w:after="0"/>
            </w:pPr>
            <w:r>
              <w:t> </w:t>
            </w:r>
          </w:p>
        </w:tc>
        <w:tc>
          <w:tcPr>
            <w:tcW w:w="704" w:type="dxa"/>
            <w:shd w:val="clear" w:color="auto" w:fill="auto"/>
          </w:tcPr>
          <w:p w14:paraId="1358CDBC" w14:textId="77777777" w:rsidR="00714BFD" w:rsidRDefault="009A59D2">
            <w:pPr>
              <w:pStyle w:val="TableContents"/>
              <w:spacing w:after="0"/>
            </w:pPr>
            <w:r>
              <w:t> </w:t>
            </w:r>
          </w:p>
        </w:tc>
        <w:tc>
          <w:tcPr>
            <w:tcW w:w="5049" w:type="dxa"/>
            <w:shd w:val="clear" w:color="auto" w:fill="auto"/>
          </w:tcPr>
          <w:p w14:paraId="50D96835" w14:textId="77777777" w:rsidR="00714BFD" w:rsidRDefault="009A59D2">
            <w:pPr>
              <w:pStyle w:val="TableContents"/>
              <w:spacing w:after="0"/>
            </w:pPr>
            <w:r>
              <w:t> </w:t>
            </w:r>
          </w:p>
        </w:tc>
      </w:tr>
      <w:tr w:rsidR="00714BFD" w14:paraId="32A2630A" w14:textId="77777777">
        <w:tc>
          <w:tcPr>
            <w:tcW w:w="5752" w:type="dxa"/>
            <w:shd w:val="clear" w:color="auto" w:fill="auto"/>
          </w:tcPr>
          <w:p w14:paraId="1D68A3D0" w14:textId="77777777" w:rsidR="00714BFD" w:rsidRDefault="009A59D2">
            <w:pPr>
              <w:pStyle w:val="TableContents"/>
              <w:spacing w:after="0"/>
            </w:pPr>
            <w:r>
              <w:t> </w:t>
            </w:r>
          </w:p>
        </w:tc>
        <w:tc>
          <w:tcPr>
            <w:tcW w:w="704" w:type="dxa"/>
            <w:shd w:val="clear" w:color="auto" w:fill="auto"/>
          </w:tcPr>
          <w:p w14:paraId="5261313D" w14:textId="77777777" w:rsidR="00714BFD" w:rsidRDefault="009A59D2">
            <w:pPr>
              <w:pStyle w:val="TableContents"/>
              <w:spacing w:after="0"/>
            </w:pPr>
            <w:r>
              <w:t> </w:t>
            </w:r>
          </w:p>
        </w:tc>
        <w:tc>
          <w:tcPr>
            <w:tcW w:w="5049" w:type="dxa"/>
            <w:shd w:val="clear" w:color="auto" w:fill="auto"/>
          </w:tcPr>
          <w:p w14:paraId="75AAC05B" w14:textId="77777777" w:rsidR="00714BFD" w:rsidRDefault="009A59D2">
            <w:pPr>
              <w:pStyle w:val="TableContents"/>
              <w:spacing w:after="0"/>
            </w:pPr>
            <w:r>
              <w:t> </w:t>
            </w:r>
          </w:p>
        </w:tc>
      </w:tr>
      <w:tr w:rsidR="00714BFD" w14:paraId="1B39934E" w14:textId="77777777">
        <w:tc>
          <w:tcPr>
            <w:tcW w:w="5752" w:type="dxa"/>
            <w:shd w:val="clear" w:color="auto" w:fill="auto"/>
          </w:tcPr>
          <w:p w14:paraId="1ABE3367" w14:textId="77777777" w:rsidR="00714BFD" w:rsidRDefault="009A59D2">
            <w:pPr>
              <w:pStyle w:val="TableContents"/>
              <w:spacing w:after="0"/>
            </w:pPr>
            <w:r>
              <w:t> </w:t>
            </w:r>
          </w:p>
        </w:tc>
        <w:tc>
          <w:tcPr>
            <w:tcW w:w="5753" w:type="dxa"/>
            <w:gridSpan w:val="2"/>
            <w:shd w:val="clear" w:color="auto" w:fill="auto"/>
          </w:tcPr>
          <w:p w14:paraId="0DC6B5D0" w14:textId="77777777" w:rsidR="00714BFD" w:rsidRDefault="009A59D2">
            <w:pPr>
              <w:pStyle w:val="TableContents"/>
              <w:spacing w:after="0"/>
              <w:rPr>
                <w:b/>
                <w:sz w:val="20"/>
              </w:rPr>
            </w:pPr>
            <w:r>
              <w:rPr>
                <w:b/>
                <w:sz w:val="20"/>
                <w:lang w:val="fr"/>
              </w:rPr>
              <w:t>NOVARTIS CORPORATION</w:t>
            </w:r>
          </w:p>
        </w:tc>
      </w:tr>
      <w:tr w:rsidR="00714BFD" w14:paraId="1934F823" w14:textId="77777777">
        <w:tc>
          <w:tcPr>
            <w:tcW w:w="5752" w:type="dxa"/>
            <w:shd w:val="clear" w:color="auto" w:fill="auto"/>
          </w:tcPr>
          <w:p w14:paraId="0AD4C74B" w14:textId="77777777" w:rsidR="00714BFD" w:rsidRDefault="009A59D2">
            <w:pPr>
              <w:pStyle w:val="TableContents"/>
              <w:spacing w:after="0"/>
            </w:pPr>
            <w:r>
              <w:t> </w:t>
            </w:r>
          </w:p>
        </w:tc>
        <w:tc>
          <w:tcPr>
            <w:tcW w:w="704" w:type="dxa"/>
            <w:shd w:val="clear" w:color="auto" w:fill="auto"/>
          </w:tcPr>
          <w:p w14:paraId="1FEE4551" w14:textId="77777777" w:rsidR="00714BFD" w:rsidRDefault="009A59D2">
            <w:pPr>
              <w:pStyle w:val="TableContents"/>
              <w:spacing w:after="0"/>
            </w:pPr>
            <w:r>
              <w:t> </w:t>
            </w:r>
          </w:p>
        </w:tc>
        <w:tc>
          <w:tcPr>
            <w:tcW w:w="5049" w:type="dxa"/>
            <w:shd w:val="clear" w:color="auto" w:fill="auto"/>
          </w:tcPr>
          <w:p w14:paraId="12E5E954" w14:textId="77777777" w:rsidR="00714BFD" w:rsidRDefault="009A59D2">
            <w:pPr>
              <w:pStyle w:val="TableContents"/>
              <w:spacing w:after="0"/>
            </w:pPr>
            <w:r>
              <w:t> </w:t>
            </w:r>
          </w:p>
        </w:tc>
      </w:tr>
      <w:tr w:rsidR="00714BFD" w14:paraId="581A4115" w14:textId="77777777">
        <w:tc>
          <w:tcPr>
            <w:tcW w:w="5752" w:type="dxa"/>
            <w:shd w:val="clear" w:color="auto" w:fill="auto"/>
          </w:tcPr>
          <w:p w14:paraId="2020082B" w14:textId="77777777" w:rsidR="00714BFD" w:rsidRDefault="009A59D2">
            <w:pPr>
              <w:pStyle w:val="TableContents"/>
              <w:spacing w:after="0"/>
            </w:pPr>
            <w:r>
              <w:t> </w:t>
            </w:r>
          </w:p>
        </w:tc>
        <w:tc>
          <w:tcPr>
            <w:tcW w:w="704" w:type="dxa"/>
            <w:shd w:val="clear" w:color="auto" w:fill="auto"/>
          </w:tcPr>
          <w:p w14:paraId="07E62EF8" w14:textId="77777777" w:rsidR="00714BFD" w:rsidRDefault="009A59D2">
            <w:pPr>
              <w:pStyle w:val="TableContents"/>
              <w:spacing w:after="0"/>
            </w:pPr>
            <w:r>
              <w:t> </w:t>
            </w:r>
          </w:p>
        </w:tc>
        <w:tc>
          <w:tcPr>
            <w:tcW w:w="5049" w:type="dxa"/>
            <w:shd w:val="clear" w:color="auto" w:fill="auto"/>
          </w:tcPr>
          <w:p w14:paraId="24A48F4D" w14:textId="77777777" w:rsidR="00714BFD" w:rsidRDefault="009A59D2">
            <w:pPr>
              <w:pStyle w:val="TableContents"/>
              <w:spacing w:after="0"/>
            </w:pPr>
            <w:r>
              <w:t> </w:t>
            </w:r>
          </w:p>
        </w:tc>
      </w:tr>
      <w:tr w:rsidR="00714BFD" w14:paraId="668EFC81" w14:textId="77777777">
        <w:tc>
          <w:tcPr>
            <w:tcW w:w="5752" w:type="dxa"/>
            <w:shd w:val="clear" w:color="auto" w:fill="auto"/>
          </w:tcPr>
          <w:p w14:paraId="023FA0BE" w14:textId="77777777" w:rsidR="00714BFD" w:rsidRDefault="009A59D2">
            <w:pPr>
              <w:pStyle w:val="TableContents"/>
              <w:spacing w:after="0"/>
            </w:pPr>
            <w:r>
              <w:t> </w:t>
            </w:r>
          </w:p>
        </w:tc>
        <w:tc>
          <w:tcPr>
            <w:tcW w:w="704" w:type="dxa"/>
            <w:shd w:val="clear" w:color="auto" w:fill="auto"/>
          </w:tcPr>
          <w:p w14:paraId="5E0651E4" w14:textId="77777777" w:rsidR="00714BFD" w:rsidRDefault="009A59D2">
            <w:pPr>
              <w:pStyle w:val="TableContents"/>
              <w:spacing w:after="0"/>
              <w:rPr>
                <w:sz w:val="20"/>
              </w:rPr>
            </w:pPr>
            <w:r>
              <w:rPr>
                <w:sz w:val="20"/>
                <w:lang w:val="fr"/>
              </w:rPr>
              <w:t>Par</w:t>
            </w:r>
          </w:p>
        </w:tc>
        <w:tc>
          <w:tcPr>
            <w:tcW w:w="5049" w:type="dxa"/>
            <w:tcBorders>
              <w:bottom w:val="single" w:sz="8" w:space="0" w:color="000000"/>
            </w:tcBorders>
            <w:shd w:val="clear" w:color="auto" w:fill="auto"/>
            <w:tcMar>
              <w:bottom w:w="28" w:type="dxa"/>
            </w:tcMar>
          </w:tcPr>
          <w:p w14:paraId="338092DD" w14:textId="77777777" w:rsidR="00714BFD" w:rsidRDefault="009A59D2">
            <w:pPr>
              <w:pStyle w:val="TableContents"/>
              <w:spacing w:after="0"/>
              <w:rPr>
                <w:sz w:val="20"/>
              </w:rPr>
            </w:pPr>
            <w:r>
              <w:rPr>
                <w:sz w:val="20"/>
                <w:lang w:val="fr"/>
              </w:rPr>
              <w:t>/s/ Jonathan Emery</w:t>
            </w:r>
          </w:p>
        </w:tc>
      </w:tr>
      <w:tr w:rsidR="00714BFD" w14:paraId="47D0D226" w14:textId="77777777">
        <w:tc>
          <w:tcPr>
            <w:tcW w:w="5752" w:type="dxa"/>
            <w:shd w:val="clear" w:color="auto" w:fill="auto"/>
          </w:tcPr>
          <w:p w14:paraId="1679C100" w14:textId="77777777" w:rsidR="00714BFD" w:rsidRDefault="009A59D2">
            <w:pPr>
              <w:pStyle w:val="TableContents"/>
              <w:spacing w:after="0"/>
            </w:pPr>
            <w:r>
              <w:t> </w:t>
            </w:r>
          </w:p>
        </w:tc>
        <w:tc>
          <w:tcPr>
            <w:tcW w:w="704" w:type="dxa"/>
            <w:shd w:val="clear" w:color="auto" w:fill="auto"/>
          </w:tcPr>
          <w:p w14:paraId="57EDD233" w14:textId="77777777" w:rsidR="00714BFD" w:rsidRDefault="009A59D2">
            <w:pPr>
              <w:pStyle w:val="TableContents"/>
              <w:spacing w:after="0"/>
              <w:rPr>
                <w:sz w:val="20"/>
              </w:rPr>
            </w:pPr>
            <w:r>
              <w:rPr>
                <w:sz w:val="20"/>
                <w:lang w:val="fr"/>
              </w:rPr>
              <w:t>Nom:</w:t>
            </w:r>
          </w:p>
        </w:tc>
        <w:tc>
          <w:tcPr>
            <w:tcW w:w="5049" w:type="dxa"/>
            <w:shd w:val="clear" w:color="auto" w:fill="auto"/>
          </w:tcPr>
          <w:p w14:paraId="59A5C704" w14:textId="77777777" w:rsidR="00714BFD" w:rsidRDefault="009A59D2">
            <w:pPr>
              <w:pStyle w:val="TableContents"/>
              <w:spacing w:after="0"/>
              <w:rPr>
                <w:sz w:val="20"/>
              </w:rPr>
            </w:pPr>
            <w:r>
              <w:rPr>
                <w:sz w:val="20"/>
                <w:lang w:val="fr"/>
              </w:rPr>
              <w:t>Jonathan Emery</w:t>
            </w:r>
          </w:p>
        </w:tc>
      </w:tr>
      <w:tr w:rsidR="00714BFD" w14:paraId="11AEC7CA" w14:textId="77777777">
        <w:tc>
          <w:tcPr>
            <w:tcW w:w="5752" w:type="dxa"/>
            <w:shd w:val="clear" w:color="auto" w:fill="auto"/>
          </w:tcPr>
          <w:p w14:paraId="311AD2A6" w14:textId="77777777" w:rsidR="00714BFD" w:rsidRDefault="009A59D2">
            <w:pPr>
              <w:pStyle w:val="TableContents"/>
              <w:spacing w:after="0"/>
            </w:pPr>
            <w:r>
              <w:t> </w:t>
            </w:r>
          </w:p>
        </w:tc>
        <w:tc>
          <w:tcPr>
            <w:tcW w:w="704" w:type="dxa"/>
            <w:shd w:val="clear" w:color="auto" w:fill="auto"/>
          </w:tcPr>
          <w:p w14:paraId="6D0FF1C9" w14:textId="77777777" w:rsidR="00714BFD" w:rsidRDefault="009A59D2">
            <w:pPr>
              <w:pStyle w:val="TableContents"/>
              <w:spacing w:after="0"/>
              <w:rPr>
                <w:sz w:val="20"/>
              </w:rPr>
            </w:pPr>
            <w:r>
              <w:rPr>
                <w:sz w:val="20"/>
                <w:lang w:val="fr"/>
              </w:rPr>
              <w:t>Titre:</w:t>
            </w:r>
          </w:p>
        </w:tc>
        <w:tc>
          <w:tcPr>
            <w:tcW w:w="5049" w:type="dxa"/>
            <w:shd w:val="clear" w:color="auto" w:fill="auto"/>
          </w:tcPr>
          <w:p w14:paraId="17BB90CD" w14:textId="77777777" w:rsidR="00714BFD" w:rsidRDefault="009A59D2">
            <w:pPr>
              <w:pStyle w:val="TableContents"/>
              <w:spacing w:after="0"/>
              <w:rPr>
                <w:sz w:val="20"/>
              </w:rPr>
            </w:pPr>
            <w:r>
              <w:rPr>
                <w:sz w:val="20"/>
                <w:lang w:val="fr"/>
              </w:rPr>
              <w:t>En tant qu’avocat</w:t>
            </w:r>
          </w:p>
        </w:tc>
      </w:tr>
      <w:tr w:rsidR="00714BFD" w14:paraId="34C25142" w14:textId="77777777">
        <w:tc>
          <w:tcPr>
            <w:tcW w:w="5752" w:type="dxa"/>
            <w:shd w:val="clear" w:color="auto" w:fill="auto"/>
          </w:tcPr>
          <w:p w14:paraId="79335683" w14:textId="77777777" w:rsidR="00714BFD" w:rsidRDefault="009A59D2">
            <w:pPr>
              <w:pStyle w:val="TableContents"/>
              <w:spacing w:after="0"/>
            </w:pPr>
            <w:r>
              <w:t> </w:t>
            </w:r>
          </w:p>
        </w:tc>
        <w:tc>
          <w:tcPr>
            <w:tcW w:w="704" w:type="dxa"/>
            <w:shd w:val="clear" w:color="auto" w:fill="auto"/>
          </w:tcPr>
          <w:p w14:paraId="418AE064" w14:textId="77777777" w:rsidR="00714BFD" w:rsidRDefault="009A59D2">
            <w:pPr>
              <w:pStyle w:val="TableContents"/>
              <w:spacing w:after="0"/>
            </w:pPr>
            <w:r>
              <w:t> </w:t>
            </w:r>
          </w:p>
        </w:tc>
        <w:tc>
          <w:tcPr>
            <w:tcW w:w="5049" w:type="dxa"/>
            <w:shd w:val="clear" w:color="auto" w:fill="auto"/>
          </w:tcPr>
          <w:p w14:paraId="07CF3F76" w14:textId="77777777" w:rsidR="00714BFD" w:rsidRDefault="009A59D2">
            <w:pPr>
              <w:pStyle w:val="TableContents"/>
              <w:spacing w:after="0"/>
            </w:pPr>
            <w:r>
              <w:t> </w:t>
            </w:r>
          </w:p>
        </w:tc>
      </w:tr>
      <w:tr w:rsidR="00714BFD" w14:paraId="11BB1737" w14:textId="77777777">
        <w:tc>
          <w:tcPr>
            <w:tcW w:w="5752" w:type="dxa"/>
            <w:shd w:val="clear" w:color="auto" w:fill="auto"/>
          </w:tcPr>
          <w:p w14:paraId="1DB41E15" w14:textId="77777777" w:rsidR="00714BFD" w:rsidRDefault="009A59D2">
            <w:pPr>
              <w:pStyle w:val="TableContents"/>
              <w:spacing w:after="0"/>
            </w:pPr>
            <w:r>
              <w:t> </w:t>
            </w:r>
          </w:p>
        </w:tc>
        <w:tc>
          <w:tcPr>
            <w:tcW w:w="704" w:type="dxa"/>
            <w:shd w:val="clear" w:color="auto" w:fill="auto"/>
          </w:tcPr>
          <w:p w14:paraId="21F2BB96" w14:textId="77777777" w:rsidR="00714BFD" w:rsidRDefault="009A59D2">
            <w:pPr>
              <w:pStyle w:val="TableContents"/>
              <w:spacing w:after="0"/>
            </w:pPr>
            <w:r>
              <w:t> </w:t>
            </w:r>
          </w:p>
        </w:tc>
        <w:tc>
          <w:tcPr>
            <w:tcW w:w="5049" w:type="dxa"/>
            <w:shd w:val="clear" w:color="auto" w:fill="auto"/>
          </w:tcPr>
          <w:p w14:paraId="7813268E" w14:textId="77777777" w:rsidR="00714BFD" w:rsidRDefault="009A59D2">
            <w:pPr>
              <w:pStyle w:val="TableContents"/>
              <w:spacing w:after="0"/>
            </w:pPr>
            <w:r>
              <w:t> </w:t>
            </w:r>
          </w:p>
        </w:tc>
      </w:tr>
      <w:tr w:rsidR="00714BFD" w14:paraId="608F402D" w14:textId="77777777">
        <w:tc>
          <w:tcPr>
            <w:tcW w:w="5752" w:type="dxa"/>
            <w:shd w:val="clear" w:color="auto" w:fill="auto"/>
          </w:tcPr>
          <w:p w14:paraId="517655BF" w14:textId="77777777" w:rsidR="00714BFD" w:rsidRDefault="009A59D2">
            <w:pPr>
              <w:pStyle w:val="TableContents"/>
              <w:spacing w:after="0"/>
            </w:pPr>
            <w:r>
              <w:t> </w:t>
            </w:r>
          </w:p>
        </w:tc>
        <w:tc>
          <w:tcPr>
            <w:tcW w:w="5753" w:type="dxa"/>
            <w:gridSpan w:val="2"/>
            <w:shd w:val="clear" w:color="auto" w:fill="auto"/>
          </w:tcPr>
          <w:p w14:paraId="43C46624" w14:textId="77777777" w:rsidR="00714BFD" w:rsidRDefault="009A59D2">
            <w:pPr>
              <w:pStyle w:val="TableContents"/>
              <w:spacing w:after="0"/>
              <w:rPr>
                <w:b/>
                <w:sz w:val="20"/>
              </w:rPr>
            </w:pPr>
            <w:r>
              <w:rPr>
                <w:b/>
                <w:sz w:val="20"/>
                <w:lang w:val="fr"/>
              </w:rPr>
              <w:t>GRIFOLS, S.A.</w:t>
            </w:r>
          </w:p>
        </w:tc>
      </w:tr>
      <w:tr w:rsidR="00714BFD" w14:paraId="661511CB" w14:textId="77777777">
        <w:tc>
          <w:tcPr>
            <w:tcW w:w="5752" w:type="dxa"/>
            <w:shd w:val="clear" w:color="auto" w:fill="auto"/>
          </w:tcPr>
          <w:p w14:paraId="729DFB07" w14:textId="77777777" w:rsidR="00714BFD" w:rsidRDefault="009A59D2">
            <w:pPr>
              <w:pStyle w:val="TableContents"/>
              <w:spacing w:after="0"/>
            </w:pPr>
            <w:r>
              <w:t> </w:t>
            </w:r>
          </w:p>
        </w:tc>
        <w:tc>
          <w:tcPr>
            <w:tcW w:w="5753" w:type="dxa"/>
            <w:gridSpan w:val="2"/>
            <w:shd w:val="clear" w:color="auto" w:fill="auto"/>
          </w:tcPr>
          <w:p w14:paraId="31B41EF9" w14:textId="77777777" w:rsidR="00714BFD" w:rsidRDefault="009A59D2">
            <w:pPr>
              <w:pStyle w:val="TableContents"/>
              <w:spacing w:after="0"/>
            </w:pPr>
            <w:r>
              <w:t> </w:t>
            </w:r>
          </w:p>
        </w:tc>
      </w:tr>
      <w:tr w:rsidR="00714BFD" w14:paraId="45260420" w14:textId="77777777">
        <w:tc>
          <w:tcPr>
            <w:tcW w:w="5752" w:type="dxa"/>
            <w:shd w:val="clear" w:color="auto" w:fill="auto"/>
          </w:tcPr>
          <w:p w14:paraId="515882B2" w14:textId="77777777" w:rsidR="00714BFD" w:rsidRDefault="009A59D2">
            <w:pPr>
              <w:pStyle w:val="TableContents"/>
              <w:spacing w:after="0"/>
            </w:pPr>
            <w:r>
              <w:t> </w:t>
            </w:r>
          </w:p>
        </w:tc>
        <w:tc>
          <w:tcPr>
            <w:tcW w:w="704" w:type="dxa"/>
            <w:shd w:val="clear" w:color="auto" w:fill="auto"/>
          </w:tcPr>
          <w:p w14:paraId="4B9ABA5C" w14:textId="77777777" w:rsidR="00714BFD" w:rsidRDefault="009A59D2">
            <w:pPr>
              <w:pStyle w:val="TableContents"/>
              <w:spacing w:after="0"/>
            </w:pPr>
            <w:r>
              <w:t> </w:t>
            </w:r>
          </w:p>
        </w:tc>
        <w:tc>
          <w:tcPr>
            <w:tcW w:w="5049" w:type="dxa"/>
            <w:shd w:val="clear" w:color="auto" w:fill="auto"/>
          </w:tcPr>
          <w:p w14:paraId="09EC3125" w14:textId="77777777" w:rsidR="00714BFD" w:rsidRDefault="009A59D2">
            <w:pPr>
              <w:pStyle w:val="TableContents"/>
              <w:spacing w:after="0"/>
            </w:pPr>
            <w:r>
              <w:t> </w:t>
            </w:r>
          </w:p>
        </w:tc>
      </w:tr>
      <w:tr w:rsidR="00714BFD" w14:paraId="2CB8182E" w14:textId="77777777">
        <w:tc>
          <w:tcPr>
            <w:tcW w:w="5752" w:type="dxa"/>
            <w:shd w:val="clear" w:color="auto" w:fill="auto"/>
          </w:tcPr>
          <w:p w14:paraId="5E79157E" w14:textId="77777777" w:rsidR="00714BFD" w:rsidRDefault="009A59D2">
            <w:pPr>
              <w:pStyle w:val="TableContents"/>
              <w:spacing w:after="0"/>
            </w:pPr>
            <w:r>
              <w:t> </w:t>
            </w:r>
          </w:p>
        </w:tc>
        <w:tc>
          <w:tcPr>
            <w:tcW w:w="704" w:type="dxa"/>
            <w:shd w:val="clear" w:color="auto" w:fill="auto"/>
          </w:tcPr>
          <w:p w14:paraId="663A62C1" w14:textId="77777777" w:rsidR="00714BFD" w:rsidRDefault="009A59D2">
            <w:pPr>
              <w:pStyle w:val="TableContents"/>
              <w:spacing w:after="0"/>
              <w:rPr>
                <w:sz w:val="20"/>
              </w:rPr>
            </w:pPr>
            <w:r>
              <w:rPr>
                <w:sz w:val="20"/>
                <w:lang w:val="fr"/>
              </w:rPr>
              <w:t>Par</w:t>
            </w:r>
          </w:p>
        </w:tc>
        <w:tc>
          <w:tcPr>
            <w:tcW w:w="5049" w:type="dxa"/>
            <w:tcBorders>
              <w:bottom w:val="single" w:sz="8" w:space="0" w:color="000000"/>
            </w:tcBorders>
            <w:shd w:val="clear" w:color="auto" w:fill="auto"/>
            <w:tcMar>
              <w:bottom w:w="28" w:type="dxa"/>
            </w:tcMar>
          </w:tcPr>
          <w:p w14:paraId="68EB7A1A" w14:textId="77777777" w:rsidR="00714BFD" w:rsidRDefault="009A59D2">
            <w:pPr>
              <w:pStyle w:val="TableContents"/>
              <w:spacing w:after="0"/>
              <w:rPr>
                <w:sz w:val="20"/>
              </w:rPr>
            </w:pPr>
            <w:r>
              <w:rPr>
                <w:sz w:val="20"/>
                <w:lang w:val="fr"/>
              </w:rPr>
              <w:t xml:space="preserve">/s/ Tomas </w:t>
            </w:r>
            <w:proofErr w:type="spellStart"/>
            <w:r>
              <w:rPr>
                <w:sz w:val="20"/>
                <w:lang w:val="fr"/>
              </w:rPr>
              <w:t>Daga</w:t>
            </w:r>
            <w:proofErr w:type="spellEnd"/>
          </w:p>
        </w:tc>
      </w:tr>
      <w:tr w:rsidR="00714BFD" w14:paraId="38FC303E" w14:textId="77777777">
        <w:tc>
          <w:tcPr>
            <w:tcW w:w="5752" w:type="dxa"/>
            <w:shd w:val="clear" w:color="auto" w:fill="auto"/>
          </w:tcPr>
          <w:p w14:paraId="2D84634B" w14:textId="77777777" w:rsidR="00714BFD" w:rsidRDefault="009A59D2">
            <w:pPr>
              <w:pStyle w:val="TableContents"/>
              <w:spacing w:after="0"/>
            </w:pPr>
            <w:r>
              <w:t> </w:t>
            </w:r>
          </w:p>
        </w:tc>
        <w:tc>
          <w:tcPr>
            <w:tcW w:w="704" w:type="dxa"/>
            <w:shd w:val="clear" w:color="auto" w:fill="auto"/>
          </w:tcPr>
          <w:p w14:paraId="4AE21222" w14:textId="77777777" w:rsidR="00714BFD" w:rsidRDefault="009A59D2">
            <w:pPr>
              <w:pStyle w:val="TableContents"/>
              <w:spacing w:after="0"/>
              <w:rPr>
                <w:sz w:val="20"/>
              </w:rPr>
            </w:pPr>
            <w:r>
              <w:rPr>
                <w:sz w:val="20"/>
                <w:lang w:val="fr"/>
              </w:rPr>
              <w:t>Nom:</w:t>
            </w:r>
          </w:p>
        </w:tc>
        <w:tc>
          <w:tcPr>
            <w:tcW w:w="5049" w:type="dxa"/>
            <w:shd w:val="clear" w:color="auto" w:fill="auto"/>
          </w:tcPr>
          <w:p w14:paraId="5DDE6CAE" w14:textId="77777777" w:rsidR="00714BFD" w:rsidRDefault="009A59D2">
            <w:pPr>
              <w:pStyle w:val="TableContents"/>
              <w:spacing w:after="0"/>
              <w:rPr>
                <w:sz w:val="20"/>
              </w:rPr>
            </w:pPr>
            <w:r>
              <w:rPr>
                <w:sz w:val="20"/>
                <w:lang w:val="fr"/>
              </w:rPr>
              <w:t xml:space="preserve">Tomas </w:t>
            </w:r>
            <w:proofErr w:type="spellStart"/>
            <w:r>
              <w:rPr>
                <w:sz w:val="20"/>
                <w:lang w:val="fr"/>
              </w:rPr>
              <w:t>Daga</w:t>
            </w:r>
            <w:proofErr w:type="spellEnd"/>
          </w:p>
        </w:tc>
      </w:tr>
      <w:tr w:rsidR="00714BFD" w14:paraId="7726D0BB" w14:textId="77777777">
        <w:tc>
          <w:tcPr>
            <w:tcW w:w="5752" w:type="dxa"/>
            <w:shd w:val="clear" w:color="auto" w:fill="auto"/>
          </w:tcPr>
          <w:p w14:paraId="3DD39CFB" w14:textId="77777777" w:rsidR="00714BFD" w:rsidRDefault="009A59D2">
            <w:pPr>
              <w:pStyle w:val="TableContents"/>
              <w:spacing w:after="0"/>
            </w:pPr>
            <w:r>
              <w:t> </w:t>
            </w:r>
          </w:p>
        </w:tc>
        <w:tc>
          <w:tcPr>
            <w:tcW w:w="704" w:type="dxa"/>
            <w:shd w:val="clear" w:color="auto" w:fill="auto"/>
          </w:tcPr>
          <w:p w14:paraId="7A3A1695" w14:textId="77777777" w:rsidR="00714BFD" w:rsidRDefault="009A59D2">
            <w:pPr>
              <w:pStyle w:val="TableContents"/>
              <w:spacing w:after="0"/>
              <w:rPr>
                <w:sz w:val="20"/>
              </w:rPr>
            </w:pPr>
            <w:r>
              <w:rPr>
                <w:sz w:val="20"/>
                <w:lang w:val="fr"/>
              </w:rPr>
              <w:t>Titre:</w:t>
            </w:r>
          </w:p>
        </w:tc>
        <w:tc>
          <w:tcPr>
            <w:tcW w:w="5049" w:type="dxa"/>
            <w:shd w:val="clear" w:color="auto" w:fill="auto"/>
          </w:tcPr>
          <w:p w14:paraId="21814452" w14:textId="77777777" w:rsidR="00714BFD" w:rsidRDefault="009A59D2">
            <w:pPr>
              <w:pStyle w:val="TableContents"/>
              <w:spacing w:after="0"/>
              <w:rPr>
                <w:sz w:val="20"/>
              </w:rPr>
            </w:pPr>
            <w:r>
              <w:rPr>
                <w:sz w:val="20"/>
                <w:lang w:val="fr"/>
              </w:rPr>
              <w:t>Membre du conseil d’administration</w:t>
            </w:r>
          </w:p>
        </w:tc>
      </w:tr>
    </w:tbl>
    <w:p w14:paraId="2722990F" w14:textId="77777777" w:rsidR="00714BFD" w:rsidRDefault="009A59D2">
      <w:pPr>
        <w:pStyle w:val="TextBody"/>
        <w:spacing w:after="0"/>
      </w:pPr>
      <w:r>
        <w:t> </w:t>
      </w:r>
    </w:p>
    <w:p w14:paraId="7556A97D" w14:textId="2174833C" w:rsidR="00714BFD" w:rsidRDefault="00714BFD">
      <w:pPr>
        <w:pStyle w:val="HorizontalLine"/>
        <w:pBdr>
          <w:bottom w:val="single" w:sz="18" w:space="0" w:color="010101"/>
        </w:pBdr>
        <w:spacing w:after="0"/>
      </w:pPr>
    </w:p>
    <w:sectPr w:rsidR="00714BFD">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DejaVu Sans">
    <w:altName w:val="Verdana"/>
    <w:panose1 w:val="00000000000000000000"/>
    <w:charset w:val="00"/>
    <w:family w:val="roman"/>
    <w:notTrueType/>
    <w:pitch w:val="default"/>
  </w:font>
  <w:font w:name="Thorndale">
    <w:altName w:val="Times New Roman"/>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Albany">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13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BFD"/>
    <w:rsid w:val="00714BFD"/>
    <w:rsid w:val="00752D0B"/>
    <w:rsid w:val="009A59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B8E1F"/>
  <w15:docId w15:val="{5D8433B8-EC91-436D-B314-0B219CB3D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ejaVu Sans" w:hAnsi="Liberation Serif" w:cs="DejaVu 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style>
  <w:style w:type="paragraph" w:styleId="Heading1">
    <w:name w:val="heading 1"/>
    <w:basedOn w:val="Heading"/>
    <w:next w:val="TextBody"/>
    <w:uiPriority w:val="9"/>
    <w:qFormat/>
    <w:pPr>
      <w:outlineLvl w:val="0"/>
    </w:pPr>
    <w:rPr>
      <w:rFonts w:ascii="Thorndale" w:hAnsi="Thorndale"/>
      <w:b/>
      <w:bCs/>
      <w:sz w:val="48"/>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qFormat/>
  </w:style>
  <w:style w:type="character" w:customStyle="1" w:styleId="FootnoteCharacters">
    <w:name w:val="Footnote Characters"/>
    <w:qFormat/>
  </w:style>
  <w:style w:type="character" w:customStyle="1" w:styleId="InternetLink">
    <w:name w:val="Internet Link"/>
    <w:rPr>
      <w:color w:val="000080"/>
      <w:u w:val="single"/>
    </w:rPr>
  </w:style>
  <w:style w:type="paragraph" w:customStyle="1" w:styleId="HorizontalLine">
    <w:name w:val="Horizontal Line"/>
    <w:basedOn w:val="Normal"/>
    <w:next w:val="TextBody"/>
    <w:qFormat/>
    <w:pPr>
      <w:pBdr>
        <w:bottom w:val="double" w:sz="2" w:space="0" w:color="808080"/>
      </w:pBdr>
      <w:spacing w:after="283"/>
    </w:pPr>
    <w:rPr>
      <w:sz w:val="12"/>
    </w:rPr>
  </w:style>
  <w:style w:type="paragraph" w:customStyle="1" w:styleId="Sender">
    <w:name w:val="Sender"/>
    <w:basedOn w:val="Normal"/>
    <w:rPr>
      <w:i/>
    </w:rPr>
  </w:style>
  <w:style w:type="paragraph" w:customStyle="1" w:styleId="TableContents">
    <w:name w:val="Table Contents"/>
    <w:basedOn w:val="TextBody"/>
    <w:qFormat/>
  </w:style>
  <w:style w:type="paragraph" w:styleId="Footer">
    <w:name w:val="footer"/>
    <w:basedOn w:val="Normal"/>
    <w:pPr>
      <w:suppressLineNumbers/>
      <w:tabs>
        <w:tab w:val="center" w:pos="4818"/>
        <w:tab w:val="right" w:pos="9637"/>
      </w:tabs>
    </w:pPr>
  </w:style>
  <w:style w:type="paragraph" w:styleId="Header">
    <w:name w:val="header"/>
    <w:basedOn w:val="Normal"/>
    <w:pPr>
      <w:suppressLineNumbers/>
      <w:tabs>
        <w:tab w:val="center" w:pos="4818"/>
        <w:tab w:val="right" w:pos="9637"/>
      </w:tabs>
    </w:pPr>
  </w:style>
  <w:style w:type="paragraph" w:customStyle="1" w:styleId="Index">
    <w:name w:val="Index"/>
    <w:basedOn w:val="Normal"/>
    <w:qFormat/>
    <w:pPr>
      <w:suppressLineNumbers/>
    </w:pPr>
  </w:style>
  <w:style w:type="paragraph" w:styleId="Caption">
    <w:name w:val="caption"/>
    <w:basedOn w:val="Normal"/>
    <w:qFormat/>
    <w:pPr>
      <w:suppressLineNumbers/>
      <w:spacing w:before="120" w:after="120"/>
    </w:pPr>
    <w:rPr>
      <w:i/>
      <w:iCs/>
    </w:rPr>
  </w:style>
  <w:style w:type="paragraph" w:styleId="List">
    <w:name w:val="List"/>
    <w:basedOn w:val="TextBody"/>
  </w:style>
  <w:style w:type="paragraph" w:customStyle="1" w:styleId="TextBody">
    <w:name w:val="Text Body"/>
    <w:basedOn w:val="Normal"/>
    <w:pPr>
      <w:spacing w:after="283"/>
    </w:pPr>
  </w:style>
  <w:style w:type="paragraph" w:customStyle="1" w:styleId="Heading">
    <w:name w:val="Heading"/>
    <w:basedOn w:val="Normal"/>
    <w:next w:val="TextBody"/>
    <w:qFormat/>
    <w:pPr>
      <w:keepNext/>
      <w:spacing w:before="240" w:after="283"/>
    </w:pPr>
    <w:rPr>
      <w:rFonts w:ascii="Albany" w:hAnsi="Albany"/>
      <w:sz w:val="28"/>
      <w:szCs w:val="28"/>
    </w:rPr>
  </w:style>
  <w:style w:type="paragraph" w:customStyle="1" w:styleId="TableHeading">
    <w:name w:val="Table Heading"/>
    <w:basedOn w:val="TableContents"/>
    <w:qFormat/>
    <w:pPr>
      <w:suppressLineNumbers/>
      <w:jc w:val="center"/>
    </w:pPr>
    <w:rPr>
      <w:b/>
      <w:bCs/>
    </w:rPr>
  </w:style>
  <w:style w:type="character" w:styleId="PlaceholderText">
    <w:name w:val="Placeholder Text"/>
    <w:basedOn w:val="DefaultParagraphFont"/>
    <w:uiPriority w:val="99"/>
    <w:semiHidden/>
    <w:rsid w:val="00752D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12C80-D888-4C57-A6D3-8359DF797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1958</Words>
  <Characters>11165</Characters>
  <Application>Microsoft Office Word</Application>
  <DocSecurity>0</DocSecurity>
  <Lines>93</Lines>
  <Paragraphs>26</Paragraphs>
  <ScaleCrop>false</ScaleCrop>
  <Company/>
  <LinksUpToDate>false</LinksUpToDate>
  <CharactersWithSpaces>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Gupta</dc:creator>
  <dc:description/>
  <cp:lastModifiedBy>Riya Gupta</cp:lastModifiedBy>
  <cp:revision>1</cp:revision>
  <dcterms:created xsi:type="dcterms:W3CDTF">2023-02-03T11:26:00Z</dcterms:created>
  <dcterms:modified xsi:type="dcterms:W3CDTF">2023-02-03T11:28:00Z</dcterms:modified>
  <cp:category/>
  <dc:language>en-US</dc:language>
</cp:coreProperties>
</file>