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81DCBE" wp14:paraId="055F73F0" wp14:textId="57B4BF84">
      <w:pPr>
        <w:rPr>
          <w:rFonts w:ascii="Calibri" w:hAnsi="Calibri" w:eastAsia="Calibri" w:cs="Calibri" w:asciiTheme="minorAscii" w:hAnsiTheme="minorAscii" w:eastAsiaTheme="minorAscii" w:cstheme="minorAscii"/>
          <w:noProof w:val="0"/>
          <w:color w:val="auto"/>
          <w:sz w:val="24"/>
          <w:szCs w:val="24"/>
          <w:lang w:val="en-US"/>
        </w:rPr>
      </w:pPr>
      <w:r w:rsidRPr="3281DCBE" w:rsidR="160294C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IN"/>
        </w:rPr>
        <w:t>INTEGRATED SUMMARY OF EFFICACY (ISE)</w:t>
      </w:r>
    </w:p>
    <w:p xmlns:wp14="http://schemas.microsoft.com/office/word/2010/wordml" w:rsidP="3281DCBE" wp14:paraId="2C078E63" wp14:textId="69737323">
      <w:pPr>
        <w:rPr>
          <w:rFonts w:ascii="Calibri" w:hAnsi="Calibri" w:eastAsia="Calibri" w:cs="Calibri" w:asciiTheme="minorAscii" w:hAnsiTheme="minorAscii" w:eastAsiaTheme="minorAscii" w:cstheme="minorAscii"/>
          <w:color w:val="auto"/>
          <w:sz w:val="24"/>
          <w:szCs w:val="24"/>
        </w:rPr>
      </w:pPr>
    </w:p>
    <w:p w:rsidR="160294CE" w:rsidP="3281DCBE" w:rsidRDefault="160294CE" w14:paraId="6128469E" w14:textId="773C141C">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r w:rsidRPr="3281DCBE" w:rsidR="160294C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 xml:space="preserve">Study ID-  </w:t>
      </w:r>
      <w:r w:rsidRPr="3281DCBE" w:rsidR="160294C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NCT02369484</w:t>
      </w:r>
    </w:p>
    <w:p w:rsidR="3281DCBE" w:rsidP="3281DCBE" w:rsidRDefault="3281DCBE" w14:paraId="238A6A83" w14:textId="19E694B9">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p>
    <w:p w:rsidR="160294CE" w:rsidP="3281DCBE" w:rsidRDefault="160294CE" w14:paraId="0F9AF626" w14:textId="2E3807FA">
      <w:pPr>
        <w:pStyle w:val="Heading1"/>
        <w:keepNext w:val="1"/>
        <w:keepLines w:val="1"/>
        <w:spacing w:before="360" w:after="80"/>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3281DCBE" w:rsidR="160294CE">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IN"/>
        </w:rPr>
        <w:t>1. Study Overview</w:t>
      </w:r>
    </w:p>
    <w:p w:rsidR="160294CE" w:rsidP="3281DCBE" w:rsidRDefault="160294CE" w14:paraId="3BD7203A" w14:textId="6B672D96">
      <w:pPr>
        <w:spacing w:before="0" w:beforeAutospacing="off" w:after="30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3281DCBE" w:rsidR="160294C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The purpose of this study is to investigate the control of disease in pretreated patients with advanced non small cell lung cancer (NSCLC) harbouring HER2 exon 20 mutations as well as the safety and tolerability (how severe the side effects are) of the treatment with afatinib.</w:t>
      </w:r>
    </w:p>
    <w:p w:rsidR="160294CE" w:rsidP="3281DCBE" w:rsidRDefault="160294CE" w14:paraId="67460C2B" w14:textId="047FBC35">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r w:rsidRPr="3281DCBE" w:rsidR="160294CE">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Previous clinical studies of NSCLC have shown that patients with tumors harboring specific gene mutations (changes) in the epithelial growth factor receptor (EGFR) or anaplastic lymphoma kinase (ALK) showed better results after treatment with tyrosine kinase inhibitors (TKI), like afatinib (tradename Giotrif®) , compared with classical treatment with chemotherapy. The treatment with TKI has become a new standard-of-care for patient with advanced lung cancer and EGFR or ALK changes</w:t>
      </w:r>
    </w:p>
    <w:p w:rsidR="3281DCBE" w:rsidP="3281DCBE" w:rsidRDefault="3281DCBE" w14:paraId="04384508" w14:textId="4EBD149B">
      <w:pPr>
        <w:rPr>
          <w:rFonts w:ascii="Calibri" w:hAnsi="Calibri" w:eastAsia="Calibri" w:cs="Calibri" w:asciiTheme="minorAscii" w:hAnsiTheme="minorAscii" w:eastAsiaTheme="minorAscii" w:cstheme="minorAscii"/>
          <w:color w:val="auto"/>
          <w:sz w:val="24"/>
          <w:szCs w:val="24"/>
        </w:rPr>
      </w:pPr>
    </w:p>
    <w:p w:rsidR="3281DCBE" w:rsidP="3281DCBE" w:rsidRDefault="3281DCBE" w14:paraId="08A0913F" w14:textId="75E9BD65">
      <w:pPr>
        <w:rPr>
          <w:rFonts w:ascii="Calibri" w:hAnsi="Calibri" w:eastAsia="Calibri" w:cs="Calibri" w:asciiTheme="minorAscii" w:hAnsiTheme="minorAscii" w:eastAsiaTheme="minorAscii" w:cstheme="minorAscii"/>
          <w:color w:val="auto"/>
          <w:sz w:val="24"/>
          <w:szCs w:val="24"/>
        </w:rPr>
      </w:pPr>
    </w:p>
    <w:p w:rsidR="26EE5651" w:rsidP="3281DCBE" w:rsidRDefault="26EE5651" w14:paraId="3B494C4B" w14:textId="09483705">
      <w:pPr>
        <w:pStyle w:val="Heading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pPr>
      <w:r w:rsidRPr="3281DCBE" w:rsidR="26EE5651">
        <w:rPr>
          <w:rFonts w:ascii="Calibri" w:hAnsi="Calibri" w:eastAsia="Calibri" w:cs="Calibri" w:asciiTheme="minorAscii" w:hAnsiTheme="minorAscii" w:eastAsiaTheme="minorAscii" w:cstheme="minorAscii"/>
          <w:b w:val="1"/>
          <w:bCs w:val="1"/>
          <w:noProof w:val="0"/>
          <w:color w:val="auto"/>
          <w:sz w:val="24"/>
          <w:szCs w:val="24"/>
          <w:lang w:val="en-IN"/>
        </w:rPr>
        <w:t xml:space="preserve">2. </w:t>
      </w:r>
      <w:r w:rsidRPr="3281DCBE" w:rsidR="26EE5651">
        <w:rPr>
          <w:rFonts w:ascii="Calibri" w:hAnsi="Calibri" w:eastAsia="Calibri" w:cs="Calibri" w:asciiTheme="minorAscii" w:hAnsiTheme="minorAscii" w:eastAsiaTheme="minorAscii" w:cstheme="minorAscii"/>
          <w:b w:val="1"/>
          <w:bCs w:val="1"/>
          <w:noProof w:val="0"/>
          <w:color w:val="auto"/>
          <w:sz w:val="24"/>
          <w:szCs w:val="24"/>
          <w:lang w:val="en-IN"/>
        </w:rPr>
        <w:t>Introduction</w:t>
      </w:r>
    </w:p>
    <w:p w:rsidR="26EE5651" w:rsidP="3281DCBE" w:rsidRDefault="26EE5651" w14:paraId="376FCDF6" w14:textId="4BA3F87E">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 xml:space="preserve">This Integrated Summary of Efficacy (ISE) provides a comprehensive evaluation of the efficacy of the investigational product in Study </w:t>
      </w: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IN"/>
        </w:rPr>
        <w:t>NCT02369484</w:t>
      </w: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w:t>
      </w:r>
    </w:p>
    <w:p w:rsidR="26EE5651" w:rsidP="3281DCBE" w:rsidRDefault="26EE5651" w14:paraId="29F06F74" w14:textId="6730F1FF">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The analyses presented in this document are based on the statistical methodologies defined in the Statistical Analysis Plan (</w:t>
      </w: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IN"/>
        </w:rPr>
        <w:t>SAP</w:t>
      </w: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 while the detailed study design is described in the study protocol. The efficacy results summarized here correspond to those presented in the Clinical Study Report (</w:t>
      </w: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highlight w:val="yellow"/>
          <w:lang w:val="en-IN"/>
        </w:rPr>
        <w:t>CSR</w:t>
      </w: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w:t>
      </w:r>
    </w:p>
    <w:p w:rsidR="26EE5651" w:rsidP="3281DCBE" w:rsidRDefault="26EE5651" w14:paraId="09D7660B" w14:textId="2CF29435">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r w:rsidRPr="3281DCBE" w:rsidR="26EE565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The purpose of this ISE is to integrate efficacy findings and provide an overall assessment of treatment benefit across endpoints</w:t>
      </w:r>
      <w:r w:rsidRPr="3281DCBE" w:rsidR="54A69718">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t>.</w:t>
      </w:r>
    </w:p>
    <w:p w:rsidR="3281DCBE" w:rsidP="3281DCBE" w:rsidRDefault="3281DCBE" w14:paraId="352A9C95" w14:textId="62BA9ACC">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p>
    <w:p w:rsidR="3281DCBE" w:rsidP="3281DCBE" w:rsidRDefault="3281DCBE" w14:paraId="1676C2EE" w14:textId="725582A8">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p>
    <w:p w:rsidR="3281DCBE" w:rsidP="3281DCBE" w:rsidRDefault="3281DCBE" w14:paraId="12E4AD62" w14:textId="796021FF">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p>
    <w:p w:rsidR="3281DCBE" w:rsidP="3281DCBE" w:rsidRDefault="3281DCBE" w14:paraId="130389FC" w14:textId="640C3A6D">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p>
    <w:p w:rsidR="3281DCBE" w:rsidP="3281DCBE" w:rsidRDefault="3281DCBE" w14:paraId="2249D6D7" w14:textId="6AB2FFA9">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p>
    <w:p w:rsidR="54A69718" w:rsidP="3281DCBE" w:rsidRDefault="54A69718" w14:paraId="1DB8BA4D" w14:textId="5DBC16EA">
      <w:pPr>
        <w:pStyle w:val="Heading1"/>
        <w:rPr>
          <w:rFonts w:ascii="Calibri" w:hAnsi="Calibri" w:eastAsia="Calibri" w:cs="Calibri" w:asciiTheme="minorAscii" w:hAnsiTheme="minorAscii" w:eastAsiaTheme="minorAscii" w:cstheme="minorAscii"/>
          <w:b w:val="1"/>
          <w:bCs w:val="1"/>
          <w:noProof w:val="0"/>
          <w:color w:val="auto"/>
          <w:sz w:val="24"/>
          <w:szCs w:val="24"/>
          <w:lang w:val="en-IN"/>
        </w:rPr>
      </w:pPr>
      <w:r w:rsidRPr="3281DCBE" w:rsidR="54A69718">
        <w:rPr>
          <w:rFonts w:ascii="Calibri" w:hAnsi="Calibri" w:eastAsia="Calibri" w:cs="Calibri" w:asciiTheme="minorAscii" w:hAnsiTheme="minorAscii" w:eastAsiaTheme="minorAscii" w:cstheme="minorAscii"/>
          <w:b w:val="1"/>
          <w:bCs w:val="1"/>
          <w:noProof w:val="0"/>
          <w:color w:val="auto"/>
          <w:sz w:val="24"/>
          <w:szCs w:val="24"/>
          <w:lang w:val="en-IN"/>
        </w:rPr>
        <w:t>3 ISE for afatinib</w:t>
      </w:r>
    </w:p>
    <w:p w:rsidR="3281DCBE" w:rsidP="3281DCBE" w:rsidRDefault="3281DCBE" w14:paraId="366643D0" w14:textId="1C6E9BA4">
      <w:pPr>
        <w:pStyle w:val="Normal"/>
        <w:rPr>
          <w:rFonts w:ascii="Calibri" w:hAnsi="Calibri" w:eastAsia="Calibri" w:cs="Calibri" w:asciiTheme="minorAscii" w:hAnsiTheme="minorAscii" w:eastAsiaTheme="minorAscii" w:cstheme="minorAscii"/>
          <w:noProof w:val="0"/>
          <w:color w:val="auto"/>
          <w:sz w:val="24"/>
          <w:szCs w:val="24"/>
          <w:lang w:val="en-IN"/>
        </w:rPr>
      </w:pPr>
    </w:p>
    <w:p w:rsidR="54A69718" w:rsidP="3281DCBE" w:rsidRDefault="54A69718" w14:paraId="60E55C79" w14:textId="0DCD3FC2">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Dose reduction with afatinib has been </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demonstrated</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to have </w:t>
      </w:r>
      <w:r w:rsidRPr="3281DCBE" w:rsidR="54A69718">
        <w:rPr>
          <w:rFonts w:ascii="Calibri" w:hAnsi="Calibri" w:eastAsia="Calibri" w:cs="Calibri" w:asciiTheme="minorAscii" w:hAnsiTheme="minorAscii" w:eastAsiaTheme="minorAscii" w:cstheme="minorAscii"/>
          <w:b w:val="1"/>
          <w:bCs w:val="1"/>
          <w:i w:val="0"/>
          <w:iCs w:val="0"/>
          <w:noProof w:val="0"/>
          <w:color w:val="auto"/>
          <w:sz w:val="24"/>
          <w:szCs w:val="24"/>
          <w:lang w:val="en-IN"/>
        </w:rPr>
        <w:t>no clinically meaningful negative impact on efficacy outcomes</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while significantly improving tolerability. Clinical evidence from the LUX-Lung program shows that patients who required dose reductions from the starting dose of 40 mg to 30 mg or 20 mg due to treatment-related adverse events achieved </w:t>
      </w:r>
      <w:r w:rsidRPr="3281DCBE" w:rsidR="54A69718">
        <w:rPr>
          <w:rFonts w:ascii="Calibri" w:hAnsi="Calibri" w:eastAsia="Calibri" w:cs="Calibri" w:asciiTheme="minorAscii" w:hAnsiTheme="minorAscii" w:eastAsiaTheme="minorAscii" w:cstheme="minorAscii"/>
          <w:b w:val="1"/>
          <w:bCs w:val="1"/>
          <w:i w:val="0"/>
          <w:iCs w:val="0"/>
          <w:noProof w:val="0"/>
          <w:color w:val="auto"/>
          <w:sz w:val="24"/>
          <w:szCs w:val="24"/>
          <w:lang w:val="en-IN"/>
        </w:rPr>
        <w:t>comparable progression-free survival (PFS), overall response rate (ORR), and duration of response</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to those who maintained the initial dose. This observation is supported by pharmacokinetic analyses </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indicating</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that patients experiencing early toxicity often have </w:t>
      </w:r>
      <w:r w:rsidRPr="3281DCBE" w:rsidR="54A69718">
        <w:rPr>
          <w:rFonts w:ascii="Calibri" w:hAnsi="Calibri" w:eastAsia="Calibri" w:cs="Calibri" w:asciiTheme="minorAscii" w:hAnsiTheme="minorAscii" w:eastAsiaTheme="minorAscii" w:cstheme="minorAscii"/>
          <w:b w:val="1"/>
          <w:bCs w:val="1"/>
          <w:i w:val="0"/>
          <w:iCs w:val="0"/>
          <w:noProof w:val="0"/>
          <w:color w:val="auto"/>
          <w:sz w:val="24"/>
          <w:szCs w:val="24"/>
          <w:lang w:val="en-IN"/>
        </w:rPr>
        <w:t>higher systemic drug exposure</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and dose reduction effectively adjusts exposure to </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an optimal</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therapeutic range without compromising target inhibition. Importantly, dose modification enables </w:t>
      </w:r>
      <w:r w:rsidRPr="3281DCBE" w:rsidR="54A69718">
        <w:rPr>
          <w:rFonts w:ascii="Calibri" w:hAnsi="Calibri" w:eastAsia="Calibri" w:cs="Calibri" w:asciiTheme="minorAscii" w:hAnsiTheme="minorAscii" w:eastAsiaTheme="minorAscii" w:cstheme="minorAscii"/>
          <w:b w:val="1"/>
          <w:bCs w:val="1"/>
          <w:i w:val="0"/>
          <w:iCs w:val="0"/>
          <w:noProof w:val="0"/>
          <w:color w:val="auto"/>
          <w:sz w:val="24"/>
          <w:szCs w:val="24"/>
          <w:lang w:val="en-IN"/>
        </w:rPr>
        <w:t>continued long-term treatment</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reducing the likelihood of treatment discontinuation due to intolerance. As sustained drug exposure over time is a key determinant of efficacy in EGFR-mutant NSCLC, patients undergoing dose reduction </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frequently</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maintain</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overall clinical benefit </w:t>
      </w:r>
      <w:r w:rsidRPr="3281DCBE" w:rsidR="06203FEC">
        <w:rPr>
          <w:rFonts w:ascii="Calibri" w:hAnsi="Calibri" w:eastAsia="Calibri" w:cs="Calibri" w:asciiTheme="minorAscii" w:hAnsiTheme="minorAscii" w:eastAsiaTheme="minorAscii" w:cstheme="minorAscii"/>
          <w:b w:val="0"/>
          <w:bCs w:val="0"/>
          <w:i w:val="0"/>
          <w:iCs w:val="0"/>
          <w:noProof w:val="0"/>
          <w:color w:val="auto"/>
          <w:sz w:val="24"/>
          <w:szCs w:val="24"/>
          <w:lang w:val="en-IN"/>
        </w:rPr>
        <w:t>s</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ee </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IN"/>
        </w:rPr>
        <w:t>SAP</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and </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IN"/>
        </w:rPr>
        <w:t>ISS</w:t>
      </w:r>
      <w:r w:rsidRPr="3281DCBE" w:rsidR="54A69718">
        <w:rPr>
          <w:rFonts w:ascii="Calibri" w:hAnsi="Calibri" w:eastAsia="Calibri" w:cs="Calibri" w:asciiTheme="minorAscii" w:hAnsiTheme="minorAscii" w:eastAsiaTheme="minorAscii" w:cstheme="minorAscii"/>
          <w:b w:val="0"/>
          <w:bCs w:val="0"/>
          <w:i w:val="0"/>
          <w:iCs w:val="0"/>
          <w:noProof w:val="0"/>
          <w:color w:val="auto"/>
          <w:sz w:val="24"/>
          <w:szCs w:val="24"/>
          <w:lang w:val="en-IN"/>
        </w:rPr>
        <w:t>.</w:t>
      </w:r>
    </w:p>
    <w:p w:rsidR="3281DCBE" w:rsidP="3281DCBE" w:rsidRDefault="3281DCBE" w14:paraId="79C7FB4C" w14:textId="1C2B7D32">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p>
    <w:p w:rsidR="3F5A3CD0" w:rsidP="3281DCBE" w:rsidRDefault="3F5A3CD0" w14:paraId="11883F1E" w14:textId="5C6FCC71">
      <w:pPr>
        <w:pStyle w:val="Heading2"/>
        <w:rPr>
          <w:rFonts w:ascii="Calibri" w:hAnsi="Calibri" w:eastAsia="Calibri" w:cs="Calibri" w:asciiTheme="minorAscii" w:hAnsiTheme="minorAscii" w:eastAsiaTheme="minorAscii" w:cstheme="minorAscii"/>
          <w:b w:val="1"/>
          <w:bCs w:val="1"/>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noProof w:val="0"/>
          <w:color w:val="auto"/>
          <w:sz w:val="24"/>
          <w:szCs w:val="24"/>
          <w:lang w:val="en-IN"/>
        </w:rPr>
        <w:t>3.1. Definition of PK Exposure</w:t>
      </w:r>
    </w:p>
    <w:p w:rsidR="3F5A3CD0" w:rsidP="3281DCBE" w:rsidRDefault="3F5A3CD0" w14:paraId="41F8A515" w14:textId="0D65CDDB">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Pharmacokinetic (PK) exposure refers to the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extent and duration of drug presence in systemic circulation</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typically quantified using parameters </w:t>
      </w:r>
      <w:r w:rsidRPr="3281DCBE" w:rsidR="50265587">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see </w:t>
      </w:r>
      <w:r w:rsidRPr="3281DCBE" w:rsidR="50265587">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IN"/>
        </w:rPr>
        <w:t>section 6</w:t>
      </w:r>
      <w:r w:rsidRPr="3281DCBE" w:rsidR="50265587">
        <w:rPr>
          <w:rFonts w:ascii="Calibri" w:hAnsi="Calibri" w:eastAsia="Calibri" w:cs="Calibri" w:asciiTheme="minorAscii" w:hAnsiTheme="minorAscii" w:eastAsiaTheme="minorAscii" w:cstheme="minorAscii"/>
          <w:b w:val="0"/>
          <w:bCs w:val="0"/>
          <w:i w:val="0"/>
          <w:iCs w:val="0"/>
          <w:noProof w:val="0"/>
          <w:color w:val="auto"/>
          <w:sz w:val="24"/>
          <w:szCs w:val="24"/>
          <w:lang w:val="en-IN"/>
        </w:rPr>
        <w:t>.</w:t>
      </w:r>
    </w:p>
    <w:p w:rsidR="3F5A3CD0" w:rsidP="3281DCBE" w:rsidRDefault="3F5A3CD0" w14:paraId="58FB4CE7" w14:textId="19FDC087">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Cmax</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Maximum plasma concentration</w:t>
      </w:r>
    </w:p>
    <w:p w:rsidR="3F5A3CD0" w:rsidP="3281DCBE" w:rsidRDefault="3F5A3CD0" w14:paraId="60C5940F" w14:textId="2215DF0E">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Tmax</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Time to reach Cmax</w:t>
      </w:r>
    </w:p>
    <w:p w:rsidR="3F5A3CD0" w:rsidP="3281DCBE" w:rsidRDefault="3F5A3CD0" w14:paraId="72DCFBAB" w14:textId="3F4D9286">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AUC (Area Under the Curve)</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Total drug exposure over time</w:t>
      </w:r>
    </w:p>
    <w:p w:rsidR="3F5A3CD0" w:rsidP="3281DCBE" w:rsidRDefault="3F5A3CD0" w14:paraId="5DCE7BEE" w14:textId="3E029DFB">
      <w:pPr>
        <w:pStyle w:val="ListParagraph"/>
        <w:numPr>
          <w:ilvl w:val="0"/>
          <w:numId w:val="1"/>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Ctrough (Cmin)</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Minimum concentration before next dose</w:t>
      </w:r>
    </w:p>
    <w:p w:rsidR="3F5A3CD0" w:rsidP="3281DCBE" w:rsidRDefault="3F5A3CD0" w14:paraId="358A1785" w14:textId="0117A399">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For afatinib,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AUC and trough concentrations</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are most relevant for understanding long-term efficacy and toxicity.</w:t>
      </w:r>
    </w:p>
    <w:p w:rsidR="3281DCBE" w:rsidP="3281DCBE" w:rsidRDefault="3281DCBE" w14:paraId="2965B389" w14:textId="5DC44B97">
      <w:pPr>
        <w:spacing w:line="300" w:lineRule="auto"/>
        <w:rPr>
          <w:rFonts w:ascii="Calibri" w:hAnsi="Calibri" w:eastAsia="Calibri" w:cs="Calibri" w:asciiTheme="minorAscii" w:hAnsiTheme="minorAscii" w:eastAsiaTheme="minorAscii" w:cstheme="minorAscii"/>
          <w:color w:val="auto"/>
          <w:sz w:val="24"/>
          <w:szCs w:val="24"/>
        </w:rPr>
      </w:pPr>
    </w:p>
    <w:p w:rsidR="3F5A3CD0" w:rsidP="3281DCBE" w:rsidRDefault="3F5A3CD0" w14:paraId="3EE37763" w14:textId="176FD918">
      <w:pPr>
        <w:pStyle w:val="Heading2"/>
        <w:rPr>
          <w:rFonts w:ascii="Calibri" w:hAnsi="Calibri" w:eastAsia="Calibri" w:cs="Calibri" w:asciiTheme="minorAscii" w:hAnsiTheme="minorAscii" w:eastAsiaTheme="minorAscii" w:cstheme="minorAscii"/>
          <w:b w:val="1"/>
          <w:bCs w:val="1"/>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noProof w:val="0"/>
          <w:color w:val="auto"/>
          <w:sz w:val="24"/>
          <w:szCs w:val="24"/>
          <w:lang w:val="en-IN"/>
        </w:rPr>
        <w:t>3.2. PK Profile of Afatinib</w:t>
      </w:r>
    </w:p>
    <w:p w:rsidR="3F5A3CD0" w:rsidP="3281DCBE" w:rsidRDefault="3F5A3CD0" w14:paraId="08C94B9E" w14:textId="03443B9B">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Afatinib exhibits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predictable, dose-proportional pharmacokinetics</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w:t>
      </w:r>
    </w:p>
    <w:p w:rsidR="3F5A3CD0" w:rsidP="3281DCBE" w:rsidRDefault="3F5A3CD0" w14:paraId="368E8B7D" w14:textId="5097C13C">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Absorption</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w:t>
      </w:r>
    </w:p>
    <w:p w:rsidR="3F5A3CD0" w:rsidP="3281DCBE" w:rsidRDefault="3F5A3CD0" w14:paraId="5CB5BCDB" w14:textId="2627F685">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Oral administration</w:t>
      </w:r>
    </w:p>
    <w:p w:rsidR="3F5A3CD0" w:rsidP="3281DCBE" w:rsidRDefault="3F5A3CD0" w14:paraId="774862CE" w14:textId="79AE86A1">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Peak concentration achieved in ~2–5 hours</w:t>
      </w:r>
    </w:p>
    <w:p w:rsidR="3F5A3CD0" w:rsidP="3281DCBE" w:rsidRDefault="3F5A3CD0" w14:paraId="18E60D19" w14:textId="33499C56">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Distribution</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w:t>
      </w:r>
    </w:p>
    <w:p w:rsidR="3F5A3CD0" w:rsidP="3281DCBE" w:rsidRDefault="3F5A3CD0" w14:paraId="064D4B64" w14:textId="392120CF">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Extensive tissue distribution, including epithelial tissues</w:t>
      </w:r>
    </w:p>
    <w:p w:rsidR="3F5A3CD0" w:rsidP="3281DCBE" w:rsidRDefault="3F5A3CD0" w14:paraId="3E3B10C7" w14:textId="4EF4080B">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High binding to plasma proteins</w:t>
      </w:r>
    </w:p>
    <w:p w:rsidR="3F5A3CD0" w:rsidP="3281DCBE" w:rsidRDefault="3F5A3CD0" w14:paraId="67D557E3" w14:textId="07F8844F">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Metabolism</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w:t>
      </w:r>
    </w:p>
    <w:p w:rsidR="3F5A3CD0" w:rsidP="3281DCBE" w:rsidRDefault="3F5A3CD0" w14:paraId="18F1BB52" w14:textId="561A9B6D">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Minimal CYP450 involvement</w:t>
      </w:r>
    </w:p>
    <w:p w:rsidR="3F5A3CD0" w:rsidP="3281DCBE" w:rsidRDefault="3F5A3CD0" w14:paraId="44FC28C0" w14:textId="040871F2">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Primarily eliminated unchanged</w:t>
      </w:r>
    </w:p>
    <w:p w:rsidR="3F5A3CD0" w:rsidP="3281DCBE" w:rsidRDefault="3F5A3CD0" w14:paraId="44FEB370" w14:textId="0B2B61D7">
      <w:pPr>
        <w:pStyle w:val="ListParagraph"/>
        <w:numPr>
          <w:ilvl w:val="0"/>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Elimination</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w:t>
      </w:r>
    </w:p>
    <w:p w:rsidR="3F5A3CD0" w:rsidP="3281DCBE" w:rsidRDefault="3F5A3CD0" w14:paraId="448A095D" w14:textId="2ABB3BAE">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Half-life: ~37 hours</w:t>
      </w:r>
    </w:p>
    <w:p w:rsidR="3F5A3CD0" w:rsidP="3281DCBE" w:rsidRDefault="3F5A3CD0" w14:paraId="79B5B610" w14:textId="3D9960C1">
      <w:pPr>
        <w:pStyle w:val="ListParagraph"/>
        <w:numPr>
          <w:ilvl w:val="1"/>
          <w:numId w:val="2"/>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Supports once-daily dosing</w:t>
      </w:r>
    </w:p>
    <w:p w:rsidR="3F5A3CD0" w:rsidP="3281DCBE" w:rsidRDefault="3F5A3CD0" w14:paraId="3F6F8155" w14:textId="1747B446">
      <w:pPr>
        <w:spacing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This results in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steady-state exposure within ~8 days</w:t>
      </w:r>
    </w:p>
    <w:p w:rsidR="3281DCBE" w:rsidP="3281DCBE" w:rsidRDefault="3281DCBE" w14:paraId="3AA5A34B" w14:textId="52D9FE8A">
      <w:pPr>
        <w:spacing w:line="300" w:lineRule="auto"/>
        <w:rPr>
          <w:rFonts w:ascii="Calibri" w:hAnsi="Calibri" w:eastAsia="Calibri" w:cs="Calibri" w:asciiTheme="minorAscii" w:hAnsiTheme="minorAscii" w:eastAsiaTheme="minorAscii" w:cstheme="minorAscii"/>
          <w:color w:val="auto"/>
          <w:sz w:val="24"/>
          <w:szCs w:val="24"/>
        </w:rPr>
      </w:pPr>
    </w:p>
    <w:p w:rsidR="3F5A3CD0" w:rsidP="3281DCBE" w:rsidRDefault="3F5A3CD0" w14:paraId="67017EB0" w14:textId="4DC5F1EB">
      <w:pPr>
        <w:pStyle w:val="Heading2"/>
        <w:rPr>
          <w:rFonts w:ascii="Calibri" w:hAnsi="Calibri" w:eastAsia="Calibri" w:cs="Calibri" w:asciiTheme="minorAscii" w:hAnsiTheme="minorAscii" w:eastAsiaTheme="minorAscii" w:cstheme="minorAscii"/>
          <w:b w:val="1"/>
          <w:bCs w:val="1"/>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noProof w:val="0"/>
          <w:color w:val="auto"/>
          <w:sz w:val="24"/>
          <w:szCs w:val="24"/>
          <w:lang w:val="en-IN"/>
        </w:rPr>
        <w:t>3.3 Exposure Variability</w:t>
      </w:r>
    </w:p>
    <w:p w:rsidR="3F5A3CD0" w:rsidP="3281DCBE" w:rsidRDefault="3F5A3CD0" w14:paraId="58078084" w14:textId="68FD9BDA">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Despite fixed dosing (40 mg daily),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interpatient variability in exposure is significant</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influenced </w:t>
      </w:r>
      <w:r w:rsidRPr="3281DCBE" w:rsidR="4778FBA9">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see </w:t>
      </w:r>
      <w:r w:rsidRPr="3281DCBE" w:rsidR="4778FBA9">
        <w:rPr>
          <w:rFonts w:ascii="Calibri" w:hAnsi="Calibri" w:eastAsia="Calibri" w:cs="Calibri" w:asciiTheme="minorAscii" w:hAnsiTheme="minorAscii" w:eastAsiaTheme="minorAscii" w:cstheme="minorAscii"/>
          <w:b w:val="0"/>
          <w:bCs w:val="0"/>
          <w:i w:val="0"/>
          <w:iCs w:val="0"/>
          <w:noProof w:val="0"/>
          <w:color w:val="auto"/>
          <w:sz w:val="24"/>
          <w:szCs w:val="24"/>
          <w:highlight w:val="yellow"/>
          <w:lang w:val="en-IN"/>
        </w:rPr>
        <w:t>section 5.1 and section 4.2.</w:t>
      </w:r>
    </w:p>
    <w:p w:rsidR="3F5A3CD0" w:rsidP="3281DCBE" w:rsidRDefault="3F5A3CD0" w14:paraId="6261E8DD" w14:textId="10F8D73D">
      <w:pPr>
        <w:pStyle w:val="ListParagraph"/>
        <w:numPr>
          <w:ilvl w:val="0"/>
          <w:numId w:val="3"/>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Body weight</w:t>
      </w:r>
    </w:p>
    <w:p w:rsidR="3F5A3CD0" w:rsidP="3281DCBE" w:rsidRDefault="3F5A3CD0" w14:paraId="011187E2" w14:textId="5CC35DE0">
      <w:pPr>
        <w:pStyle w:val="ListParagraph"/>
        <w:numPr>
          <w:ilvl w:val="0"/>
          <w:numId w:val="3"/>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Renal function</w:t>
      </w:r>
    </w:p>
    <w:p w:rsidR="3F5A3CD0" w:rsidP="3281DCBE" w:rsidRDefault="3F5A3CD0" w14:paraId="22B5C527" w14:textId="372ED308">
      <w:pPr>
        <w:pStyle w:val="ListParagraph"/>
        <w:numPr>
          <w:ilvl w:val="0"/>
          <w:numId w:val="3"/>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P-glycoprotein (P-gp) activity</w:t>
      </w:r>
    </w:p>
    <w:p w:rsidR="3F5A3CD0" w:rsidP="3281DCBE" w:rsidRDefault="3F5A3CD0" w14:paraId="7BD09D7E" w14:textId="28077E62">
      <w:pPr>
        <w:pStyle w:val="ListParagraph"/>
        <w:numPr>
          <w:ilvl w:val="0"/>
          <w:numId w:val="3"/>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Food intake (reduces exposure if taken with food)</w:t>
      </w:r>
    </w:p>
    <w:p w:rsidR="3281DCBE" w:rsidP="3281DCBE" w:rsidRDefault="3281DCBE" w14:paraId="1BC64616" w14:textId="7E22B3BB">
      <w:pPr>
        <w:spacing w:line="300" w:lineRule="auto"/>
        <w:rPr>
          <w:rFonts w:ascii="Calibri" w:hAnsi="Calibri" w:eastAsia="Calibri" w:cs="Calibri" w:asciiTheme="minorAscii" w:hAnsiTheme="minorAscii" w:eastAsiaTheme="minorAscii" w:cstheme="minorAscii"/>
          <w:color w:val="auto"/>
          <w:sz w:val="24"/>
          <w:szCs w:val="24"/>
        </w:rPr>
      </w:pPr>
    </w:p>
    <w:p w:rsidR="3F5A3CD0" w:rsidP="3281DCBE" w:rsidRDefault="3F5A3CD0" w14:paraId="429D766D" w14:textId="519FDA2F">
      <w:pPr>
        <w:pStyle w:val="Heading1"/>
        <w:rPr>
          <w:rFonts w:ascii="Calibri" w:hAnsi="Calibri" w:eastAsia="Calibri" w:cs="Calibri" w:asciiTheme="minorAscii" w:hAnsiTheme="minorAscii" w:eastAsiaTheme="minorAscii" w:cstheme="minorAscii"/>
          <w:b w:val="1"/>
          <w:bCs w:val="1"/>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noProof w:val="0"/>
          <w:color w:val="auto"/>
          <w:sz w:val="24"/>
          <w:szCs w:val="24"/>
          <w:lang w:val="en-IN"/>
        </w:rPr>
        <w:t>4. Exposure–Response Relationship</w:t>
      </w:r>
    </w:p>
    <w:p w:rsidR="3F5A3CD0" w:rsidP="3281DCBE" w:rsidRDefault="3F5A3CD0" w14:paraId="480F37FF" w14:textId="21FC91B3">
      <w:pPr>
        <w:pStyle w:val="Heading3"/>
        <w:spacing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4.1 Exposure vs Efficacy</w:t>
      </w:r>
    </w:p>
    <w:p w:rsidR="3F5A3CD0" w:rsidP="3281DCBE" w:rsidRDefault="3F5A3CD0" w14:paraId="3B1DFF0C" w14:textId="294D4009">
      <w:pPr>
        <w:pStyle w:val="ListParagraph"/>
        <w:numPr>
          <w:ilvl w:val="0"/>
          <w:numId w:val="5"/>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Afatinib shows a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plateau effect</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for efficacy</w:t>
      </w:r>
    </w:p>
    <w:p w:rsidR="3F5A3CD0" w:rsidP="3281DCBE" w:rsidRDefault="3F5A3CD0" w14:paraId="5B830F5B" w14:textId="1241AADC">
      <w:pPr>
        <w:pStyle w:val="ListParagraph"/>
        <w:numPr>
          <w:ilvl w:val="0"/>
          <w:numId w:val="5"/>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Once a threshold exposure is reached: </w:t>
      </w:r>
    </w:p>
    <w:p w:rsidR="3F5A3CD0" w:rsidP="3281DCBE" w:rsidRDefault="3F5A3CD0" w14:paraId="28D6022D" w14:textId="3BCEA8F4">
      <w:pPr>
        <w:pStyle w:val="ListParagraph"/>
        <w:numPr>
          <w:ilvl w:val="1"/>
          <w:numId w:val="5"/>
        </w:num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EGFR receptor inhibition is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maximized</w:t>
      </w:r>
    </w:p>
    <w:p w:rsidR="3F5A3CD0" w:rsidP="3281DCBE" w:rsidRDefault="3F5A3CD0" w14:paraId="1461D358" w14:textId="64DCB860">
      <w:pPr>
        <w:pStyle w:val="ListParagraph"/>
        <w:numPr>
          <w:ilvl w:val="1"/>
          <w:numId w:val="5"/>
        </w:num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Additional exposure does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not significantly increase efficacy</w:t>
      </w:r>
    </w:p>
    <w:p w:rsidR="3281DCBE" w:rsidP="3281DCBE" w:rsidRDefault="3281DCBE" w14:paraId="5BF293EE" w14:textId="64CD83B7">
      <w:pPr>
        <w:spacing w:line="300" w:lineRule="auto"/>
        <w:rPr>
          <w:rFonts w:ascii="Calibri" w:hAnsi="Calibri" w:eastAsia="Calibri" w:cs="Calibri" w:asciiTheme="minorAscii" w:hAnsiTheme="minorAscii" w:eastAsiaTheme="minorAscii" w:cstheme="minorAscii"/>
          <w:color w:val="auto"/>
          <w:sz w:val="24"/>
          <w:szCs w:val="24"/>
        </w:rPr>
      </w:pPr>
    </w:p>
    <w:p w:rsidR="3F5A3CD0" w:rsidP="3281DCBE" w:rsidRDefault="3F5A3CD0" w14:paraId="2C40EF1F" w14:textId="394170A0">
      <w:pPr>
        <w:pStyle w:val="Heading3"/>
        <w:spacing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4.2 Exposure vs Safety</w:t>
      </w:r>
    </w:p>
    <w:p w:rsidR="3F5A3CD0" w:rsidP="3281DCBE" w:rsidRDefault="3F5A3CD0" w14:paraId="0B2D971A" w14:textId="555AC13E">
      <w:pPr>
        <w:pStyle w:val="ListParagraph"/>
        <w:numPr>
          <w:ilvl w:val="0"/>
          <w:numId w:val="6"/>
        </w:num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Strong correlation between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higher exposure and toxicity</w:t>
      </w:r>
    </w:p>
    <w:p w:rsidR="3F5A3CD0" w:rsidP="3281DCBE" w:rsidRDefault="3F5A3CD0" w14:paraId="41DB0A25" w14:textId="075C97F2">
      <w:pPr>
        <w:pStyle w:val="ListParagraph"/>
        <w:numPr>
          <w:ilvl w:val="0"/>
          <w:numId w:val="6"/>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Increased AUC → higher probability of: </w:t>
      </w:r>
    </w:p>
    <w:p w:rsidR="3F5A3CD0" w:rsidP="3281DCBE" w:rsidRDefault="3F5A3CD0" w14:paraId="0F13E83E" w14:textId="5F22642C">
      <w:pPr>
        <w:pStyle w:val="ListParagraph"/>
        <w:numPr>
          <w:ilvl w:val="1"/>
          <w:numId w:val="6"/>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Grade ≥3 diarrhea</w:t>
      </w:r>
    </w:p>
    <w:p w:rsidR="3F5A3CD0" w:rsidP="3281DCBE" w:rsidRDefault="3F5A3CD0" w14:paraId="466B9E4C" w14:textId="34FD614E">
      <w:pPr>
        <w:pStyle w:val="ListParagraph"/>
        <w:numPr>
          <w:ilvl w:val="1"/>
          <w:numId w:val="6"/>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Severe rash</w:t>
      </w:r>
    </w:p>
    <w:p w:rsidR="3F5A3CD0" w:rsidP="3281DCBE" w:rsidRDefault="3F5A3CD0" w14:paraId="00D99B23" w14:textId="041DECDF">
      <w:pPr>
        <w:pStyle w:val="ListParagraph"/>
        <w:numPr>
          <w:ilvl w:val="1"/>
          <w:numId w:val="6"/>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Dose interruptions</w:t>
      </w:r>
    </w:p>
    <w:p w:rsidR="3281DCBE" w:rsidP="3281DCBE" w:rsidRDefault="3281DCBE" w14:paraId="793B4821" w14:textId="217488C5">
      <w:pPr>
        <w:spacing w:line="300" w:lineRule="auto"/>
        <w:rPr>
          <w:rFonts w:ascii="Calibri" w:hAnsi="Calibri" w:eastAsia="Calibri" w:cs="Calibri" w:asciiTheme="minorAscii" w:hAnsiTheme="minorAscii" w:eastAsiaTheme="minorAscii" w:cstheme="minorAscii"/>
          <w:color w:val="auto"/>
          <w:sz w:val="24"/>
          <w:szCs w:val="24"/>
        </w:rPr>
      </w:pPr>
    </w:p>
    <w:p w:rsidR="3F5A3CD0" w:rsidP="3281DCBE" w:rsidRDefault="3F5A3CD0" w14:paraId="17538329" w14:textId="7DF57B88">
      <w:pPr>
        <w:pStyle w:val="Heading2"/>
        <w:spacing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5. Clinical Relevance of PK Exposure</w:t>
      </w:r>
    </w:p>
    <w:p w:rsidR="3F5A3CD0" w:rsidP="3281DCBE" w:rsidRDefault="3F5A3CD0" w14:paraId="5DB79F3A" w14:textId="36DF185B">
      <w:pPr>
        <w:pStyle w:val="Heading3"/>
        <w:spacing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5.1 High Exposure Patients</w:t>
      </w:r>
    </w:p>
    <w:p w:rsidR="3F5A3CD0" w:rsidP="3281DCBE" w:rsidRDefault="3F5A3CD0" w14:paraId="767CDEE1" w14:textId="5CEEE53C">
      <w:pPr>
        <w:pStyle w:val="ListParagraph"/>
        <w:numPr>
          <w:ilvl w:val="0"/>
          <w:numId w:val="7"/>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Characteristics: </w:t>
      </w:r>
    </w:p>
    <w:p w:rsidR="3F5A3CD0" w:rsidP="3281DCBE" w:rsidRDefault="3F5A3CD0" w14:paraId="749101F6" w14:textId="058369CE">
      <w:pPr>
        <w:pStyle w:val="ListParagraph"/>
        <w:numPr>
          <w:ilvl w:val="1"/>
          <w:numId w:val="7"/>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Low body weight</w:t>
      </w:r>
    </w:p>
    <w:p w:rsidR="3F5A3CD0" w:rsidP="3281DCBE" w:rsidRDefault="3F5A3CD0" w14:paraId="2478E6A9" w14:textId="1DB88311">
      <w:pPr>
        <w:pStyle w:val="ListParagraph"/>
        <w:numPr>
          <w:ilvl w:val="1"/>
          <w:numId w:val="7"/>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Reduced clearance</w:t>
      </w:r>
    </w:p>
    <w:p w:rsidR="3F5A3CD0" w:rsidP="3281DCBE" w:rsidRDefault="3F5A3CD0" w14:paraId="5383CC60" w14:textId="2E1BD22A">
      <w:pPr>
        <w:pStyle w:val="ListParagraph"/>
        <w:numPr>
          <w:ilvl w:val="0"/>
          <w:numId w:val="7"/>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Outcomes: </w:t>
      </w:r>
    </w:p>
    <w:p w:rsidR="3F5A3CD0" w:rsidP="3281DCBE" w:rsidRDefault="3F5A3CD0" w14:paraId="613C23D5" w14:textId="1CA1DC6B">
      <w:pPr>
        <w:pStyle w:val="ListParagraph"/>
        <w:numPr>
          <w:ilvl w:val="1"/>
          <w:numId w:val="7"/>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Higher toxicity risk</w:t>
      </w:r>
    </w:p>
    <w:p w:rsidR="3F5A3CD0" w:rsidP="3281DCBE" w:rsidRDefault="3F5A3CD0" w14:paraId="2011DBD0" w14:textId="6E0A605A">
      <w:pPr>
        <w:pStyle w:val="ListParagraph"/>
        <w:numPr>
          <w:ilvl w:val="1"/>
          <w:numId w:val="7"/>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Require early dose reduction</w:t>
      </w:r>
    </w:p>
    <w:p w:rsidR="3281DCBE" w:rsidP="3281DCBE" w:rsidRDefault="3281DCBE" w14:paraId="6CAB1D44" w14:textId="5DB392BE">
      <w:pPr>
        <w:spacing w:line="300" w:lineRule="auto"/>
        <w:rPr>
          <w:rFonts w:ascii="Calibri" w:hAnsi="Calibri" w:eastAsia="Calibri" w:cs="Calibri" w:asciiTheme="minorAscii" w:hAnsiTheme="minorAscii" w:eastAsiaTheme="minorAscii" w:cstheme="minorAscii"/>
          <w:color w:val="auto"/>
          <w:sz w:val="24"/>
          <w:szCs w:val="24"/>
        </w:rPr>
      </w:pPr>
    </w:p>
    <w:p w:rsidR="3F5A3CD0" w:rsidP="3281DCBE" w:rsidRDefault="3F5A3CD0" w14:paraId="24F328DC" w14:textId="5634D1A0">
      <w:pPr>
        <w:pStyle w:val="Heading3"/>
        <w:spacing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5.2 Optimal Exposure Window</w:t>
      </w:r>
    </w:p>
    <w:p w:rsidR="3F5A3CD0" w:rsidP="3281DCBE" w:rsidRDefault="3F5A3CD0" w14:paraId="05C9123D" w14:textId="105CB6DC">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There exists a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therapeutic window</w:t>
      </w: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 where:</w:t>
      </w:r>
    </w:p>
    <w:p w:rsidR="3F5A3CD0" w:rsidP="3281DCBE" w:rsidRDefault="3F5A3CD0" w14:paraId="51723538" w14:textId="1E8A0408">
      <w:pPr>
        <w:pStyle w:val="ListParagraph"/>
        <w:numPr>
          <w:ilvl w:val="0"/>
          <w:numId w:val="8"/>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EGFR inhibition is sufficient for efficacy</w:t>
      </w:r>
    </w:p>
    <w:p w:rsidR="3F5A3CD0" w:rsidP="3281DCBE" w:rsidRDefault="3F5A3CD0" w14:paraId="35908DA6" w14:textId="113182BB">
      <w:pPr>
        <w:pStyle w:val="ListParagraph"/>
        <w:numPr>
          <w:ilvl w:val="0"/>
          <w:numId w:val="8"/>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Toxicity remains manageable</w:t>
      </w:r>
    </w:p>
    <w:p w:rsidR="3F5A3CD0" w:rsidP="3281DCBE" w:rsidRDefault="3F5A3CD0" w14:paraId="24153220" w14:textId="721EE7C0">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Dose modification helps patients remain within this range.</w:t>
      </w:r>
    </w:p>
    <w:p w:rsidR="3281DCBE" w:rsidP="3281DCBE" w:rsidRDefault="3281DCBE" w14:paraId="7D07B550" w14:textId="2E050F46">
      <w:pPr>
        <w:spacing w:line="300" w:lineRule="auto"/>
        <w:rPr>
          <w:rFonts w:ascii="Calibri" w:hAnsi="Calibri" w:eastAsia="Calibri" w:cs="Calibri" w:asciiTheme="minorAscii" w:hAnsiTheme="minorAscii" w:eastAsiaTheme="minorAscii" w:cstheme="minorAscii"/>
          <w:color w:val="auto"/>
          <w:sz w:val="24"/>
          <w:szCs w:val="24"/>
        </w:rPr>
      </w:pPr>
    </w:p>
    <w:p w:rsidR="3F5A3CD0" w:rsidP="3281DCBE" w:rsidRDefault="3F5A3CD0" w14:paraId="22B50582" w14:textId="7819105D">
      <w:pPr>
        <w:pStyle w:val="Heading2"/>
        <w:spacing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6. Impact of Dose Reduction on PK Exposure</w:t>
      </w:r>
    </w:p>
    <w:p w:rsidR="3F5A3CD0" w:rsidP="3281DCBE" w:rsidRDefault="3F5A3CD0" w14:paraId="252B445F" w14:textId="140EA1D0">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When dose is reduced:</w:t>
      </w:r>
    </w:p>
    <w:p w:rsidR="3F5A3CD0" w:rsidP="3281DCBE" w:rsidRDefault="3F5A3CD0" w14:paraId="01BD00EF" w14:textId="621328E3">
      <w:pPr>
        <w:pStyle w:val="ListParagraph"/>
        <w:numPr>
          <w:ilvl w:val="0"/>
          <w:numId w:val="9"/>
        </w:num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AUC and Ctrough decrease proportionally</w:t>
      </w:r>
    </w:p>
    <w:p w:rsidR="3F5A3CD0" w:rsidP="3281DCBE" w:rsidRDefault="3F5A3CD0" w14:paraId="49FB4CBF" w14:textId="4BAC269F">
      <w:pPr>
        <w:pStyle w:val="ListParagraph"/>
        <w:numPr>
          <w:ilvl w:val="0"/>
          <w:numId w:val="9"/>
        </w:numPr>
        <w:spacing w:before="0" w:beforeAutospacing="off" w:after="0" w:afterAutospacing="off"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However: </w:t>
      </w:r>
    </w:p>
    <w:p w:rsidR="3F5A3CD0" w:rsidP="3281DCBE" w:rsidRDefault="3F5A3CD0" w14:paraId="0E414395" w14:textId="7F708E6F">
      <w:pPr>
        <w:pStyle w:val="ListParagraph"/>
        <w:numPr>
          <w:ilvl w:val="1"/>
          <w:numId w:val="9"/>
        </w:numPr>
        <w:spacing w:before="0" w:beforeAutospacing="off" w:after="0" w:afterAutospacing="off" w:line="300" w:lineRule="auto"/>
        <w:rPr>
          <w:rFonts w:ascii="Calibri" w:hAnsi="Calibri" w:eastAsia="Calibri" w:cs="Calibri" w:asciiTheme="minorAscii" w:hAnsiTheme="minorAscii" w:eastAsiaTheme="minorAscii" w:cstheme="minorAscii"/>
          <w:b w:val="1"/>
          <w:bCs w:val="1"/>
          <w:i w:val="0"/>
          <w:iCs w:val="0"/>
          <w:noProof w:val="0"/>
          <w:color w:val="auto"/>
          <w:sz w:val="24"/>
          <w:szCs w:val="24"/>
          <w:lang w:val="en-IN"/>
        </w:rPr>
      </w:pPr>
      <w:r w:rsidRPr="3281DCBE" w:rsidR="3F5A3CD0">
        <w:rPr>
          <w:rFonts w:ascii="Calibri" w:hAnsi="Calibri" w:eastAsia="Calibri" w:cs="Calibri" w:asciiTheme="minorAscii" w:hAnsiTheme="minorAscii" w:eastAsiaTheme="minorAscii" w:cstheme="minorAscii"/>
          <w:b w:val="0"/>
          <w:bCs w:val="0"/>
          <w:i w:val="0"/>
          <w:iCs w:val="0"/>
          <w:noProof w:val="0"/>
          <w:color w:val="auto"/>
          <w:sz w:val="24"/>
          <w:szCs w:val="24"/>
          <w:lang w:val="en-IN"/>
        </w:rPr>
        <w:t xml:space="preserve">Drug concentration remains </w:t>
      </w:r>
      <w:r w:rsidRPr="3281DCBE" w:rsidR="3F5A3CD0">
        <w:rPr>
          <w:rFonts w:ascii="Calibri" w:hAnsi="Calibri" w:eastAsia="Calibri" w:cs="Calibri" w:asciiTheme="minorAscii" w:hAnsiTheme="minorAscii" w:eastAsiaTheme="minorAscii" w:cstheme="minorAscii"/>
          <w:b w:val="1"/>
          <w:bCs w:val="1"/>
          <w:i w:val="0"/>
          <w:iCs w:val="0"/>
          <w:noProof w:val="0"/>
          <w:color w:val="auto"/>
          <w:sz w:val="24"/>
          <w:szCs w:val="24"/>
          <w:lang w:val="en-IN"/>
        </w:rPr>
        <w:t>above minimum effective level</w:t>
      </w:r>
    </w:p>
    <w:p w:rsidR="3281DCBE" w:rsidP="3281DCBE" w:rsidRDefault="3281DCBE" w14:paraId="5DE6C7B9" w14:textId="39503177">
      <w:pPr>
        <w:spacing w:line="300" w:lineRule="auto"/>
        <w:rPr>
          <w:rFonts w:ascii="Calibri" w:hAnsi="Calibri" w:eastAsia="Calibri" w:cs="Calibri" w:asciiTheme="minorAscii" w:hAnsiTheme="minorAscii" w:eastAsiaTheme="minorAscii" w:cstheme="minorAscii"/>
          <w:b w:val="0"/>
          <w:bCs w:val="0"/>
          <w:i w:val="0"/>
          <w:iCs w:val="0"/>
          <w:noProof w:val="0"/>
          <w:color w:val="auto"/>
          <w:sz w:val="24"/>
          <w:szCs w:val="24"/>
          <w:lang w:val="en-IN"/>
        </w:rPr>
      </w:pPr>
    </w:p>
    <w:p w:rsidR="3281DCBE" w:rsidP="3281DCBE" w:rsidRDefault="3281DCBE" w14:paraId="6E339859" w14:textId="2CCA109D">
      <w:pPr>
        <w:pStyle w:val="Normal"/>
        <w:rPr>
          <w:rFonts w:ascii="Calibri" w:hAnsi="Calibri" w:eastAsia="Calibri" w:cs="Calibri" w:asciiTheme="minorAscii" w:hAnsiTheme="minorAscii" w:eastAsiaTheme="minorAscii" w:cstheme="minorAscii"/>
          <w:noProof w:val="0"/>
          <w:color w:val="auto"/>
          <w:sz w:val="24"/>
          <w:szCs w:val="24"/>
          <w:lang w:val="en-IN"/>
        </w:rPr>
      </w:pPr>
    </w:p>
    <w:p w:rsidR="3281DCBE" w:rsidP="3281DCBE" w:rsidRDefault="3281DCBE" w14:paraId="769FC956" w14:textId="2F151DCC">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IN"/>
        </w:rPr>
      </w:pPr>
    </w:p>
    <w:p w:rsidR="3281DCBE" w:rsidP="3281DCBE" w:rsidRDefault="3281DCBE" w14:paraId="19433397" w14:textId="2EB48040">
      <w:pPr>
        <w:rPr>
          <w:rFonts w:ascii="Calibri" w:hAnsi="Calibri" w:eastAsia="Calibri" w:cs="Calibri" w:asciiTheme="minorAscii" w:hAnsiTheme="minorAscii" w:eastAsiaTheme="minorAscii" w:cstheme="minorAscii"/>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48da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b548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42f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909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095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8b3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f9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716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268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44EBF6"/>
    <w:rsid w:val="014E35AD"/>
    <w:rsid w:val="06203FEC"/>
    <w:rsid w:val="0802A218"/>
    <w:rsid w:val="0999B8B4"/>
    <w:rsid w:val="0FB83EFB"/>
    <w:rsid w:val="160294CE"/>
    <w:rsid w:val="234F2F4B"/>
    <w:rsid w:val="26EE5651"/>
    <w:rsid w:val="27330693"/>
    <w:rsid w:val="3281DCBE"/>
    <w:rsid w:val="3433BB48"/>
    <w:rsid w:val="36CB1451"/>
    <w:rsid w:val="3F5A3CD0"/>
    <w:rsid w:val="41A4CBBA"/>
    <w:rsid w:val="4778FBA9"/>
    <w:rsid w:val="47A16AC8"/>
    <w:rsid w:val="4AED287A"/>
    <w:rsid w:val="4F94B2F0"/>
    <w:rsid w:val="50265587"/>
    <w:rsid w:val="50BEEF15"/>
    <w:rsid w:val="51597035"/>
    <w:rsid w:val="52751EB8"/>
    <w:rsid w:val="54A69718"/>
    <w:rsid w:val="5A6B3DA2"/>
    <w:rsid w:val="5A75E5B0"/>
    <w:rsid w:val="5F44EBF6"/>
    <w:rsid w:val="5F4E74D8"/>
    <w:rsid w:val="6265B626"/>
    <w:rsid w:val="67B97584"/>
    <w:rsid w:val="6EE693FB"/>
    <w:rsid w:val="73DDB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DD80"/>
  <w15:chartTrackingRefBased/>
  <w15:docId w15:val="{AAD7A7BA-D3D2-4E92-AAE4-BA3080E343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281DCB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281DCB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281DCB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281DCB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c98e4fc728042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2026-06-24T05:55:02.9879952Z</dcterms:created>
  <dcterms:modified xsi:type="dcterms:W3CDTF">2026-06-24T06:08:58.2320917Z</dcterms:modified>
  <dc:creator>Pooja Milan Gursale</dc:creator>
  <lastModifiedBy>Pooja Milan Gursale</lastModifiedBy>
</coreProperties>
</file>