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BEB651" wp14:paraId="000C78D4" wp14:textId="5C6D3AEC">
      <w:pPr>
        <w:rPr>
          <w:rFonts w:ascii="Calibri" w:hAnsi="Calibri" w:eastAsia="Calibri" w:cs="Calibri"/>
          <w:noProof w:val="0"/>
          <w:color w:val="auto"/>
          <w:sz w:val="24"/>
          <w:szCs w:val="24"/>
          <w:lang w:val="en-US"/>
        </w:rPr>
      </w:pPr>
      <w:r w:rsidRPr="7ABEB651" w:rsidR="750B8AA9">
        <w:rPr>
          <w:rFonts w:ascii="Aptos" w:hAnsi="Aptos" w:eastAsia="Aptos" w:cs="Aptos"/>
          <w:b w:val="1"/>
          <w:bCs w:val="1"/>
          <w:i w:val="0"/>
          <w:iCs w:val="0"/>
          <w:caps w:val="0"/>
          <w:smallCaps w:val="0"/>
          <w:noProof w:val="0"/>
          <w:color w:val="auto"/>
          <w:sz w:val="22"/>
          <w:szCs w:val="22"/>
          <w:lang w:val="en-IN"/>
        </w:rPr>
        <w:t>INTEGRATED SUMMARY OF SAFETY (ISS)</w:t>
      </w:r>
    </w:p>
    <w:p xmlns:wp14="http://schemas.microsoft.com/office/word/2010/wordml" w:rsidP="7ABEB651" wp14:paraId="2C078E63" wp14:textId="2FED8327">
      <w:pPr>
        <w:rPr>
          <w:color w:val="auto"/>
        </w:rPr>
      </w:pPr>
    </w:p>
    <w:p w:rsidR="750B8AA9" w:rsidP="7ABEB651" w:rsidRDefault="750B8AA9" w14:paraId="67F140F5" w14:textId="6B942559">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1"/>
          <w:bCs w:val="1"/>
          <w:noProof w:val="0"/>
          <w:color w:val="auto"/>
          <w:sz w:val="24"/>
          <w:szCs w:val="24"/>
          <w:lang w:val="en-US"/>
        </w:rPr>
        <w:t>1. Introduction</w:t>
      </w:r>
    </w:p>
    <w:p w:rsidR="750B8AA9" w:rsidP="1175507F" w:rsidRDefault="750B8AA9" w14:paraId="63E3A5D3" w14:textId="7FC17088">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1175507F" w:rsidR="6AEFBCED">
        <w:rPr>
          <w:rFonts w:ascii="Calibri" w:hAnsi="Calibri" w:eastAsia="Calibri" w:cs="Calibri" w:asciiTheme="minorAscii" w:hAnsiTheme="minorAscii" w:eastAsiaTheme="minorAscii" w:cstheme="minorAscii"/>
          <w:b w:val="0"/>
          <w:bCs w:val="0"/>
          <w:i w:val="0"/>
          <w:iCs w:val="0"/>
          <w:noProof w:val="0"/>
          <w:color w:val="auto"/>
          <w:sz w:val="24"/>
          <w:szCs w:val="24"/>
          <w:lang w:val="en-US"/>
        </w:rPr>
        <w:t xml:space="preserve">Afatinib is an irreversible </w:t>
      </w:r>
      <w:r w:rsidRPr="1175507F" w:rsidR="6AEFBCED">
        <w:rPr>
          <w:rFonts w:ascii="Calibri" w:hAnsi="Calibri" w:eastAsia="Calibri" w:cs="Calibri" w:asciiTheme="minorAscii" w:hAnsiTheme="minorAscii" w:eastAsiaTheme="minorAscii" w:cstheme="minorAscii"/>
          <w:b w:val="0"/>
          <w:bCs w:val="0"/>
          <w:i w:val="0"/>
          <w:iCs w:val="0"/>
          <w:noProof w:val="0"/>
          <w:color w:val="auto"/>
          <w:sz w:val="24"/>
          <w:szCs w:val="24"/>
          <w:lang w:val="en-US"/>
        </w:rPr>
        <w:t>ErbB</w:t>
      </w:r>
      <w:r w:rsidRPr="1175507F" w:rsidR="6AEFBCED">
        <w:rPr>
          <w:rFonts w:ascii="Calibri" w:hAnsi="Calibri" w:eastAsia="Calibri" w:cs="Calibri" w:asciiTheme="minorAscii" w:hAnsiTheme="minorAscii" w:eastAsiaTheme="minorAscii" w:cstheme="minorAscii"/>
          <w:b w:val="0"/>
          <w:bCs w:val="0"/>
          <w:i w:val="0"/>
          <w:iCs w:val="0"/>
          <w:noProof w:val="0"/>
          <w:color w:val="auto"/>
          <w:sz w:val="24"/>
          <w:szCs w:val="24"/>
          <w:lang w:val="en-US"/>
        </w:rPr>
        <w:t xml:space="preserve"> family blocker </w:t>
      </w:r>
      <w:r w:rsidRPr="1175507F" w:rsidR="6AEFBCED">
        <w:rPr>
          <w:rFonts w:ascii="Calibri" w:hAnsi="Calibri" w:eastAsia="Calibri" w:cs="Calibri" w:asciiTheme="minorAscii" w:hAnsiTheme="minorAscii" w:eastAsiaTheme="minorAscii" w:cstheme="minorAscii"/>
          <w:b w:val="0"/>
          <w:bCs w:val="0"/>
          <w:i w:val="0"/>
          <w:iCs w:val="0"/>
          <w:noProof w:val="0"/>
          <w:color w:val="auto"/>
          <w:sz w:val="24"/>
          <w:szCs w:val="24"/>
          <w:lang w:val="en-US"/>
        </w:rPr>
        <w:t>indicated</w:t>
      </w:r>
      <w:r w:rsidRPr="1175507F" w:rsidR="6AEFBCED">
        <w:rPr>
          <w:rFonts w:ascii="Calibri" w:hAnsi="Calibri" w:eastAsia="Calibri" w:cs="Calibri" w:asciiTheme="minorAscii" w:hAnsiTheme="minorAscii" w:eastAsiaTheme="minorAscii" w:cstheme="minorAscii"/>
          <w:b w:val="0"/>
          <w:bCs w:val="0"/>
          <w:i w:val="0"/>
          <w:iCs w:val="0"/>
          <w:noProof w:val="0"/>
          <w:color w:val="auto"/>
          <w:sz w:val="24"/>
          <w:szCs w:val="24"/>
          <w:lang w:val="en-US"/>
        </w:rPr>
        <w:t xml:space="preserve"> for the treatment of patients with locally advanced or metastatic non-small cell lung cancer (NSCLC) harboring epidermal growth factor receptor (EGFR) mutations. This Integrated Summary of Safety (ISS) provides a comprehensive evaluation of the safety profile of afatinib based on pooled clinical trial data</w:t>
      </w:r>
      <w:r w:rsidRPr="1175507F" w:rsidR="0B455E73">
        <w:rPr>
          <w:rFonts w:ascii="Calibri" w:hAnsi="Calibri" w:eastAsia="Calibri" w:cs="Calibri" w:asciiTheme="minorAscii" w:hAnsiTheme="minorAscii" w:eastAsiaTheme="minorAscii" w:cstheme="minorAscii"/>
          <w:b w:val="0"/>
          <w:bCs w:val="0"/>
          <w:i w:val="0"/>
          <w:iCs w:val="0"/>
          <w:noProof w:val="0"/>
          <w:color w:val="auto"/>
          <w:sz w:val="24"/>
          <w:szCs w:val="24"/>
          <w:lang w:val="en-US"/>
        </w:rPr>
        <w:t xml:space="preserve"> see </w:t>
      </w:r>
      <w:r w:rsidRPr="1175507F" w:rsidR="0B455E73">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US"/>
        </w:rPr>
        <w:t>s</w:t>
      </w:r>
      <w:r w:rsidRPr="1175507F" w:rsidR="0B455E73">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US"/>
        </w:rPr>
        <w:t>ectio</w:t>
      </w:r>
      <w:r w:rsidRPr="1175507F" w:rsidR="0B455E73">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US"/>
        </w:rPr>
        <w:t>n 7 and Table 2</w:t>
      </w:r>
      <w:r w:rsidRPr="1175507F" w:rsidR="0B455E73">
        <w:rPr>
          <w:rFonts w:ascii="Calibri" w:hAnsi="Calibri" w:eastAsia="Calibri" w:cs="Calibri" w:asciiTheme="minorAscii" w:hAnsiTheme="minorAscii" w:eastAsiaTheme="minorAscii" w:cstheme="minorAscii"/>
          <w:b w:val="0"/>
          <w:bCs w:val="0"/>
          <w:i w:val="0"/>
          <w:iCs w:val="0"/>
          <w:noProof w:val="0"/>
          <w:color w:val="auto"/>
          <w:sz w:val="24"/>
          <w:szCs w:val="24"/>
          <w:lang w:val="en-US"/>
        </w:rPr>
        <w:t>.</w:t>
      </w:r>
    </w:p>
    <w:p w:rsidR="7ABEB651" w:rsidP="7ABEB651" w:rsidRDefault="7ABEB651" w14:paraId="1024D7B6" w14:textId="1EB8D8B6">
      <w:pPr>
        <w:rPr>
          <w:rFonts w:ascii="Calibri" w:hAnsi="Calibri" w:eastAsia="Calibri" w:cs="Calibri" w:asciiTheme="minorAscii" w:hAnsiTheme="minorAscii" w:eastAsiaTheme="minorAscii" w:cstheme="minorAscii"/>
          <w:color w:val="auto"/>
          <w:sz w:val="24"/>
          <w:szCs w:val="24"/>
        </w:rPr>
      </w:pPr>
    </w:p>
    <w:p w:rsidR="7ABEB651" w:rsidP="7ABEB651" w:rsidRDefault="7ABEB651" w14:paraId="4C7C29E8" w14:textId="4C55FC8F">
      <w:pPr>
        <w:rPr>
          <w:rFonts w:ascii="Calibri" w:hAnsi="Calibri" w:eastAsia="Calibri" w:cs="Calibri" w:asciiTheme="minorAscii" w:hAnsiTheme="minorAscii" w:eastAsiaTheme="minorAscii" w:cstheme="minorAscii"/>
          <w:color w:val="auto"/>
          <w:sz w:val="24"/>
          <w:szCs w:val="24"/>
        </w:rPr>
      </w:pPr>
    </w:p>
    <w:p w:rsidR="750B8AA9" w:rsidP="7ABEB651" w:rsidRDefault="750B8AA9" w14:paraId="7D108F5C" w14:textId="2D2330FA">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1"/>
          <w:bCs w:val="1"/>
          <w:noProof w:val="0"/>
          <w:color w:val="auto"/>
          <w:sz w:val="24"/>
          <w:szCs w:val="24"/>
          <w:lang w:val="en-US"/>
        </w:rPr>
        <w:t>2. Objectives</w:t>
      </w:r>
    </w:p>
    <w:p w:rsidR="750B8AA9" w:rsidP="7ABEB651" w:rsidRDefault="750B8AA9" w14:paraId="0FAF48C1" w14:textId="3245AFFC">
      <w:pPr>
        <w:pStyle w:val="ListParagraph"/>
        <w:numPr>
          <w:ilvl w:val="0"/>
          <w:numId w:val="1"/>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To characterize the overall safety profile of afatinib</w:t>
      </w:r>
      <w:r w:rsidRPr="7ABEB651" w:rsidR="2321DC86">
        <w:rPr>
          <w:rFonts w:ascii="Calibri" w:hAnsi="Calibri" w:eastAsia="Calibri" w:cs="Calibri" w:asciiTheme="minorAscii" w:hAnsiTheme="minorAscii" w:eastAsiaTheme="minorAscii" w:cstheme="minorAscii"/>
          <w:b w:val="0"/>
          <w:bCs w:val="0"/>
          <w:i w:val="0"/>
          <w:iCs w:val="0"/>
          <w:noProof w:val="0"/>
          <w:color w:val="auto"/>
          <w:sz w:val="24"/>
          <w:szCs w:val="24"/>
          <w:lang w:val="en-US"/>
        </w:rPr>
        <w:t xml:space="preserve"> see </w:t>
      </w:r>
      <w:r w:rsidRPr="7ABEB651" w:rsidR="2321DC86">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US"/>
        </w:rPr>
        <w:t>Table 1</w:t>
      </w:r>
      <w:r w:rsidRPr="7ABEB651" w:rsidR="2321DC86">
        <w:rPr>
          <w:rFonts w:ascii="Calibri" w:hAnsi="Calibri" w:eastAsia="Calibri" w:cs="Calibri" w:asciiTheme="minorAscii" w:hAnsiTheme="minorAscii" w:eastAsiaTheme="minorAscii" w:cstheme="minorAscii"/>
          <w:b w:val="0"/>
          <w:bCs w:val="0"/>
          <w:i w:val="0"/>
          <w:iCs w:val="0"/>
          <w:noProof w:val="0"/>
          <w:color w:val="auto"/>
          <w:sz w:val="24"/>
          <w:szCs w:val="24"/>
          <w:lang w:val="en-US"/>
        </w:rPr>
        <w:t>.</w:t>
      </w:r>
    </w:p>
    <w:p w:rsidR="750B8AA9" w:rsidP="7ABEB651" w:rsidRDefault="750B8AA9" w14:paraId="5B0E376D" w14:textId="520BDFCA">
      <w:pPr>
        <w:pStyle w:val="ListParagraph"/>
        <w:numPr>
          <w:ilvl w:val="0"/>
          <w:numId w:val="1"/>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To evaluate the incidence, severity, and relationship of adverse events (AEs)</w:t>
      </w:r>
    </w:p>
    <w:p w:rsidR="750B8AA9" w:rsidP="7ABEB651" w:rsidRDefault="750B8AA9" w14:paraId="161A2C39" w14:textId="19E52CF3">
      <w:pPr>
        <w:pStyle w:val="ListParagraph"/>
        <w:numPr>
          <w:ilvl w:val="0"/>
          <w:numId w:val="1"/>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To identify clinically significant risks and safety signals</w:t>
      </w:r>
    </w:p>
    <w:p w:rsidR="750B8AA9" w:rsidP="7ABEB651" w:rsidRDefault="750B8AA9" w14:paraId="5930F8B5" w14:textId="7A0EAEA5">
      <w:pPr>
        <w:pStyle w:val="ListParagraph"/>
        <w:numPr>
          <w:ilvl w:val="0"/>
          <w:numId w:val="1"/>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To assess safety across different patient subgroups</w:t>
      </w:r>
    </w:p>
    <w:p w:rsidR="7ABEB651" w:rsidP="7ABEB651" w:rsidRDefault="7ABEB651" w14:paraId="70E2F5BF" w14:textId="3AF910FE">
      <w:pPr>
        <w:pStyle w:val="Normal"/>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p>
    <w:p w:rsidR="750B8AA9" w:rsidP="7ABEB651" w:rsidRDefault="750B8AA9" w14:paraId="2C719771" w14:textId="1CF8BF5F">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1"/>
          <w:bCs w:val="1"/>
          <w:noProof w:val="0"/>
          <w:color w:val="auto"/>
          <w:sz w:val="24"/>
          <w:szCs w:val="24"/>
          <w:lang w:val="en-US"/>
        </w:rPr>
        <w:t>3. Data Sources and Study Population</w:t>
      </w:r>
    </w:p>
    <w:p w:rsidR="750B8AA9" w:rsidP="7ABEB651" w:rsidRDefault="750B8AA9" w14:paraId="09CF0C87" w14:textId="2EF03DC7">
      <w:pPr>
        <w:pStyle w:val="Heading2"/>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1"/>
          <w:bCs w:val="1"/>
          <w:noProof w:val="0"/>
          <w:color w:val="auto"/>
          <w:sz w:val="24"/>
          <w:szCs w:val="24"/>
          <w:lang w:val="en-US"/>
        </w:rPr>
        <w:t>3.1 Studies Included</w:t>
      </w:r>
    </w:p>
    <w:p w:rsidR="750B8AA9" w:rsidP="7ABEB651" w:rsidRDefault="750B8AA9" w14:paraId="291CD13F" w14:textId="59C1E935">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The ISS integrates safety data from</w:t>
      </w:r>
      <w:r w:rsidRPr="7ABEB651" w:rsidR="564DBF9C">
        <w:rPr>
          <w:rFonts w:ascii="Calibri" w:hAnsi="Calibri" w:eastAsia="Calibri" w:cs="Calibri" w:asciiTheme="minorAscii" w:hAnsiTheme="minorAscii" w:eastAsiaTheme="minorAscii" w:cstheme="minorAscii"/>
          <w:b w:val="0"/>
          <w:bCs w:val="0"/>
          <w:i w:val="0"/>
          <w:iCs w:val="0"/>
          <w:noProof w:val="0"/>
          <w:color w:val="auto"/>
          <w:sz w:val="24"/>
          <w:szCs w:val="24"/>
          <w:lang w:val="en-US"/>
        </w:rPr>
        <w:t xml:space="preserve"> refer </w:t>
      </w:r>
      <w:r w:rsidRPr="7ABEB651" w:rsidR="564DBF9C">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US"/>
        </w:rPr>
        <w:t>CSR</w:t>
      </w:r>
    </w:p>
    <w:p w:rsidR="750B8AA9" w:rsidP="7ABEB651" w:rsidRDefault="750B8AA9" w14:paraId="48207AD0" w14:textId="50ADA77B">
      <w:pPr>
        <w:pStyle w:val="ListParagraph"/>
        <w:numPr>
          <w:ilvl w:val="0"/>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Phase II and Phase III clinical trials</w:t>
      </w:r>
    </w:p>
    <w:p w:rsidR="750B8AA9" w:rsidP="7ABEB651" w:rsidRDefault="750B8AA9" w14:paraId="3E2F6B90" w14:textId="28A1F40C">
      <w:pPr>
        <w:pStyle w:val="ListParagraph"/>
        <w:numPr>
          <w:ilvl w:val="0"/>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Key studies (e.g., LUX-Lung 3, LUX-Lung 6, LUX-Lung 7)</w:t>
      </w:r>
    </w:p>
    <w:p w:rsidR="750B8AA9" w:rsidP="7ABEB651" w:rsidRDefault="750B8AA9" w14:paraId="4E8998B3" w14:textId="7152F792">
      <w:pPr>
        <w:pStyle w:val="ListParagraph"/>
        <w:numPr>
          <w:ilvl w:val="0"/>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Supportive and extension studies</w:t>
      </w:r>
    </w:p>
    <w:p w:rsidR="750B8AA9" w:rsidP="7ABEB651" w:rsidRDefault="750B8AA9" w14:paraId="0CC22446" w14:textId="750D88AD">
      <w:pPr>
        <w:pStyle w:val="Heading2"/>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1"/>
          <w:bCs w:val="1"/>
          <w:noProof w:val="0"/>
          <w:color w:val="auto"/>
          <w:sz w:val="24"/>
          <w:szCs w:val="24"/>
          <w:lang w:val="en-US"/>
        </w:rPr>
        <w:t>3.2 Safety Population</w:t>
      </w:r>
    </w:p>
    <w:p w:rsidR="750B8AA9" w:rsidP="7ABEB651" w:rsidRDefault="750B8AA9" w14:paraId="665E75D8" w14:textId="47A436F9">
      <w:pPr>
        <w:pStyle w:val="ListParagraph"/>
        <w:numPr>
          <w:ilvl w:val="0"/>
          <w:numId w:val="3"/>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Defined as all patients who received at least one dose of afatinib</w:t>
      </w:r>
    </w:p>
    <w:p w:rsidR="750B8AA9" w:rsidP="7ABEB651" w:rsidRDefault="750B8AA9" w14:paraId="69E9CF51" w14:textId="76BE5F25">
      <w:pPr>
        <w:pStyle w:val="ListParagraph"/>
        <w:numPr>
          <w:ilvl w:val="0"/>
          <w:numId w:val="3"/>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Patients analyzed according to actual treatment received</w:t>
      </w:r>
      <w:r w:rsidRPr="7ABEB651" w:rsidR="6AEE81A2">
        <w:rPr>
          <w:rFonts w:ascii="Calibri" w:hAnsi="Calibri" w:eastAsia="Calibri" w:cs="Calibri" w:asciiTheme="minorAscii" w:hAnsiTheme="minorAscii" w:eastAsiaTheme="minorAscii" w:cstheme="minorAscii"/>
          <w:b w:val="0"/>
          <w:bCs w:val="0"/>
          <w:i w:val="0"/>
          <w:iCs w:val="0"/>
          <w:noProof w:val="0"/>
          <w:color w:val="auto"/>
          <w:sz w:val="24"/>
          <w:szCs w:val="24"/>
          <w:lang w:val="en-US"/>
        </w:rPr>
        <w:t xml:space="preserve"> </w:t>
      </w:r>
    </w:p>
    <w:p w:rsidR="750B8AA9" w:rsidP="7ABEB651" w:rsidRDefault="750B8AA9" w14:paraId="3E190A1B" w14:textId="52AA0C58">
      <w:pPr>
        <w:pStyle w:val="Heading2"/>
        <w:rPr>
          <w:rFonts w:ascii="Calibri" w:hAnsi="Calibri" w:eastAsia="Calibri" w:cs="Calibri" w:asciiTheme="minorAscii" w:hAnsiTheme="minorAscii" w:eastAsiaTheme="minorAscii" w:cstheme="minorAscii"/>
          <w:b w:val="1"/>
          <w:bCs w:val="1"/>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1"/>
          <w:bCs w:val="1"/>
          <w:noProof w:val="0"/>
          <w:color w:val="auto"/>
          <w:sz w:val="24"/>
          <w:szCs w:val="24"/>
          <w:lang w:val="en-US"/>
        </w:rPr>
        <w:t>3.3 Exposure</w:t>
      </w:r>
    </w:p>
    <w:p w:rsidR="750B8AA9" w:rsidP="7ABEB651" w:rsidRDefault="750B8AA9" w14:paraId="775FC556" w14:textId="62349A85">
      <w:pPr>
        <w:pStyle w:val="ListParagraph"/>
        <w:numPr>
          <w:ilvl w:val="0"/>
          <w:numId w:val="4"/>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Dosage range: Typically 40 mg orally once daily (adjustable based on tolerability)</w:t>
      </w:r>
    </w:p>
    <w:p w:rsidR="750B8AA9" w:rsidP="7ABEB651" w:rsidRDefault="750B8AA9" w14:paraId="56E9CB31" w14:textId="6F2A8970">
      <w:pPr>
        <w:pStyle w:val="ListParagraph"/>
        <w:numPr>
          <w:ilvl w:val="0"/>
          <w:numId w:val="4"/>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50B8AA9">
        <w:rPr>
          <w:rFonts w:ascii="Calibri" w:hAnsi="Calibri" w:eastAsia="Calibri" w:cs="Calibri" w:asciiTheme="minorAscii" w:hAnsiTheme="minorAscii" w:eastAsiaTheme="minorAscii" w:cstheme="minorAscii"/>
          <w:b w:val="0"/>
          <w:bCs w:val="0"/>
          <w:i w:val="0"/>
          <w:iCs w:val="0"/>
          <w:noProof w:val="0"/>
          <w:color w:val="auto"/>
          <w:sz w:val="24"/>
          <w:szCs w:val="24"/>
          <w:lang w:val="en-US"/>
        </w:rPr>
        <w:t>Duration: Variable across studies; includes short-term and long-term exposure</w:t>
      </w:r>
    </w:p>
    <w:p w:rsidR="7ABEB651" w:rsidP="7ABEB651" w:rsidRDefault="7ABEB651" w14:paraId="3208E935" w14:textId="7B9C8754">
      <w:pPr>
        <w:rPr>
          <w:color w:val="auto"/>
        </w:rPr>
      </w:pPr>
    </w:p>
    <w:p w:rsidR="2371675C" w:rsidP="7ABEB651" w:rsidRDefault="2371675C" w14:paraId="20333168" w14:textId="4E9B9A63">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2371675C">
        <w:rPr>
          <w:rFonts w:ascii="Calibri" w:hAnsi="Calibri" w:eastAsia="Calibri" w:cs="Calibri" w:asciiTheme="minorAscii" w:hAnsiTheme="minorAscii" w:eastAsiaTheme="minorAscii" w:cstheme="minorAscii"/>
          <w:b w:val="1"/>
          <w:bCs w:val="1"/>
          <w:noProof w:val="0"/>
          <w:color w:val="auto"/>
          <w:sz w:val="24"/>
          <w:szCs w:val="24"/>
          <w:lang w:val="en-US"/>
        </w:rPr>
        <w:t>4. Extent of Exposure (Detailed)</w:t>
      </w:r>
    </w:p>
    <w:p w:rsidR="2371675C" w:rsidP="7ABEB651" w:rsidRDefault="2371675C" w14:paraId="073EFFDE" w14:textId="5E2D4E0C">
      <w:pPr>
        <w:pStyle w:val="Heading2"/>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2371675C">
        <w:rPr>
          <w:rFonts w:ascii="Calibri" w:hAnsi="Calibri" w:eastAsia="Calibri" w:cs="Calibri" w:asciiTheme="minorAscii" w:hAnsiTheme="minorAscii" w:eastAsiaTheme="minorAscii" w:cstheme="minorAscii"/>
          <w:b w:val="1"/>
          <w:bCs w:val="1"/>
          <w:noProof w:val="0"/>
          <w:color w:val="auto"/>
          <w:sz w:val="24"/>
          <w:szCs w:val="24"/>
          <w:lang w:val="en-US"/>
        </w:rPr>
        <w:t>4.1 Duration Categories</w:t>
      </w:r>
    </w:p>
    <w:p w:rsidR="77FF928B" w:rsidP="7ABEB651" w:rsidRDefault="77FF928B" w14:paraId="5F35C7F8" w14:textId="5D2CD8F4">
      <w:pPr>
        <w:pStyle w:val="Normal"/>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US"/>
        </w:rPr>
      </w:pPr>
      <w:r w:rsidRPr="7ABEB651" w:rsidR="77FF928B">
        <w:rPr>
          <w:rFonts w:ascii="Calibri" w:hAnsi="Calibri" w:eastAsia="Calibri" w:cs="Calibri" w:asciiTheme="minorAscii" w:hAnsiTheme="minorAscii" w:eastAsiaTheme="minorAscii" w:cstheme="minorAscii"/>
          <w:b w:val="0"/>
          <w:bCs w:val="0"/>
          <w:noProof w:val="0"/>
          <w:color w:val="auto"/>
          <w:sz w:val="24"/>
          <w:szCs w:val="24"/>
          <w:lang w:val="en-US"/>
        </w:rPr>
        <w:t xml:space="preserve">Table 1 </w:t>
      </w:r>
      <w:r w:rsidRPr="7ABEB651" w:rsidR="77FF928B">
        <w:rPr>
          <w:rFonts w:ascii="Calibri" w:hAnsi="Calibri" w:eastAsia="Calibri" w:cs="Calibri" w:asciiTheme="minorAscii" w:hAnsiTheme="minorAscii" w:eastAsiaTheme="minorAscii" w:cstheme="minorAscii"/>
          <w:b w:val="0"/>
          <w:bCs w:val="0"/>
          <w:i w:val="0"/>
          <w:iCs w:val="0"/>
          <w:noProof w:val="0"/>
          <w:color w:val="auto"/>
          <w:sz w:val="24"/>
          <w:szCs w:val="24"/>
          <w:lang w:val="en-US"/>
        </w:rPr>
        <w:t>Percentage of Patients</w:t>
      </w:r>
    </w:p>
    <w:tbl>
      <w:tblPr>
        <w:tblStyle w:val="TableGrid"/>
        <w:tblW w:w="0" w:type="auto"/>
        <w:tblLook w:val="06A0" w:firstRow="1" w:lastRow="0" w:firstColumn="1" w:lastColumn="0" w:noHBand="1" w:noVBand="1"/>
      </w:tblPr>
      <w:tblGrid>
        <w:gridCol w:w="4680"/>
        <w:gridCol w:w="4680"/>
      </w:tblGrid>
      <w:tr w:rsidR="7ABEB651" w:rsidTr="7ABEB651" w14:paraId="1A9FABE0">
        <w:trPr>
          <w:trHeight w:val="300"/>
        </w:trPr>
        <w:tc>
          <w:tcPr>
            <w:tcW w:w="4680" w:type="dxa"/>
            <w:tcMar/>
          </w:tcPr>
          <w:p w:rsidR="77FF928B" w:rsidP="7ABEB651" w:rsidRDefault="77FF928B" w14:paraId="436CC3D3" w14:textId="25C9FB28">
            <w:pPr>
              <w:spacing w:line="300" w:lineRule="auto"/>
              <w:rPr>
                <w:rFonts w:ascii="Segoe UI" w:hAnsi="Segoe UI" w:eastAsia="Segoe UI" w:cs="Segoe UI"/>
                <w:b w:val="1"/>
                <w:bCs w:val="1"/>
                <w:i w:val="0"/>
                <w:iCs w:val="0"/>
                <w:noProof w:val="0"/>
                <w:color w:val="auto"/>
                <w:sz w:val="21"/>
                <w:szCs w:val="21"/>
                <w:lang w:val="en-US"/>
              </w:rPr>
            </w:pPr>
            <w:r w:rsidRPr="7ABEB651" w:rsidR="77FF928B">
              <w:rPr>
                <w:rFonts w:ascii="Segoe UI" w:hAnsi="Segoe UI" w:eastAsia="Segoe UI" w:cs="Segoe UI"/>
                <w:b w:val="1"/>
                <w:bCs w:val="1"/>
                <w:i w:val="0"/>
                <w:iCs w:val="0"/>
                <w:noProof w:val="0"/>
                <w:color w:val="auto"/>
                <w:sz w:val="21"/>
                <w:szCs w:val="21"/>
                <w:lang w:val="en-US"/>
              </w:rPr>
              <w:t>Duration Category</w:t>
            </w:r>
          </w:p>
          <w:p w:rsidR="7ABEB651" w:rsidP="7ABEB651" w:rsidRDefault="7ABEB651" w14:paraId="6E2EA9FE" w14:textId="62144982">
            <w:pPr>
              <w:pStyle w:val="Normal"/>
              <w:rPr>
                <w:b w:val="1"/>
                <w:bCs w:val="1"/>
                <w:noProof w:val="0"/>
                <w:color w:val="auto"/>
                <w:lang w:val="en-US"/>
              </w:rPr>
            </w:pPr>
          </w:p>
        </w:tc>
        <w:tc>
          <w:tcPr>
            <w:tcW w:w="4680" w:type="dxa"/>
            <w:tcMar/>
          </w:tcPr>
          <w:p w:rsidR="77FF928B" w:rsidP="7ABEB651" w:rsidRDefault="77FF928B" w14:paraId="539975D9" w14:textId="725DF6D7">
            <w:pPr>
              <w:spacing w:line="300" w:lineRule="auto"/>
              <w:rPr>
                <w:rFonts w:ascii="Segoe UI" w:hAnsi="Segoe UI" w:eastAsia="Segoe UI" w:cs="Segoe UI"/>
                <w:b w:val="1"/>
                <w:bCs w:val="1"/>
                <w:i w:val="0"/>
                <w:iCs w:val="0"/>
                <w:noProof w:val="0"/>
                <w:color w:val="auto"/>
                <w:sz w:val="21"/>
                <w:szCs w:val="21"/>
                <w:lang w:val="en-US"/>
              </w:rPr>
            </w:pPr>
            <w:r w:rsidRPr="7ABEB651" w:rsidR="77FF928B">
              <w:rPr>
                <w:rFonts w:ascii="Segoe UI" w:hAnsi="Segoe UI" w:eastAsia="Segoe UI" w:cs="Segoe UI"/>
                <w:b w:val="1"/>
                <w:bCs w:val="1"/>
                <w:i w:val="0"/>
                <w:iCs w:val="0"/>
                <w:noProof w:val="0"/>
                <w:color w:val="auto"/>
                <w:sz w:val="21"/>
                <w:szCs w:val="21"/>
                <w:lang w:val="en-US"/>
              </w:rPr>
              <w:t>Percentage of Patients</w:t>
            </w:r>
          </w:p>
          <w:p w:rsidR="7ABEB651" w:rsidP="7ABEB651" w:rsidRDefault="7ABEB651" w14:paraId="5DB4963A" w14:textId="0AE97954">
            <w:pPr>
              <w:pStyle w:val="Normal"/>
              <w:rPr>
                <w:noProof w:val="0"/>
                <w:color w:val="auto"/>
                <w:lang w:val="en-US"/>
              </w:rPr>
            </w:pPr>
          </w:p>
        </w:tc>
      </w:tr>
      <w:tr w:rsidR="7ABEB651" w:rsidTr="7ABEB651" w14:paraId="1D4B76C2">
        <w:trPr>
          <w:trHeight w:val="300"/>
        </w:trPr>
        <w:tc>
          <w:tcPr>
            <w:tcW w:w="4680" w:type="dxa"/>
            <w:tcMar/>
          </w:tcPr>
          <w:p w:rsidR="77FF928B" w:rsidP="7ABEB651" w:rsidRDefault="77FF928B" w14:paraId="152380F5" w14:textId="2AE7A31B">
            <w:pPr>
              <w:spacing w:line="300" w:lineRule="auto"/>
              <w:rPr>
                <w:rFonts w:ascii="Segoe UI" w:hAnsi="Segoe UI" w:eastAsia="Segoe UI" w:cs="Segoe UI"/>
                <w:b w:val="0"/>
                <w:bCs w:val="0"/>
                <w:i w:val="0"/>
                <w:iCs w:val="0"/>
                <w:noProof w:val="0"/>
                <w:color w:val="auto"/>
                <w:sz w:val="21"/>
                <w:szCs w:val="21"/>
                <w:lang w:val="en-US"/>
              </w:rPr>
            </w:pPr>
            <w:r w:rsidRPr="7ABEB651" w:rsidR="77FF928B">
              <w:rPr>
                <w:rFonts w:ascii="Segoe UI" w:hAnsi="Segoe UI" w:eastAsia="Segoe UI" w:cs="Segoe UI"/>
                <w:b w:val="0"/>
                <w:bCs w:val="0"/>
                <w:i w:val="0"/>
                <w:iCs w:val="0"/>
                <w:noProof w:val="0"/>
                <w:color w:val="auto"/>
                <w:sz w:val="21"/>
                <w:szCs w:val="21"/>
                <w:lang w:val="en-US"/>
              </w:rPr>
              <w:t>≥6 months</w:t>
            </w:r>
          </w:p>
        </w:tc>
        <w:tc>
          <w:tcPr>
            <w:tcW w:w="4680" w:type="dxa"/>
            <w:tcMar/>
          </w:tcPr>
          <w:p w:rsidR="77FF928B" w:rsidP="7ABEB651" w:rsidRDefault="77FF928B" w14:paraId="364622C5" w14:textId="54CFC67F">
            <w:pPr>
              <w:spacing w:line="300" w:lineRule="auto"/>
              <w:rPr>
                <w:rFonts w:ascii="Segoe UI" w:hAnsi="Segoe UI" w:eastAsia="Segoe UI" w:cs="Segoe UI"/>
                <w:b w:val="0"/>
                <w:bCs w:val="0"/>
                <w:i w:val="0"/>
                <w:iCs w:val="0"/>
                <w:noProof w:val="0"/>
                <w:color w:val="auto"/>
                <w:sz w:val="21"/>
                <w:szCs w:val="21"/>
                <w:lang w:val="en-US"/>
              </w:rPr>
            </w:pPr>
            <w:r w:rsidRPr="7ABEB651" w:rsidR="77FF928B">
              <w:rPr>
                <w:rFonts w:ascii="Segoe UI" w:hAnsi="Segoe UI" w:eastAsia="Segoe UI" w:cs="Segoe UI"/>
                <w:b w:val="0"/>
                <w:bCs w:val="0"/>
                <w:i w:val="0"/>
                <w:iCs w:val="0"/>
                <w:noProof w:val="0"/>
                <w:color w:val="auto"/>
                <w:sz w:val="21"/>
                <w:szCs w:val="21"/>
                <w:lang w:val="en-US"/>
              </w:rPr>
              <w:t>~65–75%</w:t>
            </w:r>
          </w:p>
          <w:p w:rsidR="7ABEB651" w:rsidP="7ABEB651" w:rsidRDefault="7ABEB651" w14:paraId="7EC23ACB" w14:textId="581EF9AE">
            <w:pPr>
              <w:pStyle w:val="Normal"/>
              <w:rPr>
                <w:noProof w:val="0"/>
                <w:color w:val="auto"/>
                <w:lang w:val="en-US"/>
              </w:rPr>
            </w:pPr>
          </w:p>
        </w:tc>
      </w:tr>
      <w:tr w:rsidR="7ABEB651" w:rsidTr="7ABEB651" w14:paraId="1041FBE2">
        <w:trPr>
          <w:trHeight w:val="300"/>
        </w:trPr>
        <w:tc>
          <w:tcPr>
            <w:tcW w:w="4680" w:type="dxa"/>
            <w:tcMar/>
          </w:tcPr>
          <w:p w:rsidR="77FF928B" w:rsidP="7ABEB651" w:rsidRDefault="77FF928B" w14:paraId="5B6ED60A" w14:textId="669E6680">
            <w:pPr>
              <w:spacing w:line="300" w:lineRule="auto"/>
              <w:rPr>
                <w:rFonts w:ascii="Segoe UI" w:hAnsi="Segoe UI" w:eastAsia="Segoe UI" w:cs="Segoe UI"/>
                <w:b w:val="0"/>
                <w:bCs w:val="0"/>
                <w:i w:val="0"/>
                <w:iCs w:val="0"/>
                <w:noProof w:val="0"/>
                <w:color w:val="auto"/>
                <w:sz w:val="21"/>
                <w:szCs w:val="21"/>
                <w:lang w:val="en-US"/>
              </w:rPr>
            </w:pPr>
            <w:r w:rsidRPr="7ABEB651" w:rsidR="77FF928B">
              <w:rPr>
                <w:rFonts w:ascii="Segoe UI" w:hAnsi="Segoe UI" w:eastAsia="Segoe UI" w:cs="Segoe UI"/>
                <w:b w:val="0"/>
                <w:bCs w:val="0"/>
                <w:i w:val="0"/>
                <w:iCs w:val="0"/>
                <w:noProof w:val="0"/>
                <w:color w:val="auto"/>
                <w:sz w:val="21"/>
                <w:szCs w:val="21"/>
                <w:lang w:val="en-US"/>
              </w:rPr>
              <w:t>≥12 months</w:t>
            </w:r>
          </w:p>
          <w:p w:rsidR="7ABEB651" w:rsidP="7ABEB651" w:rsidRDefault="7ABEB651" w14:paraId="184604A6" w14:textId="11936A0B">
            <w:pPr>
              <w:pStyle w:val="Normal"/>
              <w:rPr>
                <w:noProof w:val="0"/>
                <w:color w:val="auto"/>
                <w:lang w:val="en-US"/>
              </w:rPr>
            </w:pPr>
          </w:p>
        </w:tc>
        <w:tc>
          <w:tcPr>
            <w:tcW w:w="4680" w:type="dxa"/>
            <w:tcMar/>
          </w:tcPr>
          <w:p w:rsidR="77FF928B" w:rsidP="7ABEB651" w:rsidRDefault="77FF928B" w14:paraId="05EAB845" w14:textId="3C6F856C">
            <w:pPr>
              <w:spacing w:line="300" w:lineRule="auto"/>
              <w:rPr>
                <w:rFonts w:ascii="Segoe UI" w:hAnsi="Segoe UI" w:eastAsia="Segoe UI" w:cs="Segoe UI"/>
                <w:b w:val="0"/>
                <w:bCs w:val="0"/>
                <w:i w:val="0"/>
                <w:iCs w:val="0"/>
                <w:noProof w:val="0"/>
                <w:color w:val="auto"/>
                <w:sz w:val="21"/>
                <w:szCs w:val="21"/>
                <w:lang w:val="en-US"/>
              </w:rPr>
            </w:pPr>
            <w:r w:rsidRPr="7ABEB651" w:rsidR="77FF928B">
              <w:rPr>
                <w:rFonts w:ascii="Segoe UI" w:hAnsi="Segoe UI" w:eastAsia="Segoe UI" w:cs="Segoe UI"/>
                <w:b w:val="0"/>
                <w:bCs w:val="0"/>
                <w:i w:val="0"/>
                <w:iCs w:val="0"/>
                <w:noProof w:val="0"/>
                <w:color w:val="auto"/>
                <w:sz w:val="21"/>
                <w:szCs w:val="21"/>
                <w:lang w:val="en-US"/>
              </w:rPr>
              <w:t>~40–55%</w:t>
            </w:r>
          </w:p>
          <w:p w:rsidR="7ABEB651" w:rsidP="7ABEB651" w:rsidRDefault="7ABEB651" w14:paraId="6B51695C" w14:textId="33F087E6">
            <w:pPr>
              <w:pStyle w:val="Normal"/>
              <w:rPr>
                <w:noProof w:val="0"/>
                <w:color w:val="auto"/>
                <w:lang w:val="en-US"/>
              </w:rPr>
            </w:pPr>
          </w:p>
        </w:tc>
      </w:tr>
      <w:tr w:rsidR="7ABEB651" w:rsidTr="7ABEB651" w14:paraId="7F776AA6">
        <w:trPr>
          <w:trHeight w:val="300"/>
        </w:trPr>
        <w:tc>
          <w:tcPr>
            <w:tcW w:w="4680" w:type="dxa"/>
            <w:tcMar/>
          </w:tcPr>
          <w:p w:rsidR="77FF928B" w:rsidP="7ABEB651" w:rsidRDefault="77FF928B" w14:paraId="724951FA" w14:textId="2D9B96CB">
            <w:pPr>
              <w:spacing w:line="300" w:lineRule="auto"/>
              <w:rPr>
                <w:rFonts w:ascii="Segoe UI" w:hAnsi="Segoe UI" w:eastAsia="Segoe UI" w:cs="Segoe UI"/>
                <w:b w:val="0"/>
                <w:bCs w:val="0"/>
                <w:i w:val="0"/>
                <w:iCs w:val="0"/>
                <w:noProof w:val="0"/>
                <w:color w:val="auto"/>
                <w:sz w:val="21"/>
                <w:szCs w:val="21"/>
                <w:lang w:val="en-US"/>
              </w:rPr>
            </w:pPr>
            <w:r w:rsidRPr="7ABEB651" w:rsidR="77FF928B">
              <w:rPr>
                <w:rFonts w:ascii="Segoe UI" w:hAnsi="Segoe UI" w:eastAsia="Segoe UI" w:cs="Segoe UI"/>
                <w:b w:val="0"/>
                <w:bCs w:val="0"/>
                <w:i w:val="0"/>
                <w:iCs w:val="0"/>
                <w:noProof w:val="0"/>
                <w:color w:val="auto"/>
                <w:sz w:val="21"/>
                <w:szCs w:val="21"/>
                <w:lang w:val="en-US"/>
              </w:rPr>
              <w:t>≥24 months</w:t>
            </w:r>
          </w:p>
          <w:p w:rsidR="7ABEB651" w:rsidP="7ABEB651" w:rsidRDefault="7ABEB651" w14:paraId="6C2E1742" w14:textId="7F928F08">
            <w:pPr>
              <w:pStyle w:val="Normal"/>
              <w:rPr>
                <w:noProof w:val="0"/>
                <w:color w:val="auto"/>
                <w:lang w:val="en-US"/>
              </w:rPr>
            </w:pPr>
          </w:p>
        </w:tc>
        <w:tc>
          <w:tcPr>
            <w:tcW w:w="4680" w:type="dxa"/>
            <w:tcMar/>
          </w:tcPr>
          <w:p w:rsidR="77FF928B" w:rsidP="7ABEB651" w:rsidRDefault="77FF928B" w14:paraId="40BE2F61" w14:textId="45136D21">
            <w:pPr>
              <w:spacing w:line="300" w:lineRule="auto"/>
              <w:rPr>
                <w:rFonts w:ascii="Segoe UI" w:hAnsi="Segoe UI" w:eastAsia="Segoe UI" w:cs="Segoe UI"/>
                <w:b w:val="0"/>
                <w:bCs w:val="0"/>
                <w:i w:val="0"/>
                <w:iCs w:val="0"/>
                <w:noProof w:val="0"/>
                <w:color w:val="auto"/>
                <w:sz w:val="21"/>
                <w:szCs w:val="21"/>
                <w:lang w:val="en-US"/>
              </w:rPr>
            </w:pPr>
            <w:r w:rsidRPr="7ABEB651" w:rsidR="77FF928B">
              <w:rPr>
                <w:rFonts w:ascii="Segoe UI" w:hAnsi="Segoe UI" w:eastAsia="Segoe UI" w:cs="Segoe UI"/>
                <w:b w:val="0"/>
                <w:bCs w:val="0"/>
                <w:i w:val="0"/>
                <w:iCs w:val="0"/>
                <w:noProof w:val="0"/>
                <w:color w:val="auto"/>
                <w:sz w:val="21"/>
                <w:szCs w:val="21"/>
                <w:lang w:val="en-US"/>
              </w:rPr>
              <w:t>~15–25%</w:t>
            </w:r>
          </w:p>
          <w:p w:rsidR="7ABEB651" w:rsidP="7ABEB651" w:rsidRDefault="7ABEB651" w14:paraId="022CBBFE" w14:textId="2CE9168C">
            <w:pPr>
              <w:pStyle w:val="Normal"/>
              <w:rPr>
                <w:noProof w:val="0"/>
                <w:color w:val="auto"/>
                <w:lang w:val="en-US"/>
              </w:rPr>
            </w:pPr>
          </w:p>
        </w:tc>
      </w:tr>
    </w:tbl>
    <w:p w:rsidR="7ABEB651" w:rsidP="7ABEB651" w:rsidRDefault="7ABEB651" w14:paraId="4B1FC85D" w14:textId="748BE4C4">
      <w:pPr>
        <w:pStyle w:val="Normal"/>
        <w:rPr>
          <w:noProof w:val="0"/>
          <w:color w:val="auto"/>
          <w:lang w:val="en-US"/>
        </w:rPr>
      </w:pPr>
    </w:p>
    <w:p w:rsidR="70D54EFC" w:rsidP="7ABEB651" w:rsidRDefault="70D54EFC" w14:paraId="3D1FB0E7" w14:textId="5EDF2330">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70D54EFC">
        <w:rPr>
          <w:rFonts w:ascii="Calibri" w:hAnsi="Calibri" w:eastAsia="Calibri" w:cs="Calibri" w:asciiTheme="minorAscii" w:hAnsiTheme="minorAscii" w:eastAsiaTheme="minorAscii" w:cstheme="minorAscii"/>
          <w:b w:val="1"/>
          <w:bCs w:val="1"/>
          <w:noProof w:val="0"/>
          <w:color w:val="auto"/>
          <w:sz w:val="24"/>
          <w:szCs w:val="24"/>
          <w:lang w:val="en-US"/>
        </w:rPr>
        <w:t>5 Integrated Summary of Safety (ISS) for Afatinib</w:t>
      </w:r>
    </w:p>
    <w:p w:rsidR="7ABEB651" w:rsidP="7ABEB651" w:rsidRDefault="7ABEB651" w14:paraId="6129917E" w14:textId="7B664FDC">
      <w:pPr>
        <w:pStyle w:val="Normal"/>
        <w:rPr>
          <w:noProof w:val="0"/>
          <w:color w:val="auto"/>
          <w:lang w:val="en-US"/>
        </w:rPr>
      </w:pPr>
    </w:p>
    <w:p w:rsidR="70D54EFC" w:rsidP="7ABEB651" w:rsidRDefault="70D54EFC" w14:paraId="6E034C24" w14:textId="57D1D18B">
      <w:pPr>
        <w:spacing w:line="300" w:lineRule="auto"/>
        <w:rPr>
          <w:rFonts w:ascii="Segoe UI" w:hAnsi="Segoe UI" w:eastAsia="Segoe UI" w:cs="Segoe UI"/>
          <w:b w:val="0"/>
          <w:bCs w:val="0"/>
          <w:i w:val="0"/>
          <w:iCs w:val="0"/>
          <w:noProof w:val="0"/>
          <w:color w:val="auto"/>
          <w:sz w:val="21"/>
          <w:szCs w:val="21"/>
          <w:lang w:val="en-US"/>
        </w:rPr>
      </w:pPr>
      <w:r w:rsidRPr="7ABEB651" w:rsidR="70D54EFC">
        <w:rPr>
          <w:rFonts w:ascii="Segoe UI" w:hAnsi="Segoe UI" w:eastAsia="Segoe UI" w:cs="Segoe UI"/>
          <w:b w:val="0"/>
          <w:bCs w:val="0"/>
          <w:i w:val="0"/>
          <w:iCs w:val="0"/>
          <w:noProof w:val="0"/>
          <w:color w:val="auto"/>
          <w:sz w:val="21"/>
          <w:szCs w:val="21"/>
          <w:lang w:val="en-US"/>
        </w:rPr>
        <w:t>Afatinib demonstrates a predictable and manageable safety profile consistent with its mechanism as an irreversible EGFR/</w:t>
      </w:r>
      <w:r w:rsidRPr="7ABEB651" w:rsidR="70D54EFC">
        <w:rPr>
          <w:rFonts w:ascii="Segoe UI" w:hAnsi="Segoe UI" w:eastAsia="Segoe UI" w:cs="Segoe UI"/>
          <w:b w:val="0"/>
          <w:bCs w:val="0"/>
          <w:i w:val="0"/>
          <w:iCs w:val="0"/>
          <w:noProof w:val="0"/>
          <w:color w:val="auto"/>
          <w:sz w:val="21"/>
          <w:szCs w:val="21"/>
          <w:lang w:val="en-US"/>
        </w:rPr>
        <w:t>ErbB</w:t>
      </w:r>
      <w:r w:rsidRPr="7ABEB651" w:rsidR="70D54EFC">
        <w:rPr>
          <w:rFonts w:ascii="Segoe UI" w:hAnsi="Segoe UI" w:eastAsia="Segoe UI" w:cs="Segoe UI"/>
          <w:b w:val="0"/>
          <w:bCs w:val="0"/>
          <w:i w:val="0"/>
          <w:iCs w:val="0"/>
          <w:noProof w:val="0"/>
          <w:color w:val="auto"/>
          <w:sz w:val="21"/>
          <w:szCs w:val="21"/>
          <w:lang w:val="en-US"/>
        </w:rPr>
        <w:t xml:space="preserve"> family inhibitor. Across pooled clinical studies, </w:t>
      </w:r>
      <w:r w:rsidRPr="7ABEB651" w:rsidR="70D54EFC">
        <w:rPr>
          <w:rFonts w:ascii="Segoe UI" w:hAnsi="Segoe UI" w:eastAsia="Segoe UI" w:cs="Segoe UI"/>
          <w:b w:val="0"/>
          <w:bCs w:val="0"/>
          <w:i w:val="0"/>
          <w:iCs w:val="0"/>
          <w:noProof w:val="0"/>
          <w:color w:val="auto"/>
          <w:sz w:val="21"/>
          <w:szCs w:val="21"/>
          <w:lang w:val="en-US"/>
        </w:rPr>
        <w:t>the majority of</w:t>
      </w:r>
      <w:r w:rsidRPr="7ABEB651" w:rsidR="70D54EFC">
        <w:rPr>
          <w:rFonts w:ascii="Segoe UI" w:hAnsi="Segoe UI" w:eastAsia="Segoe UI" w:cs="Segoe UI"/>
          <w:b w:val="0"/>
          <w:bCs w:val="0"/>
          <w:i w:val="0"/>
          <w:iCs w:val="0"/>
          <w:noProof w:val="0"/>
          <w:color w:val="auto"/>
          <w:sz w:val="21"/>
          <w:szCs w:val="21"/>
          <w:lang w:val="en-US"/>
        </w:rPr>
        <w:t xml:space="preserve"> patients experienced at least one adverse event, with gastrointestinal and dermatologic toxicities being the most </w:t>
      </w:r>
      <w:r w:rsidRPr="7ABEB651" w:rsidR="70D54EFC">
        <w:rPr>
          <w:rFonts w:ascii="Segoe UI" w:hAnsi="Segoe UI" w:eastAsia="Segoe UI" w:cs="Segoe UI"/>
          <w:b w:val="0"/>
          <w:bCs w:val="0"/>
          <w:i w:val="0"/>
          <w:iCs w:val="0"/>
          <w:noProof w:val="0"/>
          <w:color w:val="auto"/>
          <w:sz w:val="21"/>
          <w:szCs w:val="21"/>
          <w:lang w:val="en-US"/>
        </w:rPr>
        <w:t>common</w:t>
      </w:r>
      <w:r w:rsidRPr="7ABEB651" w:rsidR="27DE73CA">
        <w:rPr>
          <w:rFonts w:ascii="Segoe UI" w:hAnsi="Segoe UI" w:eastAsia="Segoe UI" w:cs="Segoe UI"/>
          <w:b w:val="0"/>
          <w:bCs w:val="0"/>
          <w:i w:val="0"/>
          <w:iCs w:val="0"/>
          <w:noProof w:val="0"/>
          <w:color w:val="auto"/>
          <w:sz w:val="21"/>
          <w:szCs w:val="21"/>
          <w:lang w:val="en-US"/>
        </w:rPr>
        <w:t xml:space="preserve"> mentioned</w:t>
      </w:r>
      <w:r w:rsidRPr="7ABEB651" w:rsidR="27DE73CA">
        <w:rPr>
          <w:rFonts w:ascii="Segoe UI" w:hAnsi="Segoe UI" w:eastAsia="Segoe UI" w:cs="Segoe UI"/>
          <w:b w:val="0"/>
          <w:bCs w:val="0"/>
          <w:i w:val="0"/>
          <w:iCs w:val="0"/>
          <w:noProof w:val="0"/>
          <w:color w:val="auto"/>
          <w:sz w:val="21"/>
          <w:szCs w:val="21"/>
          <w:lang w:val="en-US"/>
        </w:rPr>
        <w:t xml:space="preserve"> in </w:t>
      </w:r>
      <w:r w:rsidRPr="7ABEB651" w:rsidR="27DE73CA">
        <w:rPr>
          <w:rFonts w:ascii="Segoe UI" w:hAnsi="Segoe UI" w:eastAsia="Segoe UI" w:cs="Segoe UI"/>
          <w:b w:val="0"/>
          <w:bCs w:val="0"/>
          <w:i w:val="0"/>
          <w:iCs w:val="0"/>
          <w:noProof w:val="0"/>
          <w:color w:val="auto"/>
          <w:sz w:val="21"/>
          <w:szCs w:val="21"/>
          <w:lang w:val="en-US"/>
        </w:rPr>
        <w:t xml:space="preserve">the </w:t>
      </w:r>
      <w:r w:rsidRPr="7ABEB651" w:rsidR="27DE73CA">
        <w:rPr>
          <w:rFonts w:ascii="Segoe UI" w:hAnsi="Segoe UI" w:eastAsia="Segoe UI" w:cs="Segoe UI"/>
          <w:b w:val="0"/>
          <w:bCs w:val="0"/>
          <w:i w:val="0"/>
          <w:iCs w:val="0"/>
          <w:noProof w:val="0"/>
          <w:color w:val="auto"/>
          <w:sz w:val="21"/>
          <w:szCs w:val="21"/>
          <w:highlight w:val="yellow"/>
          <w:lang w:val="en-US"/>
        </w:rPr>
        <w:t>section</w:t>
      </w:r>
      <w:r w:rsidRPr="7ABEB651" w:rsidR="27DE73CA">
        <w:rPr>
          <w:rFonts w:ascii="Segoe UI" w:hAnsi="Segoe UI" w:eastAsia="Segoe UI" w:cs="Segoe UI"/>
          <w:b w:val="0"/>
          <w:bCs w:val="0"/>
          <w:i w:val="0"/>
          <w:iCs w:val="0"/>
          <w:noProof w:val="0"/>
          <w:color w:val="auto"/>
          <w:sz w:val="21"/>
          <w:szCs w:val="21"/>
          <w:highlight w:val="yellow"/>
          <w:lang w:val="en-US"/>
        </w:rPr>
        <w:t xml:space="preserve"> 1</w:t>
      </w:r>
      <w:r w:rsidRPr="7ABEB651" w:rsidR="70D54EFC">
        <w:rPr>
          <w:rFonts w:ascii="Segoe UI" w:hAnsi="Segoe UI" w:eastAsia="Segoe UI" w:cs="Segoe UI"/>
          <w:b w:val="0"/>
          <w:bCs w:val="0"/>
          <w:i w:val="0"/>
          <w:iCs w:val="0"/>
          <w:noProof w:val="0"/>
          <w:color w:val="auto"/>
          <w:sz w:val="21"/>
          <w:szCs w:val="21"/>
          <w:lang w:val="en-US"/>
        </w:rPr>
        <w:t xml:space="preserve">. Diarrhea, rash/acneiform dermatitis, stomatitis, and paronychia were </w:t>
      </w:r>
      <w:r w:rsidRPr="7ABEB651" w:rsidR="70D54EFC">
        <w:rPr>
          <w:rFonts w:ascii="Segoe UI" w:hAnsi="Segoe UI" w:eastAsia="Segoe UI" w:cs="Segoe UI"/>
          <w:b w:val="0"/>
          <w:bCs w:val="0"/>
          <w:i w:val="0"/>
          <w:iCs w:val="0"/>
          <w:noProof w:val="0"/>
          <w:color w:val="auto"/>
          <w:sz w:val="21"/>
          <w:szCs w:val="21"/>
          <w:lang w:val="en-US"/>
        </w:rPr>
        <w:t>frequently</w:t>
      </w:r>
      <w:r w:rsidRPr="7ABEB651" w:rsidR="70D54EFC">
        <w:rPr>
          <w:rFonts w:ascii="Segoe UI" w:hAnsi="Segoe UI" w:eastAsia="Segoe UI" w:cs="Segoe UI"/>
          <w:b w:val="0"/>
          <w:bCs w:val="0"/>
          <w:i w:val="0"/>
          <w:iCs w:val="0"/>
          <w:noProof w:val="0"/>
          <w:color w:val="auto"/>
          <w:sz w:val="21"/>
          <w:szCs w:val="21"/>
          <w:lang w:val="en-US"/>
        </w:rPr>
        <w:t xml:space="preserve"> reported, typically occurring early in treatment, particularly within the first few weeks. Most adverse events were mild to moderate (Grade 1–2) and could be effectively managed through supportive care and dose modifications, although Grade ≥3 events such as severe diarrhea and rash were </w:t>
      </w:r>
      <w:r w:rsidRPr="7ABEB651" w:rsidR="70D54EFC">
        <w:rPr>
          <w:rFonts w:ascii="Segoe UI" w:hAnsi="Segoe UI" w:eastAsia="Segoe UI" w:cs="Segoe UI"/>
          <w:b w:val="0"/>
          <w:bCs w:val="0"/>
          <w:i w:val="0"/>
          <w:iCs w:val="0"/>
          <w:noProof w:val="0"/>
          <w:color w:val="auto"/>
          <w:sz w:val="21"/>
          <w:szCs w:val="21"/>
          <w:lang w:val="en-US"/>
        </w:rPr>
        <w:t>observed</w:t>
      </w:r>
      <w:r w:rsidRPr="7ABEB651" w:rsidR="70D54EFC">
        <w:rPr>
          <w:rFonts w:ascii="Segoe UI" w:hAnsi="Segoe UI" w:eastAsia="Segoe UI" w:cs="Segoe UI"/>
          <w:b w:val="0"/>
          <w:bCs w:val="0"/>
          <w:i w:val="0"/>
          <w:iCs w:val="0"/>
          <w:noProof w:val="0"/>
          <w:color w:val="auto"/>
          <w:sz w:val="21"/>
          <w:szCs w:val="21"/>
          <w:lang w:val="en-US"/>
        </w:rPr>
        <w:t xml:space="preserve"> in a subset of patients. Serious adverse events occurred in a smaller proportion and included severe diarrhea-related complications and rare cases of interstitial lung disease (ILD), which </w:t>
      </w:r>
      <w:r w:rsidRPr="7ABEB651" w:rsidR="70D54EFC">
        <w:rPr>
          <w:rFonts w:ascii="Segoe UI" w:hAnsi="Segoe UI" w:eastAsia="Segoe UI" w:cs="Segoe UI"/>
          <w:b w:val="0"/>
          <w:bCs w:val="0"/>
          <w:i w:val="0"/>
          <w:iCs w:val="0"/>
          <w:noProof w:val="0"/>
          <w:color w:val="auto"/>
          <w:sz w:val="21"/>
          <w:szCs w:val="21"/>
          <w:lang w:val="en-US"/>
        </w:rPr>
        <w:t>represents</w:t>
      </w:r>
      <w:r w:rsidRPr="7ABEB651" w:rsidR="70D54EFC">
        <w:rPr>
          <w:rFonts w:ascii="Segoe UI" w:hAnsi="Segoe UI" w:eastAsia="Segoe UI" w:cs="Segoe UI"/>
          <w:b w:val="0"/>
          <w:bCs w:val="0"/>
          <w:i w:val="0"/>
          <w:iCs w:val="0"/>
          <w:noProof w:val="0"/>
          <w:color w:val="auto"/>
          <w:sz w:val="21"/>
          <w:szCs w:val="21"/>
          <w:lang w:val="en-US"/>
        </w:rPr>
        <w:t xml:space="preserve"> an </w:t>
      </w:r>
      <w:r w:rsidRPr="7ABEB651" w:rsidR="70D54EFC">
        <w:rPr>
          <w:rFonts w:ascii="Segoe UI" w:hAnsi="Segoe UI" w:eastAsia="Segoe UI" w:cs="Segoe UI"/>
          <w:b w:val="0"/>
          <w:bCs w:val="0"/>
          <w:i w:val="0"/>
          <w:iCs w:val="0"/>
          <w:noProof w:val="0"/>
          <w:color w:val="auto"/>
          <w:sz w:val="21"/>
          <w:szCs w:val="21"/>
          <w:lang w:val="en-US"/>
        </w:rPr>
        <w:t>important identified</w:t>
      </w:r>
      <w:r w:rsidRPr="7ABEB651" w:rsidR="70D54EFC">
        <w:rPr>
          <w:rFonts w:ascii="Segoe UI" w:hAnsi="Segoe UI" w:eastAsia="Segoe UI" w:cs="Segoe UI"/>
          <w:b w:val="0"/>
          <w:bCs w:val="0"/>
          <w:i w:val="0"/>
          <w:iCs w:val="0"/>
          <w:noProof w:val="0"/>
          <w:color w:val="auto"/>
          <w:sz w:val="21"/>
          <w:szCs w:val="21"/>
          <w:lang w:val="en-US"/>
        </w:rPr>
        <w:t xml:space="preserve"> risk requiring prompt recognition and discontinuation</w:t>
      </w:r>
      <w:r w:rsidRPr="7ABEB651" w:rsidR="48A26CD3">
        <w:rPr>
          <w:rFonts w:ascii="Segoe UI" w:hAnsi="Segoe UI" w:eastAsia="Segoe UI" w:cs="Segoe UI"/>
          <w:b w:val="0"/>
          <w:bCs w:val="0"/>
          <w:i w:val="0"/>
          <w:iCs w:val="0"/>
          <w:noProof w:val="0"/>
          <w:color w:val="auto"/>
          <w:sz w:val="21"/>
          <w:szCs w:val="21"/>
          <w:lang w:val="en-US"/>
        </w:rPr>
        <w:t xml:space="preserve"> refer </w:t>
      </w:r>
      <w:r w:rsidRPr="7ABEB651" w:rsidR="48A26CD3">
        <w:rPr>
          <w:rFonts w:ascii="Segoe UI" w:hAnsi="Segoe UI" w:eastAsia="Segoe UI" w:cs="Segoe UI"/>
          <w:b w:val="0"/>
          <w:bCs w:val="0"/>
          <w:i w:val="0"/>
          <w:iCs w:val="0"/>
          <w:noProof w:val="0"/>
          <w:color w:val="auto"/>
          <w:sz w:val="21"/>
          <w:szCs w:val="21"/>
          <w:highlight w:val="yellow"/>
          <w:lang w:val="en-US"/>
        </w:rPr>
        <w:t>Clinical summary and ISE.</w:t>
      </w:r>
    </w:p>
    <w:p w:rsidR="7ABEB651" w:rsidP="7ABEB651" w:rsidRDefault="7ABEB651" w14:paraId="41B77D04" w14:textId="117CFF54">
      <w:pPr>
        <w:pStyle w:val="Normal"/>
        <w:rPr>
          <w:noProof w:val="0"/>
          <w:color w:val="auto"/>
          <w:lang w:val="en-US"/>
        </w:rPr>
      </w:pPr>
    </w:p>
    <w:p w:rsidR="7ABEB651" w:rsidP="7ABEB651" w:rsidRDefault="7ABEB651" w14:paraId="13F2EB6B" w14:textId="0391C802">
      <w:pPr>
        <w:pStyle w:val="Normal"/>
        <w:rPr>
          <w:noProof w:val="0"/>
          <w:color w:val="auto"/>
          <w:lang w:val="en-US"/>
        </w:rPr>
      </w:pPr>
    </w:p>
    <w:p w:rsidR="7ABEB651" w:rsidP="7ABEB651" w:rsidRDefault="7ABEB651" w14:paraId="5B87B733" w14:textId="1C401394">
      <w:pPr>
        <w:pStyle w:val="Normal"/>
        <w:rPr>
          <w:noProof w:val="0"/>
          <w:color w:val="auto"/>
          <w:lang w:val="en-US"/>
        </w:rPr>
      </w:pPr>
    </w:p>
    <w:p w:rsidR="7ABEB651" w:rsidP="7ABEB651" w:rsidRDefault="7ABEB651" w14:paraId="43B0C1E7" w14:textId="48F20DC3">
      <w:pPr>
        <w:pStyle w:val="Normal"/>
        <w:rPr>
          <w:noProof w:val="0"/>
          <w:color w:val="auto"/>
          <w:lang w:val="en-US"/>
        </w:rPr>
      </w:pPr>
    </w:p>
    <w:p w:rsidR="7ABEB651" w:rsidP="7ABEB651" w:rsidRDefault="7ABEB651" w14:paraId="54952BED" w14:textId="15864FDC">
      <w:pPr>
        <w:pStyle w:val="Normal"/>
        <w:rPr>
          <w:noProof w:val="0"/>
          <w:color w:val="auto"/>
          <w:lang w:val="en-US"/>
        </w:rPr>
      </w:pPr>
    </w:p>
    <w:p w:rsidR="7ABEB651" w:rsidP="7ABEB651" w:rsidRDefault="7ABEB651" w14:paraId="35C4F9EA" w14:textId="7D9EA317">
      <w:pPr>
        <w:pStyle w:val="Normal"/>
        <w:rPr>
          <w:noProof w:val="0"/>
          <w:color w:val="auto"/>
          <w:lang w:val="en-US"/>
        </w:rPr>
      </w:pPr>
    </w:p>
    <w:p w:rsidR="7ABEB651" w:rsidP="7ABEB651" w:rsidRDefault="7ABEB651" w14:paraId="1D621966" w14:textId="4CE91E26">
      <w:pPr>
        <w:pStyle w:val="Normal"/>
        <w:rPr>
          <w:noProof w:val="0"/>
          <w:color w:val="auto"/>
          <w:lang w:val="en-US"/>
        </w:rPr>
      </w:pPr>
    </w:p>
    <w:p w:rsidR="70D54EFC" w:rsidP="7ABEB651" w:rsidRDefault="70D54EFC" w14:paraId="46B82ACF" w14:textId="71F0F869">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70D54EFC">
        <w:rPr>
          <w:rFonts w:ascii="Calibri" w:hAnsi="Calibri" w:eastAsia="Calibri" w:cs="Calibri" w:asciiTheme="minorAscii" w:hAnsiTheme="minorAscii" w:eastAsiaTheme="minorAscii" w:cstheme="minorAscii"/>
          <w:b w:val="1"/>
          <w:bCs w:val="1"/>
          <w:noProof w:val="0"/>
          <w:color w:val="auto"/>
          <w:sz w:val="24"/>
          <w:szCs w:val="24"/>
          <w:lang w:val="en-US"/>
        </w:rPr>
        <w:t>6 The impact of dose modification for afatinib</w:t>
      </w:r>
    </w:p>
    <w:p w:rsidR="7ABEB651" w:rsidP="7ABEB651" w:rsidRDefault="7ABEB651" w14:paraId="51C682D9" w14:textId="5EF8AAFB">
      <w:pPr>
        <w:pStyle w:val="Normal"/>
        <w:rPr>
          <w:noProof w:val="0"/>
          <w:color w:val="auto"/>
          <w:lang w:val="en-US"/>
        </w:rPr>
      </w:pPr>
    </w:p>
    <w:p w:rsidR="70D54EFC" w:rsidP="7ABEB651" w:rsidRDefault="70D54EFC" w14:paraId="07064AD7" w14:textId="3421F392">
      <w:pPr>
        <w:spacing w:line="300" w:lineRule="auto"/>
        <w:rPr>
          <w:rFonts w:ascii="Segoe UI" w:hAnsi="Segoe UI" w:eastAsia="Segoe UI" w:cs="Segoe UI"/>
          <w:b w:val="0"/>
          <w:bCs w:val="0"/>
          <w:i w:val="0"/>
          <w:iCs w:val="0"/>
          <w:noProof w:val="0"/>
          <w:color w:val="auto"/>
          <w:sz w:val="21"/>
          <w:szCs w:val="21"/>
          <w:lang w:val="en-US"/>
        </w:rPr>
      </w:pPr>
      <w:r w:rsidRPr="7ABEB651" w:rsidR="70D54EFC">
        <w:rPr>
          <w:rFonts w:ascii="Segoe UI" w:hAnsi="Segoe UI" w:eastAsia="Segoe UI" w:cs="Segoe UI"/>
          <w:b w:val="0"/>
          <w:bCs w:val="0"/>
          <w:i w:val="0"/>
          <w:iCs w:val="0"/>
          <w:noProof w:val="0"/>
          <w:color w:val="auto"/>
          <w:sz w:val="21"/>
          <w:szCs w:val="21"/>
          <w:lang w:val="en-US"/>
        </w:rPr>
        <w:t xml:space="preserve">Dose modification plays a critical role in </w:t>
      </w:r>
      <w:r w:rsidRPr="7ABEB651" w:rsidR="70D54EFC">
        <w:rPr>
          <w:rFonts w:ascii="Segoe UI" w:hAnsi="Segoe UI" w:eastAsia="Segoe UI" w:cs="Segoe UI"/>
          <w:b w:val="0"/>
          <w:bCs w:val="0"/>
          <w:i w:val="0"/>
          <w:iCs w:val="0"/>
          <w:noProof w:val="0"/>
          <w:color w:val="auto"/>
          <w:sz w:val="21"/>
          <w:szCs w:val="21"/>
          <w:lang w:val="en-US"/>
        </w:rPr>
        <w:t>optimizing</w:t>
      </w:r>
      <w:r w:rsidRPr="7ABEB651" w:rsidR="70D54EFC">
        <w:rPr>
          <w:rFonts w:ascii="Segoe UI" w:hAnsi="Segoe UI" w:eastAsia="Segoe UI" w:cs="Segoe UI"/>
          <w:b w:val="0"/>
          <w:bCs w:val="0"/>
          <w:i w:val="0"/>
          <w:iCs w:val="0"/>
          <w:noProof w:val="0"/>
          <w:color w:val="auto"/>
          <w:sz w:val="21"/>
          <w:szCs w:val="21"/>
          <w:lang w:val="en-US"/>
        </w:rPr>
        <w:t xml:space="preserve"> the safety and tolerability of afatinib without compromising its clinical efficacy. Across integrated analyses of clinical trials, dose reductions (typically from </w:t>
      </w:r>
      <w:r w:rsidRPr="7ABEB651" w:rsidR="70D54EFC">
        <w:rPr>
          <w:rFonts w:ascii="Segoe UI" w:hAnsi="Segoe UI" w:eastAsia="Segoe UI" w:cs="Segoe UI"/>
          <w:b w:val="0"/>
          <w:bCs w:val="0"/>
          <w:i w:val="0"/>
          <w:iCs w:val="0"/>
          <w:noProof w:val="0"/>
          <w:color w:val="auto"/>
          <w:sz w:val="21"/>
          <w:szCs w:val="21"/>
          <w:lang w:val="en-US"/>
        </w:rPr>
        <w:t>40 mg</w:t>
      </w:r>
      <w:r w:rsidRPr="7ABEB651" w:rsidR="70D54EFC">
        <w:rPr>
          <w:rFonts w:ascii="Segoe UI" w:hAnsi="Segoe UI" w:eastAsia="Segoe UI" w:cs="Segoe UI"/>
          <w:b w:val="0"/>
          <w:bCs w:val="0"/>
          <w:i w:val="0"/>
          <w:iCs w:val="0"/>
          <w:noProof w:val="0"/>
          <w:color w:val="auto"/>
          <w:sz w:val="21"/>
          <w:szCs w:val="21"/>
          <w:lang w:val="en-US"/>
        </w:rPr>
        <w:t xml:space="preserve"> to </w:t>
      </w:r>
      <w:r w:rsidRPr="7ABEB651" w:rsidR="70D54EFC">
        <w:rPr>
          <w:rFonts w:ascii="Segoe UI" w:hAnsi="Segoe UI" w:eastAsia="Segoe UI" w:cs="Segoe UI"/>
          <w:b w:val="0"/>
          <w:bCs w:val="0"/>
          <w:i w:val="0"/>
          <w:iCs w:val="0"/>
          <w:noProof w:val="0"/>
          <w:color w:val="auto"/>
          <w:sz w:val="21"/>
          <w:szCs w:val="21"/>
          <w:lang w:val="en-US"/>
        </w:rPr>
        <w:t>30 mg</w:t>
      </w:r>
      <w:r w:rsidRPr="7ABEB651" w:rsidR="70D54EFC">
        <w:rPr>
          <w:rFonts w:ascii="Segoe UI" w:hAnsi="Segoe UI" w:eastAsia="Segoe UI" w:cs="Segoe UI"/>
          <w:b w:val="0"/>
          <w:bCs w:val="0"/>
          <w:i w:val="0"/>
          <w:iCs w:val="0"/>
          <w:noProof w:val="0"/>
          <w:color w:val="auto"/>
          <w:sz w:val="21"/>
          <w:szCs w:val="21"/>
          <w:lang w:val="en-US"/>
        </w:rPr>
        <w:t xml:space="preserve"> and </w:t>
      </w:r>
      <w:r w:rsidRPr="7ABEB651" w:rsidR="70D54EFC">
        <w:rPr>
          <w:rFonts w:ascii="Segoe UI" w:hAnsi="Segoe UI" w:eastAsia="Segoe UI" w:cs="Segoe UI"/>
          <w:b w:val="0"/>
          <w:bCs w:val="0"/>
          <w:i w:val="0"/>
          <w:iCs w:val="0"/>
          <w:noProof w:val="0"/>
          <w:color w:val="auto"/>
          <w:sz w:val="21"/>
          <w:szCs w:val="21"/>
          <w:lang w:val="en-US"/>
        </w:rPr>
        <w:t>subsequently</w:t>
      </w:r>
      <w:r w:rsidRPr="7ABEB651" w:rsidR="70D54EFC">
        <w:rPr>
          <w:rFonts w:ascii="Segoe UI" w:hAnsi="Segoe UI" w:eastAsia="Segoe UI" w:cs="Segoe UI"/>
          <w:b w:val="0"/>
          <w:bCs w:val="0"/>
          <w:i w:val="0"/>
          <w:iCs w:val="0"/>
          <w:noProof w:val="0"/>
          <w:color w:val="auto"/>
          <w:sz w:val="21"/>
          <w:szCs w:val="21"/>
          <w:lang w:val="en-US"/>
        </w:rPr>
        <w:t xml:space="preserve"> to </w:t>
      </w:r>
      <w:r w:rsidRPr="7ABEB651" w:rsidR="70D54EFC">
        <w:rPr>
          <w:rFonts w:ascii="Segoe UI" w:hAnsi="Segoe UI" w:eastAsia="Segoe UI" w:cs="Segoe UI"/>
          <w:b w:val="0"/>
          <w:bCs w:val="0"/>
          <w:i w:val="0"/>
          <w:iCs w:val="0"/>
          <w:noProof w:val="0"/>
          <w:color w:val="auto"/>
          <w:sz w:val="21"/>
          <w:szCs w:val="21"/>
          <w:lang w:val="en-US"/>
        </w:rPr>
        <w:t>20 mg</w:t>
      </w:r>
      <w:r w:rsidRPr="7ABEB651" w:rsidR="70D54EFC">
        <w:rPr>
          <w:rFonts w:ascii="Segoe UI" w:hAnsi="Segoe UI" w:eastAsia="Segoe UI" w:cs="Segoe UI"/>
          <w:b w:val="0"/>
          <w:bCs w:val="0"/>
          <w:i w:val="0"/>
          <w:iCs w:val="0"/>
          <w:noProof w:val="0"/>
          <w:color w:val="auto"/>
          <w:sz w:val="21"/>
          <w:szCs w:val="21"/>
          <w:lang w:val="en-US"/>
        </w:rPr>
        <w:t xml:space="preserve"> daily) were </w:t>
      </w:r>
      <w:r w:rsidRPr="7ABEB651" w:rsidR="70D54EFC">
        <w:rPr>
          <w:rFonts w:ascii="Segoe UI" w:hAnsi="Segoe UI" w:eastAsia="Segoe UI" w:cs="Segoe UI"/>
          <w:b w:val="0"/>
          <w:bCs w:val="0"/>
          <w:i w:val="0"/>
          <w:iCs w:val="0"/>
          <w:noProof w:val="0"/>
          <w:color w:val="auto"/>
          <w:sz w:val="21"/>
          <w:szCs w:val="21"/>
          <w:lang w:val="en-US"/>
        </w:rPr>
        <w:t>frequently</w:t>
      </w:r>
      <w:r w:rsidRPr="7ABEB651" w:rsidR="70D54EFC">
        <w:rPr>
          <w:rFonts w:ascii="Segoe UI" w:hAnsi="Segoe UI" w:eastAsia="Segoe UI" w:cs="Segoe UI"/>
          <w:b w:val="0"/>
          <w:bCs w:val="0"/>
          <w:i w:val="0"/>
          <w:iCs w:val="0"/>
          <w:noProof w:val="0"/>
          <w:color w:val="auto"/>
          <w:sz w:val="21"/>
          <w:szCs w:val="21"/>
          <w:lang w:val="en-US"/>
        </w:rPr>
        <w:t xml:space="preserve"> implemented, primarily in response to treatment-related toxicities such as diarrhea, rash, and stomatitis, which often occur early in therapy. Importantly, these dose adjustments were shown to significantly reduce the incidence and severity of adverse events, particularly Grade ≥3 toxicities, thereby improving overall patient tolerability and adherence to treatment. Exposure-response analyses </w:t>
      </w:r>
      <w:r w:rsidRPr="7ABEB651" w:rsidR="70D54EFC">
        <w:rPr>
          <w:rFonts w:ascii="Segoe UI" w:hAnsi="Segoe UI" w:eastAsia="Segoe UI" w:cs="Segoe UI"/>
          <w:b w:val="0"/>
          <w:bCs w:val="0"/>
          <w:i w:val="0"/>
          <w:iCs w:val="0"/>
          <w:noProof w:val="0"/>
          <w:color w:val="auto"/>
          <w:sz w:val="21"/>
          <w:szCs w:val="21"/>
          <w:lang w:val="en-US"/>
        </w:rPr>
        <w:t>indicate</w:t>
      </w:r>
      <w:r w:rsidRPr="7ABEB651" w:rsidR="70D54EFC">
        <w:rPr>
          <w:rFonts w:ascii="Segoe UI" w:hAnsi="Segoe UI" w:eastAsia="Segoe UI" w:cs="Segoe UI"/>
          <w:b w:val="0"/>
          <w:bCs w:val="0"/>
          <w:i w:val="0"/>
          <w:iCs w:val="0"/>
          <w:noProof w:val="0"/>
          <w:color w:val="auto"/>
          <w:sz w:val="21"/>
          <w:szCs w:val="21"/>
          <w:lang w:val="en-US"/>
        </w:rPr>
        <w:t xml:space="preserve"> that patients who </w:t>
      </w:r>
      <w:r w:rsidRPr="7ABEB651" w:rsidR="70D54EFC">
        <w:rPr>
          <w:rFonts w:ascii="Segoe UI" w:hAnsi="Segoe UI" w:eastAsia="Segoe UI" w:cs="Segoe UI"/>
          <w:b w:val="0"/>
          <w:bCs w:val="0"/>
          <w:i w:val="0"/>
          <w:iCs w:val="0"/>
          <w:noProof w:val="0"/>
          <w:color w:val="auto"/>
          <w:sz w:val="21"/>
          <w:szCs w:val="21"/>
          <w:lang w:val="en-US"/>
        </w:rPr>
        <w:t>required</w:t>
      </w:r>
      <w:r w:rsidRPr="7ABEB651" w:rsidR="70D54EFC">
        <w:rPr>
          <w:rFonts w:ascii="Segoe UI" w:hAnsi="Segoe UI" w:eastAsia="Segoe UI" w:cs="Segoe UI"/>
          <w:b w:val="0"/>
          <w:bCs w:val="0"/>
          <w:i w:val="0"/>
          <w:iCs w:val="0"/>
          <w:noProof w:val="0"/>
          <w:color w:val="auto"/>
          <w:sz w:val="21"/>
          <w:szCs w:val="21"/>
          <w:lang w:val="en-US"/>
        </w:rPr>
        <w:t xml:space="preserve"> dose reductions achieved comparable efficacy outcomes, including progression-free survival, to those who </w:t>
      </w:r>
      <w:r w:rsidRPr="7ABEB651" w:rsidR="70D54EFC">
        <w:rPr>
          <w:rFonts w:ascii="Segoe UI" w:hAnsi="Segoe UI" w:eastAsia="Segoe UI" w:cs="Segoe UI"/>
          <w:b w:val="0"/>
          <w:bCs w:val="0"/>
          <w:i w:val="0"/>
          <w:iCs w:val="0"/>
          <w:noProof w:val="0"/>
          <w:color w:val="auto"/>
          <w:sz w:val="21"/>
          <w:szCs w:val="21"/>
          <w:lang w:val="en-US"/>
        </w:rPr>
        <w:t>maintained</w:t>
      </w:r>
      <w:r w:rsidRPr="7ABEB651" w:rsidR="70D54EFC">
        <w:rPr>
          <w:rFonts w:ascii="Segoe UI" w:hAnsi="Segoe UI" w:eastAsia="Segoe UI" w:cs="Segoe UI"/>
          <w:b w:val="0"/>
          <w:bCs w:val="0"/>
          <w:i w:val="0"/>
          <w:iCs w:val="0"/>
          <w:noProof w:val="0"/>
          <w:color w:val="auto"/>
          <w:sz w:val="21"/>
          <w:szCs w:val="21"/>
          <w:lang w:val="en-US"/>
        </w:rPr>
        <w:t xml:space="preserve"> the starting dose, suggesting that lower doses </w:t>
      </w:r>
      <w:r w:rsidRPr="7ABEB651" w:rsidR="70D54EFC">
        <w:rPr>
          <w:rFonts w:ascii="Segoe UI" w:hAnsi="Segoe UI" w:eastAsia="Segoe UI" w:cs="Segoe UI"/>
          <w:b w:val="0"/>
          <w:bCs w:val="0"/>
          <w:i w:val="0"/>
          <w:iCs w:val="0"/>
          <w:noProof w:val="0"/>
          <w:color w:val="auto"/>
          <w:sz w:val="21"/>
          <w:szCs w:val="21"/>
          <w:lang w:val="en-US"/>
        </w:rPr>
        <w:t>remain</w:t>
      </w:r>
      <w:r w:rsidRPr="7ABEB651" w:rsidR="70D54EFC">
        <w:rPr>
          <w:rFonts w:ascii="Segoe UI" w:hAnsi="Segoe UI" w:eastAsia="Segoe UI" w:cs="Segoe UI"/>
          <w:b w:val="0"/>
          <w:bCs w:val="0"/>
          <w:i w:val="0"/>
          <w:iCs w:val="0"/>
          <w:noProof w:val="0"/>
          <w:color w:val="auto"/>
          <w:sz w:val="21"/>
          <w:szCs w:val="21"/>
          <w:lang w:val="en-US"/>
        </w:rPr>
        <w:t xml:space="preserve"> therapeutically effective due to adequate target inhibition. Furthermore, early dose modification, especially within the first one to two treatment cycles, has been associated with a decreased risk of treatment discontinuation and serious complications such as dehydration or hospitalization. Dose interruptions followed by reinitiation at a reduced level also </w:t>
      </w:r>
      <w:r w:rsidRPr="7ABEB651" w:rsidR="70D54EFC">
        <w:rPr>
          <w:rFonts w:ascii="Segoe UI" w:hAnsi="Segoe UI" w:eastAsia="Segoe UI" w:cs="Segoe UI"/>
          <w:b w:val="0"/>
          <w:bCs w:val="0"/>
          <w:i w:val="0"/>
          <w:iCs w:val="0"/>
          <w:noProof w:val="0"/>
          <w:color w:val="auto"/>
          <w:sz w:val="21"/>
          <w:szCs w:val="21"/>
          <w:lang w:val="en-US"/>
        </w:rPr>
        <w:t>allowed</w:t>
      </w:r>
      <w:r w:rsidRPr="7ABEB651" w:rsidR="70D54EFC">
        <w:rPr>
          <w:rFonts w:ascii="Segoe UI" w:hAnsi="Segoe UI" w:eastAsia="Segoe UI" w:cs="Segoe UI"/>
          <w:b w:val="0"/>
          <w:bCs w:val="0"/>
          <w:i w:val="0"/>
          <w:iCs w:val="0"/>
          <w:noProof w:val="0"/>
          <w:color w:val="auto"/>
          <w:sz w:val="21"/>
          <w:szCs w:val="21"/>
          <w:lang w:val="en-US"/>
        </w:rPr>
        <w:t xml:space="preserve"> continuation of therapy in patients who would otherwise </w:t>
      </w:r>
      <w:r w:rsidRPr="7ABEB651" w:rsidR="70D54EFC">
        <w:rPr>
          <w:rFonts w:ascii="Segoe UI" w:hAnsi="Segoe UI" w:eastAsia="Segoe UI" w:cs="Segoe UI"/>
          <w:b w:val="0"/>
          <w:bCs w:val="0"/>
          <w:i w:val="0"/>
          <w:iCs w:val="0"/>
          <w:noProof w:val="0"/>
          <w:color w:val="auto"/>
          <w:sz w:val="21"/>
          <w:szCs w:val="21"/>
          <w:lang w:val="en-US"/>
        </w:rPr>
        <w:t>discontinue</w:t>
      </w:r>
      <w:r w:rsidRPr="7ABEB651" w:rsidR="70D54EFC">
        <w:rPr>
          <w:rFonts w:ascii="Segoe UI" w:hAnsi="Segoe UI" w:eastAsia="Segoe UI" w:cs="Segoe UI"/>
          <w:b w:val="0"/>
          <w:bCs w:val="0"/>
          <w:i w:val="0"/>
          <w:iCs w:val="0"/>
          <w:noProof w:val="0"/>
          <w:color w:val="auto"/>
          <w:sz w:val="21"/>
          <w:szCs w:val="21"/>
          <w:lang w:val="en-US"/>
        </w:rPr>
        <w:t xml:space="preserve"> due to toxicity. Overall, a proactive and individualized dose adjustment strategy is essential in clinical practice, as it mitigates toxicity burden, enhances treatment continuity, and </w:t>
      </w:r>
      <w:r w:rsidRPr="7ABEB651" w:rsidR="70D54EFC">
        <w:rPr>
          <w:rFonts w:ascii="Segoe UI" w:hAnsi="Segoe UI" w:eastAsia="Segoe UI" w:cs="Segoe UI"/>
          <w:b w:val="0"/>
          <w:bCs w:val="0"/>
          <w:i w:val="0"/>
          <w:iCs w:val="0"/>
          <w:noProof w:val="0"/>
          <w:color w:val="auto"/>
          <w:sz w:val="21"/>
          <w:szCs w:val="21"/>
          <w:lang w:val="en-US"/>
        </w:rPr>
        <w:t>maintains</w:t>
      </w:r>
      <w:r w:rsidRPr="7ABEB651" w:rsidR="70D54EFC">
        <w:rPr>
          <w:rFonts w:ascii="Segoe UI" w:hAnsi="Segoe UI" w:eastAsia="Segoe UI" w:cs="Segoe UI"/>
          <w:b w:val="0"/>
          <w:bCs w:val="0"/>
          <w:i w:val="0"/>
          <w:iCs w:val="0"/>
          <w:noProof w:val="0"/>
          <w:color w:val="auto"/>
          <w:sz w:val="21"/>
          <w:szCs w:val="21"/>
          <w:lang w:val="en-US"/>
        </w:rPr>
        <w:t xml:space="preserve"> the overall benefit-risk balance of afatinib</w:t>
      </w:r>
      <w:r w:rsidRPr="7ABEB651" w:rsidR="55FC2517">
        <w:rPr>
          <w:rFonts w:ascii="Segoe UI" w:hAnsi="Segoe UI" w:eastAsia="Segoe UI" w:cs="Segoe UI"/>
          <w:b w:val="0"/>
          <w:bCs w:val="0"/>
          <w:i w:val="0"/>
          <w:iCs w:val="0"/>
          <w:noProof w:val="0"/>
          <w:color w:val="auto"/>
          <w:sz w:val="21"/>
          <w:szCs w:val="21"/>
          <w:lang w:val="en-US"/>
        </w:rPr>
        <w:t xml:space="preserve"> see </w:t>
      </w:r>
      <w:r w:rsidRPr="7ABEB651" w:rsidR="55FC2517">
        <w:rPr>
          <w:rFonts w:ascii="Segoe UI" w:hAnsi="Segoe UI" w:eastAsia="Segoe UI" w:cs="Segoe UI"/>
          <w:b w:val="0"/>
          <w:bCs w:val="0"/>
          <w:i w:val="0"/>
          <w:iCs w:val="0"/>
          <w:noProof w:val="0"/>
          <w:color w:val="auto"/>
          <w:sz w:val="21"/>
          <w:szCs w:val="21"/>
          <w:highlight w:val="yellow"/>
          <w:lang w:val="en-US"/>
        </w:rPr>
        <w:t>Table 1– Table 2 and ISE, SAP, CSR, Protocol.</w:t>
      </w:r>
    </w:p>
    <w:p w:rsidR="7ABEB651" w:rsidP="7ABEB651" w:rsidRDefault="7ABEB651" w14:paraId="00B0D4F7" w14:textId="78BDCA1C">
      <w:pPr>
        <w:pStyle w:val="Normal"/>
        <w:rPr>
          <w:noProof w:val="0"/>
          <w:color w:val="auto"/>
          <w:lang w:val="en-US"/>
        </w:rPr>
      </w:pPr>
    </w:p>
    <w:p w:rsidR="7ABEB651" w:rsidP="7ABEB651" w:rsidRDefault="7ABEB651" w14:paraId="3C09A59F" w14:textId="61DD3652">
      <w:pPr>
        <w:pStyle w:val="Normal"/>
        <w:rPr>
          <w:noProof w:val="0"/>
          <w:color w:val="auto"/>
          <w:lang w:val="en-US"/>
        </w:rPr>
      </w:pPr>
    </w:p>
    <w:p w:rsidR="7ABEB651" w:rsidP="7ABEB651" w:rsidRDefault="7ABEB651" w14:paraId="65F8F44E" w14:textId="5B33DC8A">
      <w:pPr>
        <w:rPr>
          <w:color w:val="auto"/>
        </w:rPr>
      </w:pPr>
    </w:p>
    <w:p w:rsidR="7ABEB651" w:rsidP="7ABEB651" w:rsidRDefault="7ABEB651" w14:paraId="5A00982B" w14:textId="1B43EB5B">
      <w:pPr>
        <w:rPr>
          <w:color w:val="auto"/>
        </w:rPr>
      </w:pPr>
    </w:p>
    <w:p w:rsidR="7ABEB651" w:rsidP="7ABEB651" w:rsidRDefault="7ABEB651" w14:paraId="587331E9" w14:textId="4CBFF0F2">
      <w:pPr>
        <w:rPr>
          <w:color w:val="auto"/>
        </w:rPr>
      </w:pPr>
    </w:p>
    <w:p w:rsidR="7ABEB651" w:rsidP="7ABEB651" w:rsidRDefault="7ABEB651" w14:paraId="1EA8EDA1" w14:textId="199DFF80">
      <w:pPr>
        <w:rPr>
          <w:color w:val="auto"/>
        </w:rPr>
      </w:pPr>
    </w:p>
    <w:p w:rsidR="7ABEB651" w:rsidP="7ABEB651" w:rsidRDefault="7ABEB651" w14:paraId="413C78AC" w14:textId="236FD65A">
      <w:pPr>
        <w:rPr>
          <w:color w:val="auto"/>
        </w:rPr>
      </w:pPr>
    </w:p>
    <w:p w:rsidR="7ABEB651" w:rsidP="7ABEB651" w:rsidRDefault="7ABEB651" w14:paraId="132E1510" w14:textId="563C7F25">
      <w:pPr>
        <w:rPr>
          <w:color w:val="auto"/>
        </w:rPr>
      </w:pPr>
    </w:p>
    <w:p w:rsidR="7ABEB651" w:rsidP="7ABEB651" w:rsidRDefault="7ABEB651" w14:paraId="596087D0" w14:textId="15F4CFB2">
      <w:pPr>
        <w:rPr>
          <w:color w:val="auto"/>
        </w:rPr>
      </w:pPr>
    </w:p>
    <w:p w:rsidR="7ABEB651" w:rsidP="7ABEB651" w:rsidRDefault="7ABEB651" w14:paraId="0BC7A699" w14:textId="3518822B">
      <w:pPr>
        <w:rPr>
          <w:color w:val="auto"/>
        </w:rPr>
      </w:pPr>
    </w:p>
    <w:p w:rsidR="7ABEB651" w:rsidP="7ABEB651" w:rsidRDefault="7ABEB651" w14:paraId="2E8F48E6" w14:textId="1F422384">
      <w:pPr>
        <w:rPr>
          <w:color w:val="auto"/>
        </w:rPr>
      </w:pPr>
    </w:p>
    <w:p w:rsidR="70D54EFC" w:rsidP="7ABEB651" w:rsidRDefault="70D54EFC" w14:paraId="7149543B" w14:textId="245BE0A8">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7ABEB651" w:rsidR="70D54EFC">
        <w:rPr>
          <w:rFonts w:ascii="Calibri" w:hAnsi="Calibri" w:eastAsia="Calibri" w:cs="Calibri" w:asciiTheme="minorAscii" w:hAnsiTheme="minorAscii" w:eastAsiaTheme="minorAscii" w:cstheme="minorAscii"/>
          <w:b w:val="1"/>
          <w:bCs w:val="1"/>
          <w:color w:val="auto"/>
          <w:sz w:val="24"/>
          <w:szCs w:val="24"/>
        </w:rPr>
        <w:t xml:space="preserve">7 </w:t>
      </w:r>
      <w:r w:rsidRPr="7ABEB651" w:rsidR="70D54EFC">
        <w:rPr>
          <w:rFonts w:ascii="Calibri" w:hAnsi="Calibri" w:eastAsia="Calibri" w:cs="Calibri" w:asciiTheme="minorAscii" w:hAnsiTheme="minorAscii" w:eastAsiaTheme="minorAscii" w:cstheme="minorAscii"/>
          <w:b w:val="1"/>
          <w:bCs w:val="1"/>
          <w:noProof w:val="0"/>
          <w:color w:val="auto"/>
          <w:sz w:val="24"/>
          <w:szCs w:val="24"/>
          <w:lang w:val="en-US"/>
        </w:rPr>
        <w:t>Impact of Dose Reduction on Efficacy (Afatinib)</w:t>
      </w:r>
    </w:p>
    <w:p w:rsidR="7ABEB651" w:rsidP="7ABEB651" w:rsidRDefault="7ABEB651" w14:paraId="326827DB" w14:textId="543C19A8">
      <w:pPr>
        <w:pStyle w:val="Normal"/>
        <w:rPr>
          <w:noProof w:val="0"/>
          <w:color w:val="auto"/>
          <w:lang w:val="en-US"/>
        </w:rPr>
      </w:pPr>
    </w:p>
    <w:p w:rsidR="29C73741" w:rsidP="7ABEB651" w:rsidRDefault="29C73741" w14:paraId="600682FF" w14:textId="1B55AC57">
      <w:pPr>
        <w:spacing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0"/>
          <w:bCs w:val="0"/>
          <w:i w:val="0"/>
          <w:iCs w:val="0"/>
          <w:noProof w:val="0"/>
          <w:color w:val="auto"/>
          <w:sz w:val="21"/>
          <w:szCs w:val="21"/>
          <w:lang w:val="en-US"/>
        </w:rPr>
        <w:t xml:space="preserve">Dose reduction of afatinib </w:t>
      </w:r>
      <w:r w:rsidRPr="7ABEB651" w:rsidR="29C73741">
        <w:rPr>
          <w:rFonts w:ascii="Segoe UI" w:hAnsi="Segoe UI" w:eastAsia="Segoe UI" w:cs="Segoe UI"/>
          <w:b w:val="1"/>
          <w:bCs w:val="1"/>
          <w:i w:val="0"/>
          <w:iCs w:val="0"/>
          <w:noProof w:val="0"/>
          <w:color w:val="auto"/>
          <w:sz w:val="21"/>
          <w:szCs w:val="21"/>
          <w:lang w:val="en-US"/>
        </w:rPr>
        <w:t>does not meaningfully reduce efficacy</w:t>
      </w:r>
      <w:r w:rsidRPr="7ABEB651" w:rsidR="29C73741">
        <w:rPr>
          <w:rFonts w:ascii="Segoe UI" w:hAnsi="Segoe UI" w:eastAsia="Segoe UI" w:cs="Segoe UI"/>
          <w:b w:val="0"/>
          <w:bCs w:val="0"/>
          <w:i w:val="0"/>
          <w:iCs w:val="0"/>
          <w:noProof w:val="0"/>
          <w:color w:val="auto"/>
          <w:sz w:val="21"/>
          <w:szCs w:val="21"/>
          <w:lang w:val="en-US"/>
        </w:rPr>
        <w:t xml:space="preserve"> when implemented appropriately; instead, it helps maintain long-term treatment exposure, which is critical for clinical benefit.</w:t>
      </w:r>
    </w:p>
    <w:p w:rsidR="29C73741" w:rsidP="7ABEB651" w:rsidRDefault="29C73741" w14:paraId="14152EDB" w14:textId="2842F807">
      <w:pPr>
        <w:spacing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0"/>
          <w:bCs w:val="0"/>
          <w:i w:val="0"/>
          <w:iCs w:val="0"/>
          <w:noProof w:val="0"/>
          <w:color w:val="auto"/>
          <w:sz w:val="21"/>
          <w:szCs w:val="21"/>
          <w:lang w:val="en-US"/>
        </w:rPr>
        <w:t xml:space="preserve">In pooled analyses of the LUX-Lung trials, patients who </w:t>
      </w:r>
      <w:r w:rsidRPr="7ABEB651" w:rsidR="29C73741">
        <w:rPr>
          <w:rFonts w:ascii="Segoe UI" w:hAnsi="Segoe UI" w:eastAsia="Segoe UI" w:cs="Segoe UI"/>
          <w:b w:val="0"/>
          <w:bCs w:val="0"/>
          <w:i w:val="0"/>
          <w:iCs w:val="0"/>
          <w:noProof w:val="0"/>
          <w:color w:val="auto"/>
          <w:sz w:val="21"/>
          <w:szCs w:val="21"/>
          <w:lang w:val="en-US"/>
        </w:rPr>
        <w:t>required</w:t>
      </w:r>
      <w:r w:rsidRPr="7ABEB651" w:rsidR="29C73741">
        <w:rPr>
          <w:rFonts w:ascii="Segoe UI" w:hAnsi="Segoe UI" w:eastAsia="Segoe UI" w:cs="Segoe UI"/>
          <w:b w:val="0"/>
          <w:bCs w:val="0"/>
          <w:i w:val="0"/>
          <w:iCs w:val="0"/>
          <w:noProof w:val="0"/>
          <w:color w:val="auto"/>
          <w:sz w:val="21"/>
          <w:szCs w:val="21"/>
          <w:lang w:val="en-US"/>
        </w:rPr>
        <w:t xml:space="preserve"> dose reductions due to adverse events (e.g., diarrhea or rash) </w:t>
      </w:r>
      <w:r w:rsidRPr="7ABEB651" w:rsidR="29C73741">
        <w:rPr>
          <w:rFonts w:ascii="Segoe UI" w:hAnsi="Segoe UI" w:eastAsia="Segoe UI" w:cs="Segoe UI"/>
          <w:b w:val="0"/>
          <w:bCs w:val="0"/>
          <w:i w:val="0"/>
          <w:iCs w:val="0"/>
          <w:noProof w:val="0"/>
          <w:color w:val="auto"/>
          <w:sz w:val="21"/>
          <w:szCs w:val="21"/>
          <w:lang w:val="en-US"/>
        </w:rPr>
        <w:t>demonstrated</w:t>
      </w:r>
      <w:r w:rsidRPr="7ABEB651" w:rsidR="29C73741">
        <w:rPr>
          <w:rFonts w:ascii="Segoe UI" w:hAnsi="Segoe UI" w:eastAsia="Segoe UI" w:cs="Segoe UI"/>
          <w:b w:val="0"/>
          <w:bCs w:val="0"/>
          <w:i w:val="0"/>
          <w:iCs w:val="0"/>
          <w:noProof w:val="0"/>
          <w:color w:val="auto"/>
          <w:sz w:val="21"/>
          <w:szCs w:val="21"/>
          <w:lang w:val="en-US"/>
        </w:rPr>
        <w:t xml:space="preserve"> </w:t>
      </w:r>
      <w:r w:rsidRPr="7ABEB651" w:rsidR="29C73741">
        <w:rPr>
          <w:rFonts w:ascii="Segoe UI" w:hAnsi="Segoe UI" w:eastAsia="Segoe UI" w:cs="Segoe UI"/>
          <w:b w:val="1"/>
          <w:bCs w:val="1"/>
          <w:i w:val="0"/>
          <w:iCs w:val="0"/>
          <w:noProof w:val="0"/>
          <w:color w:val="auto"/>
          <w:sz w:val="21"/>
          <w:szCs w:val="21"/>
          <w:lang w:val="en-US"/>
        </w:rPr>
        <w:t>comparable progression-free survival (PFS) and overall response rates (ORR)</w:t>
      </w:r>
      <w:r w:rsidRPr="7ABEB651" w:rsidR="29C73741">
        <w:rPr>
          <w:rFonts w:ascii="Segoe UI" w:hAnsi="Segoe UI" w:eastAsia="Segoe UI" w:cs="Segoe UI"/>
          <w:b w:val="0"/>
          <w:bCs w:val="0"/>
          <w:i w:val="0"/>
          <w:iCs w:val="0"/>
          <w:noProof w:val="0"/>
          <w:color w:val="auto"/>
          <w:sz w:val="21"/>
          <w:szCs w:val="21"/>
          <w:lang w:val="en-US"/>
        </w:rPr>
        <w:t xml:space="preserve"> to those who continued at the starting dose (40 mg). This is because afatinib achieves sufficient and sustained EGFR/</w:t>
      </w:r>
      <w:r w:rsidRPr="7ABEB651" w:rsidR="29C73741">
        <w:rPr>
          <w:rFonts w:ascii="Segoe UI" w:hAnsi="Segoe UI" w:eastAsia="Segoe UI" w:cs="Segoe UI"/>
          <w:b w:val="0"/>
          <w:bCs w:val="0"/>
          <w:i w:val="0"/>
          <w:iCs w:val="0"/>
          <w:noProof w:val="0"/>
          <w:color w:val="auto"/>
          <w:sz w:val="21"/>
          <w:szCs w:val="21"/>
          <w:lang w:val="en-US"/>
        </w:rPr>
        <w:t>ErbB</w:t>
      </w:r>
      <w:r w:rsidRPr="7ABEB651" w:rsidR="29C73741">
        <w:rPr>
          <w:rFonts w:ascii="Segoe UI" w:hAnsi="Segoe UI" w:eastAsia="Segoe UI" w:cs="Segoe UI"/>
          <w:b w:val="0"/>
          <w:bCs w:val="0"/>
          <w:i w:val="0"/>
          <w:iCs w:val="0"/>
          <w:noProof w:val="0"/>
          <w:color w:val="auto"/>
          <w:sz w:val="21"/>
          <w:szCs w:val="21"/>
          <w:lang w:val="en-US"/>
        </w:rPr>
        <w:t xml:space="preserve"> inhibition even at reduced doses (</w:t>
      </w:r>
      <w:r w:rsidRPr="7ABEB651" w:rsidR="29C73741">
        <w:rPr>
          <w:rFonts w:ascii="Segoe UI" w:hAnsi="Segoe UI" w:eastAsia="Segoe UI" w:cs="Segoe UI"/>
          <w:b w:val="0"/>
          <w:bCs w:val="0"/>
          <w:i w:val="0"/>
          <w:iCs w:val="0"/>
          <w:noProof w:val="0"/>
          <w:color w:val="auto"/>
          <w:sz w:val="21"/>
          <w:szCs w:val="21"/>
          <w:lang w:val="en-US"/>
        </w:rPr>
        <w:t>30 mg</w:t>
      </w:r>
      <w:r w:rsidRPr="7ABEB651" w:rsidR="29C73741">
        <w:rPr>
          <w:rFonts w:ascii="Segoe UI" w:hAnsi="Segoe UI" w:eastAsia="Segoe UI" w:cs="Segoe UI"/>
          <w:b w:val="0"/>
          <w:bCs w:val="0"/>
          <w:i w:val="0"/>
          <w:iCs w:val="0"/>
          <w:noProof w:val="0"/>
          <w:color w:val="auto"/>
          <w:sz w:val="21"/>
          <w:szCs w:val="21"/>
          <w:lang w:val="en-US"/>
        </w:rPr>
        <w:t xml:space="preserve"> or 20 mg), particularly in patients who initially experience higher drug exposure and toxicity</w:t>
      </w:r>
      <w:r w:rsidRPr="7ABEB651" w:rsidR="0A5AA164">
        <w:rPr>
          <w:rFonts w:ascii="Segoe UI" w:hAnsi="Segoe UI" w:eastAsia="Segoe UI" w:cs="Segoe UI"/>
          <w:b w:val="0"/>
          <w:bCs w:val="0"/>
          <w:i w:val="0"/>
          <w:iCs w:val="0"/>
          <w:noProof w:val="0"/>
          <w:color w:val="auto"/>
          <w:sz w:val="21"/>
          <w:szCs w:val="21"/>
          <w:lang w:val="en-US"/>
        </w:rPr>
        <w:t xml:space="preserve"> see </w:t>
      </w:r>
      <w:r w:rsidRPr="7ABEB651" w:rsidR="0A5AA164">
        <w:rPr>
          <w:rFonts w:ascii="Segoe UI" w:hAnsi="Segoe UI" w:eastAsia="Segoe UI" w:cs="Segoe UI"/>
          <w:b w:val="0"/>
          <w:bCs w:val="0"/>
          <w:i w:val="0"/>
          <w:iCs w:val="0"/>
          <w:noProof w:val="0"/>
          <w:color w:val="auto"/>
          <w:sz w:val="21"/>
          <w:szCs w:val="21"/>
          <w:highlight w:val="yellow"/>
          <w:lang w:val="en-US"/>
        </w:rPr>
        <w:t>section 2</w:t>
      </w:r>
      <w:r w:rsidRPr="7ABEB651" w:rsidR="0A5AA164">
        <w:rPr>
          <w:rFonts w:ascii="Segoe UI" w:hAnsi="Segoe UI" w:eastAsia="Segoe UI" w:cs="Segoe UI"/>
          <w:b w:val="0"/>
          <w:bCs w:val="0"/>
          <w:i w:val="0"/>
          <w:iCs w:val="0"/>
          <w:noProof w:val="0"/>
          <w:color w:val="auto"/>
          <w:sz w:val="21"/>
          <w:szCs w:val="21"/>
          <w:lang w:val="en-US"/>
        </w:rPr>
        <w:t>.</w:t>
      </w:r>
    </w:p>
    <w:p w:rsidR="29C73741" w:rsidP="7ABEB651" w:rsidRDefault="29C73741" w14:paraId="30213753" w14:textId="22FFBD44">
      <w:pPr>
        <w:spacing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0"/>
          <w:bCs w:val="0"/>
          <w:i w:val="0"/>
          <w:iCs w:val="0"/>
          <w:noProof w:val="0"/>
          <w:color w:val="auto"/>
          <w:sz w:val="21"/>
          <w:szCs w:val="21"/>
          <w:lang w:val="en-US"/>
        </w:rPr>
        <w:t>Pharmacokinetic and exposure–response analyses further support that:</w:t>
      </w:r>
    </w:p>
    <w:p w:rsidR="29C73741" w:rsidP="7ABEB651" w:rsidRDefault="29C73741" w14:paraId="2A311234" w14:textId="79526656">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0"/>
          <w:bCs w:val="0"/>
          <w:i w:val="0"/>
          <w:iCs w:val="0"/>
          <w:noProof w:val="0"/>
          <w:color w:val="auto"/>
          <w:sz w:val="21"/>
          <w:szCs w:val="21"/>
          <w:lang w:val="en-US"/>
        </w:rPr>
        <w:t xml:space="preserve">Patients requiring dose reduction often have </w:t>
      </w:r>
      <w:r w:rsidRPr="7ABEB651" w:rsidR="29C73741">
        <w:rPr>
          <w:rFonts w:ascii="Segoe UI" w:hAnsi="Segoe UI" w:eastAsia="Segoe UI" w:cs="Segoe UI"/>
          <w:b w:val="1"/>
          <w:bCs w:val="1"/>
          <w:i w:val="0"/>
          <w:iCs w:val="0"/>
          <w:noProof w:val="0"/>
          <w:color w:val="auto"/>
          <w:sz w:val="21"/>
          <w:szCs w:val="21"/>
          <w:lang w:val="en-US"/>
        </w:rPr>
        <w:t>higher initial plasma exposure</w:t>
      </w:r>
      <w:r w:rsidRPr="7ABEB651" w:rsidR="29C73741">
        <w:rPr>
          <w:rFonts w:ascii="Segoe UI" w:hAnsi="Segoe UI" w:eastAsia="Segoe UI" w:cs="Segoe UI"/>
          <w:b w:val="0"/>
          <w:bCs w:val="0"/>
          <w:i w:val="0"/>
          <w:iCs w:val="0"/>
          <w:noProof w:val="0"/>
          <w:color w:val="auto"/>
          <w:sz w:val="21"/>
          <w:szCs w:val="21"/>
          <w:lang w:val="en-US"/>
        </w:rPr>
        <w:t>, which contributes both to toxicity and therapeutic effect</w:t>
      </w:r>
    </w:p>
    <w:p w:rsidR="29C73741" w:rsidP="7ABEB651" w:rsidRDefault="29C73741" w14:paraId="5D872EF8" w14:textId="4297170F">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0"/>
          <w:bCs w:val="0"/>
          <w:i w:val="0"/>
          <w:iCs w:val="0"/>
          <w:noProof w:val="0"/>
          <w:color w:val="auto"/>
          <w:sz w:val="21"/>
          <w:szCs w:val="21"/>
          <w:lang w:val="en-US"/>
        </w:rPr>
        <w:t xml:space="preserve">Reducing the dose brings exposure into </w:t>
      </w:r>
      <w:r w:rsidRPr="7ABEB651" w:rsidR="29C73741">
        <w:rPr>
          <w:rFonts w:ascii="Segoe UI" w:hAnsi="Segoe UI" w:eastAsia="Segoe UI" w:cs="Segoe UI"/>
          <w:b w:val="0"/>
          <w:bCs w:val="0"/>
          <w:i w:val="0"/>
          <w:iCs w:val="0"/>
          <w:noProof w:val="0"/>
          <w:color w:val="auto"/>
          <w:sz w:val="21"/>
          <w:szCs w:val="21"/>
          <w:lang w:val="en-US"/>
        </w:rPr>
        <w:t xml:space="preserve">an </w:t>
      </w:r>
      <w:r w:rsidRPr="7ABEB651" w:rsidR="29C73741">
        <w:rPr>
          <w:rFonts w:ascii="Segoe UI" w:hAnsi="Segoe UI" w:eastAsia="Segoe UI" w:cs="Segoe UI"/>
          <w:b w:val="1"/>
          <w:bCs w:val="1"/>
          <w:i w:val="0"/>
          <w:iCs w:val="0"/>
          <w:noProof w:val="0"/>
          <w:color w:val="auto"/>
          <w:sz w:val="21"/>
          <w:szCs w:val="21"/>
          <w:lang w:val="en-US"/>
        </w:rPr>
        <w:t>optimal</w:t>
      </w:r>
      <w:r w:rsidRPr="7ABEB651" w:rsidR="29C73741">
        <w:rPr>
          <w:rFonts w:ascii="Segoe UI" w:hAnsi="Segoe UI" w:eastAsia="Segoe UI" w:cs="Segoe UI"/>
          <w:b w:val="1"/>
          <w:bCs w:val="1"/>
          <w:i w:val="0"/>
          <w:iCs w:val="0"/>
          <w:noProof w:val="0"/>
          <w:color w:val="auto"/>
          <w:sz w:val="21"/>
          <w:szCs w:val="21"/>
          <w:lang w:val="en-US"/>
        </w:rPr>
        <w:t xml:space="preserve"> therapeutic window</w:t>
      </w:r>
      <w:r w:rsidRPr="7ABEB651" w:rsidR="29C73741">
        <w:rPr>
          <w:rFonts w:ascii="Segoe UI" w:hAnsi="Segoe UI" w:eastAsia="Segoe UI" w:cs="Segoe UI"/>
          <w:b w:val="0"/>
          <w:bCs w:val="0"/>
          <w:i w:val="0"/>
          <w:iCs w:val="0"/>
          <w:noProof w:val="0"/>
          <w:color w:val="auto"/>
          <w:sz w:val="21"/>
          <w:szCs w:val="21"/>
          <w:lang w:val="en-US"/>
        </w:rPr>
        <w:t xml:space="preserve"> without falling below effective levels</w:t>
      </w:r>
      <w:r w:rsidRPr="7ABEB651" w:rsidR="276B78CE">
        <w:rPr>
          <w:rFonts w:ascii="Segoe UI" w:hAnsi="Segoe UI" w:eastAsia="Segoe UI" w:cs="Segoe UI"/>
          <w:b w:val="0"/>
          <w:bCs w:val="0"/>
          <w:i w:val="0"/>
          <w:iCs w:val="0"/>
          <w:noProof w:val="0"/>
          <w:color w:val="auto"/>
          <w:sz w:val="21"/>
          <w:szCs w:val="21"/>
          <w:lang w:val="en-US"/>
        </w:rPr>
        <w:t xml:space="preserve"> mentioned in </w:t>
      </w:r>
      <w:r w:rsidRPr="7ABEB651" w:rsidR="276B78CE">
        <w:rPr>
          <w:rFonts w:ascii="Segoe UI" w:hAnsi="Segoe UI" w:eastAsia="Segoe UI" w:cs="Segoe UI"/>
          <w:b w:val="0"/>
          <w:bCs w:val="0"/>
          <w:i w:val="0"/>
          <w:iCs w:val="0"/>
          <w:noProof w:val="0"/>
          <w:color w:val="auto"/>
          <w:sz w:val="21"/>
          <w:szCs w:val="21"/>
          <w:highlight w:val="yellow"/>
          <w:lang w:val="en-US"/>
        </w:rPr>
        <w:t>Protocol</w:t>
      </w:r>
      <w:r w:rsidRPr="7ABEB651" w:rsidR="276B78CE">
        <w:rPr>
          <w:rFonts w:ascii="Segoe UI" w:hAnsi="Segoe UI" w:eastAsia="Segoe UI" w:cs="Segoe UI"/>
          <w:b w:val="0"/>
          <w:bCs w:val="0"/>
          <w:i w:val="0"/>
          <w:iCs w:val="0"/>
          <w:noProof w:val="0"/>
          <w:color w:val="auto"/>
          <w:sz w:val="21"/>
          <w:szCs w:val="21"/>
          <w:lang w:val="en-US"/>
        </w:rPr>
        <w:t>.</w:t>
      </w:r>
    </w:p>
    <w:p w:rsidR="29C73741" w:rsidP="7ABEB651" w:rsidRDefault="29C73741" w14:paraId="2A5B3F04" w14:textId="727C6C5F">
      <w:pPr>
        <w:spacing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0"/>
          <w:bCs w:val="0"/>
          <w:i w:val="0"/>
          <w:iCs w:val="0"/>
          <w:noProof w:val="0"/>
          <w:color w:val="auto"/>
          <w:sz w:val="21"/>
          <w:szCs w:val="21"/>
          <w:lang w:val="en-US"/>
        </w:rPr>
        <w:t>Importantly, dose reduction:</w:t>
      </w:r>
    </w:p>
    <w:p w:rsidR="29C73741" w:rsidP="7ABEB651" w:rsidRDefault="29C73741" w14:paraId="50B2BD5E" w14:textId="7FBD207B">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1"/>
          <w:bCs w:val="1"/>
          <w:i w:val="0"/>
          <w:iCs w:val="0"/>
          <w:noProof w:val="0"/>
          <w:color w:val="auto"/>
          <w:sz w:val="21"/>
          <w:szCs w:val="21"/>
          <w:lang w:val="en-US"/>
        </w:rPr>
        <w:t>Improves tolerability</w:t>
      </w:r>
      <w:r w:rsidRPr="7ABEB651" w:rsidR="29C73741">
        <w:rPr>
          <w:rFonts w:ascii="Segoe UI" w:hAnsi="Segoe UI" w:eastAsia="Segoe UI" w:cs="Segoe UI"/>
          <w:b w:val="0"/>
          <w:bCs w:val="0"/>
          <w:i w:val="0"/>
          <w:iCs w:val="0"/>
          <w:noProof w:val="0"/>
          <w:color w:val="auto"/>
          <w:sz w:val="21"/>
          <w:szCs w:val="21"/>
          <w:lang w:val="en-US"/>
        </w:rPr>
        <w:t>, reducing severe (Grade ≥3) adverse events</w:t>
      </w:r>
    </w:p>
    <w:p w:rsidR="29C73741" w:rsidP="7ABEB651" w:rsidRDefault="29C73741" w14:paraId="3E1F1E90" w14:textId="39F595A2">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1"/>
          <w:bCs w:val="1"/>
          <w:i w:val="0"/>
          <w:iCs w:val="0"/>
          <w:noProof w:val="0"/>
          <w:color w:val="auto"/>
          <w:sz w:val="21"/>
          <w:szCs w:val="21"/>
          <w:lang w:val="en-US"/>
        </w:rPr>
        <w:t>Prevents early discontinuation</w:t>
      </w:r>
      <w:r w:rsidRPr="7ABEB651" w:rsidR="29C73741">
        <w:rPr>
          <w:rFonts w:ascii="Segoe UI" w:hAnsi="Segoe UI" w:eastAsia="Segoe UI" w:cs="Segoe UI"/>
          <w:b w:val="0"/>
          <w:bCs w:val="0"/>
          <w:i w:val="0"/>
          <w:iCs w:val="0"/>
          <w:noProof w:val="0"/>
          <w:color w:val="auto"/>
          <w:sz w:val="21"/>
          <w:szCs w:val="21"/>
          <w:lang w:val="en-US"/>
        </w:rPr>
        <w:t>, allowing patients to stay on therapy longer</w:t>
      </w:r>
    </w:p>
    <w:p w:rsidR="29C73741" w:rsidP="7ABEB651" w:rsidRDefault="29C73741" w14:paraId="4152694E" w14:textId="34918E36">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1"/>
          <w:bCs w:val="1"/>
          <w:i w:val="0"/>
          <w:iCs w:val="0"/>
          <w:noProof w:val="0"/>
          <w:color w:val="auto"/>
          <w:sz w:val="21"/>
          <w:szCs w:val="21"/>
          <w:lang w:val="en-US"/>
        </w:rPr>
        <w:t>Maintains cumulative drug exposure over time</w:t>
      </w:r>
      <w:r w:rsidRPr="7ABEB651" w:rsidR="29C73741">
        <w:rPr>
          <w:rFonts w:ascii="Segoe UI" w:hAnsi="Segoe UI" w:eastAsia="Segoe UI" w:cs="Segoe UI"/>
          <w:b w:val="0"/>
          <w:bCs w:val="0"/>
          <w:i w:val="0"/>
          <w:iCs w:val="0"/>
          <w:noProof w:val="0"/>
          <w:color w:val="auto"/>
          <w:sz w:val="21"/>
          <w:szCs w:val="21"/>
          <w:lang w:val="en-US"/>
        </w:rPr>
        <w:t>, which is strongly associated with efficacy</w:t>
      </w:r>
    </w:p>
    <w:p w:rsidR="29C73741" w:rsidP="7ABEB651" w:rsidRDefault="29C73741" w14:paraId="65C36293" w14:textId="3ABFFFCD">
      <w:pPr>
        <w:spacing w:line="300" w:lineRule="auto"/>
        <w:rPr>
          <w:rFonts w:ascii="Segoe UI" w:hAnsi="Segoe UI" w:eastAsia="Segoe UI" w:cs="Segoe UI"/>
          <w:b w:val="0"/>
          <w:bCs w:val="0"/>
          <w:i w:val="0"/>
          <w:iCs w:val="0"/>
          <w:noProof w:val="0"/>
          <w:color w:val="auto"/>
          <w:sz w:val="21"/>
          <w:szCs w:val="21"/>
          <w:lang w:val="en-US"/>
        </w:rPr>
      </w:pPr>
      <w:r w:rsidRPr="7ABEB651" w:rsidR="29C73741">
        <w:rPr>
          <w:rFonts w:ascii="Segoe UI" w:hAnsi="Segoe UI" w:eastAsia="Segoe UI" w:cs="Segoe UI"/>
          <w:b w:val="0"/>
          <w:bCs w:val="0"/>
          <w:i w:val="0"/>
          <w:iCs w:val="0"/>
          <w:noProof w:val="0"/>
          <w:color w:val="auto"/>
          <w:sz w:val="21"/>
          <w:szCs w:val="21"/>
          <w:lang w:val="en-US"/>
        </w:rPr>
        <w:t>Clinical data also show that patients who undergo early dose modification (within the first 6–8 weeks) tend to have:</w:t>
      </w:r>
    </w:p>
    <w:p w:rsidR="29C73741" w:rsidP="7ABEB651" w:rsidRDefault="29C73741" w14:paraId="7A37FD4F" w14:textId="1501777B">
      <w:pPr>
        <w:pStyle w:val="ListParagraph"/>
        <w:numPr>
          <w:ilvl w:val="0"/>
          <w:numId w:val="7"/>
        </w:numPr>
        <w:spacing w:before="0" w:beforeAutospacing="off" w:after="0" w:afterAutospacing="off" w:line="300" w:lineRule="auto"/>
        <w:rPr>
          <w:rFonts w:ascii="Segoe UI" w:hAnsi="Segoe UI" w:eastAsia="Segoe UI" w:cs="Segoe UI"/>
          <w:b w:val="1"/>
          <w:bCs w:val="1"/>
          <w:i w:val="0"/>
          <w:iCs w:val="0"/>
          <w:noProof w:val="0"/>
          <w:color w:val="auto"/>
          <w:sz w:val="21"/>
          <w:szCs w:val="21"/>
          <w:lang w:val="en-US"/>
        </w:rPr>
      </w:pPr>
      <w:r w:rsidRPr="7ABEB651" w:rsidR="29C73741">
        <w:rPr>
          <w:rFonts w:ascii="Segoe UI" w:hAnsi="Segoe UI" w:eastAsia="Segoe UI" w:cs="Segoe UI"/>
          <w:b w:val="1"/>
          <w:bCs w:val="1"/>
          <w:i w:val="0"/>
          <w:iCs w:val="0"/>
          <w:noProof w:val="0"/>
          <w:color w:val="auto"/>
          <w:sz w:val="21"/>
          <w:szCs w:val="21"/>
          <w:lang w:val="en-US"/>
        </w:rPr>
        <w:t>Better treatment adherence</w:t>
      </w:r>
    </w:p>
    <w:p w:rsidR="7ABEB651" w:rsidP="7ABEB651" w:rsidRDefault="7ABEB651" w14:paraId="382B230B" w14:textId="47B8612D">
      <w:pPr>
        <w:pStyle w:val="ListParagraph"/>
        <w:spacing w:before="0" w:beforeAutospacing="off" w:after="0" w:afterAutospacing="off" w:line="300" w:lineRule="auto"/>
        <w:ind w:left="720"/>
        <w:rPr>
          <w:rFonts w:ascii="Segoe UI" w:hAnsi="Segoe UI" w:eastAsia="Segoe UI" w:cs="Segoe UI"/>
          <w:b w:val="1"/>
          <w:bCs w:val="1"/>
          <w:i w:val="0"/>
          <w:iCs w:val="0"/>
          <w:noProof w:val="0"/>
          <w:color w:val="auto"/>
          <w:sz w:val="21"/>
          <w:szCs w:val="21"/>
          <w:lang w:val="en-US"/>
        </w:rPr>
      </w:pPr>
    </w:p>
    <w:p w:rsidR="29C73741" w:rsidP="7ABEB651" w:rsidRDefault="29C73741" w14:paraId="40A4EC3A" w14:textId="74176598">
      <w:pPr>
        <w:rPr>
          <w:rFonts w:ascii="Aptos" w:hAnsi="Aptos" w:eastAsia="Aptos" w:cs="Aptos"/>
          <w:b w:val="0"/>
          <w:bCs w:val="0"/>
          <w:i w:val="0"/>
          <w:iCs w:val="0"/>
          <w:caps w:val="0"/>
          <w:smallCaps w:val="0"/>
          <w:noProof w:val="0"/>
          <w:color w:val="000000" w:themeColor="text1" w:themeTint="FF" w:themeShade="FF"/>
          <w:sz w:val="22"/>
          <w:szCs w:val="22"/>
          <w:lang w:val="en-US"/>
        </w:rPr>
      </w:pPr>
      <w:r w:rsidRPr="7ABEB651" w:rsidR="29C73741">
        <w:rPr>
          <w:rFonts w:ascii="Aptos" w:hAnsi="Aptos" w:eastAsia="Aptos" w:cs="Aptos"/>
          <w:b w:val="0"/>
          <w:bCs w:val="0"/>
          <w:i w:val="0"/>
          <w:iCs w:val="0"/>
          <w:caps w:val="0"/>
          <w:smallCaps w:val="0"/>
          <w:noProof w:val="0"/>
          <w:color w:val="000000" w:themeColor="text1" w:themeTint="FF" w:themeShade="FF"/>
          <w:sz w:val="22"/>
          <w:szCs w:val="22"/>
          <w:lang w:val="en-IN"/>
        </w:rPr>
        <w:t>Table 2 Common Adverse Events (≥5%)</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925"/>
        <w:gridCol w:w="1770"/>
        <w:gridCol w:w="1575"/>
      </w:tblGrid>
      <w:tr w:rsidR="7ABEB651" w:rsidTr="7ABEB651" w14:paraId="59733144">
        <w:trPr>
          <w:trHeight w:val="300"/>
        </w:trPr>
        <w:tc>
          <w:tcPr>
            <w:tcW w:w="2925" w:type="dxa"/>
            <w:tcBorders>
              <w:top w:val="single" w:color="E6E6E6" w:sz="6"/>
              <w:left w:val="single" w:color="E6E6E6" w:sz="6"/>
              <w:bottom w:val="single" w:color="E6E6E6" w:sz="6"/>
              <w:right w:val="single" w:color="E6E6E6" w:sz="6"/>
            </w:tcBorders>
            <w:shd w:val="clear" w:color="auto" w:fill="F5F5F5"/>
            <w:tcMar>
              <w:top w:w="15" w:type="dxa"/>
              <w:left w:w="15" w:type="dxa"/>
              <w:bottom w:w="15" w:type="dxa"/>
              <w:right w:w="15" w:type="dxa"/>
            </w:tcMar>
            <w:vAlign w:val="center"/>
          </w:tcPr>
          <w:p w:rsidR="7ABEB651" w:rsidP="7ABEB651" w:rsidRDefault="7ABEB651" w14:paraId="4385B0D6" w14:textId="10B9C9AD">
            <w:pPr>
              <w:rPr>
                <w:rFonts w:ascii="Aptos" w:hAnsi="Aptos" w:eastAsia="Aptos" w:cs="Aptos"/>
                <w:b w:val="0"/>
                <w:bCs w:val="0"/>
                <w:i w:val="0"/>
                <w:iCs w:val="0"/>
                <w:sz w:val="22"/>
                <w:szCs w:val="22"/>
              </w:rPr>
            </w:pPr>
            <w:r w:rsidRPr="7ABEB651" w:rsidR="7ABEB651">
              <w:rPr>
                <w:rFonts w:ascii="Aptos" w:hAnsi="Aptos" w:eastAsia="Aptos" w:cs="Aptos"/>
                <w:b w:val="1"/>
                <w:bCs w:val="1"/>
                <w:i w:val="0"/>
                <w:iCs w:val="0"/>
                <w:sz w:val="22"/>
                <w:szCs w:val="22"/>
                <w:lang w:val="en-IN"/>
              </w:rPr>
              <w:t>Preferred Term</w:t>
            </w:r>
          </w:p>
        </w:tc>
        <w:tc>
          <w:tcPr>
            <w:tcW w:w="1770" w:type="dxa"/>
            <w:tcBorders>
              <w:top w:val="single" w:color="E6E6E6" w:sz="6"/>
              <w:left w:val="single" w:color="E6E6E6" w:sz="6"/>
              <w:bottom w:val="single" w:color="E6E6E6" w:sz="6"/>
              <w:right w:val="single" w:color="E6E6E6" w:sz="6"/>
            </w:tcBorders>
            <w:shd w:val="clear" w:color="auto" w:fill="F5F5F5"/>
            <w:tcMar>
              <w:top w:w="15" w:type="dxa"/>
              <w:left w:w="15" w:type="dxa"/>
              <w:bottom w:w="15" w:type="dxa"/>
              <w:right w:w="15" w:type="dxa"/>
            </w:tcMar>
            <w:vAlign w:val="center"/>
          </w:tcPr>
          <w:p w:rsidR="7ABEB651" w:rsidP="7ABEB651" w:rsidRDefault="7ABEB651" w14:paraId="5C90A28B" w14:textId="279B5609">
            <w:pPr>
              <w:rPr>
                <w:rFonts w:ascii="Aptos" w:hAnsi="Aptos" w:eastAsia="Aptos" w:cs="Aptos"/>
                <w:b w:val="0"/>
                <w:bCs w:val="0"/>
                <w:i w:val="0"/>
                <w:iCs w:val="0"/>
                <w:sz w:val="22"/>
                <w:szCs w:val="22"/>
              </w:rPr>
            </w:pPr>
            <w:r w:rsidRPr="7ABEB651" w:rsidR="7ABEB651">
              <w:rPr>
                <w:rFonts w:ascii="Aptos" w:hAnsi="Aptos" w:eastAsia="Aptos" w:cs="Aptos"/>
                <w:b w:val="1"/>
                <w:bCs w:val="1"/>
                <w:i w:val="0"/>
                <w:iCs w:val="0"/>
                <w:sz w:val="22"/>
                <w:szCs w:val="22"/>
                <w:lang w:val="en-IN"/>
              </w:rPr>
              <w:t>Treatment (%)</w:t>
            </w:r>
          </w:p>
        </w:tc>
        <w:tc>
          <w:tcPr>
            <w:tcW w:w="1575" w:type="dxa"/>
            <w:tcBorders>
              <w:top w:val="single" w:color="E6E6E6" w:sz="6"/>
              <w:left w:val="single" w:color="E6E6E6" w:sz="6"/>
              <w:bottom w:val="single" w:color="E6E6E6" w:sz="6"/>
              <w:right w:val="single" w:color="E6E6E6" w:sz="6"/>
            </w:tcBorders>
            <w:shd w:val="clear" w:color="auto" w:fill="F5F5F5"/>
            <w:tcMar>
              <w:top w:w="15" w:type="dxa"/>
              <w:left w:w="15" w:type="dxa"/>
              <w:bottom w:w="15" w:type="dxa"/>
              <w:right w:w="15" w:type="dxa"/>
            </w:tcMar>
            <w:vAlign w:val="center"/>
          </w:tcPr>
          <w:p w:rsidR="7ABEB651" w:rsidP="7ABEB651" w:rsidRDefault="7ABEB651" w14:paraId="7A9197E0" w14:textId="20A0A90A">
            <w:pPr>
              <w:rPr>
                <w:rFonts w:ascii="Aptos" w:hAnsi="Aptos" w:eastAsia="Aptos" w:cs="Aptos"/>
                <w:b w:val="0"/>
                <w:bCs w:val="0"/>
                <w:i w:val="0"/>
                <w:iCs w:val="0"/>
                <w:sz w:val="22"/>
                <w:szCs w:val="22"/>
              </w:rPr>
            </w:pPr>
            <w:r w:rsidRPr="7ABEB651" w:rsidR="7ABEB651">
              <w:rPr>
                <w:rFonts w:ascii="Aptos" w:hAnsi="Aptos" w:eastAsia="Aptos" w:cs="Aptos"/>
                <w:b w:val="1"/>
                <w:bCs w:val="1"/>
                <w:i w:val="0"/>
                <w:iCs w:val="0"/>
                <w:sz w:val="22"/>
                <w:szCs w:val="22"/>
                <w:lang w:val="en-IN"/>
              </w:rPr>
              <w:t>Placebo (%)</w:t>
            </w:r>
          </w:p>
        </w:tc>
      </w:tr>
      <w:tr w:rsidR="7ABEB651" w:rsidTr="7ABEB651" w14:paraId="220E6DCB">
        <w:trPr>
          <w:trHeight w:val="300"/>
        </w:trPr>
        <w:tc>
          <w:tcPr>
            <w:tcW w:w="2925"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25474EDC" w14:textId="220DBC84">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Headache</w:t>
            </w:r>
          </w:p>
        </w:tc>
        <w:tc>
          <w:tcPr>
            <w:tcW w:w="1770"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11208237" w14:textId="347F5626">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11.2</w:t>
            </w:r>
          </w:p>
        </w:tc>
        <w:tc>
          <w:tcPr>
            <w:tcW w:w="1575"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7C8D4E19" w14:textId="6B88F6B3">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9.5</w:t>
            </w:r>
          </w:p>
        </w:tc>
      </w:tr>
      <w:tr w:rsidR="7ABEB651" w:rsidTr="7ABEB651" w14:paraId="07955782">
        <w:trPr>
          <w:trHeight w:val="300"/>
        </w:trPr>
        <w:tc>
          <w:tcPr>
            <w:tcW w:w="2925"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2B14083E" w14:textId="5A18EEA6">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Nausea</w:t>
            </w:r>
          </w:p>
        </w:tc>
        <w:tc>
          <w:tcPr>
            <w:tcW w:w="1770"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4B829C0E" w14:textId="58966202">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8.3</w:t>
            </w:r>
          </w:p>
        </w:tc>
        <w:tc>
          <w:tcPr>
            <w:tcW w:w="1575"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6B3CCAFC" w14:textId="1CA05722">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6.7</w:t>
            </w:r>
          </w:p>
        </w:tc>
      </w:tr>
      <w:tr w:rsidR="7ABEB651" w:rsidTr="7ABEB651" w14:paraId="0EF98150">
        <w:trPr>
          <w:trHeight w:val="300"/>
        </w:trPr>
        <w:tc>
          <w:tcPr>
            <w:tcW w:w="2925"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06CEE16A" w14:textId="1BCDD7B7">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Upper respiratory infection</w:t>
            </w:r>
          </w:p>
        </w:tc>
        <w:tc>
          <w:tcPr>
            <w:tcW w:w="1770"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5DAE7DBB" w14:textId="5971F074">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9.6</w:t>
            </w:r>
          </w:p>
        </w:tc>
        <w:tc>
          <w:tcPr>
            <w:tcW w:w="1575" w:type="dxa"/>
            <w:tcBorders>
              <w:top w:val="single" w:color="E6E6E6" w:sz="6"/>
              <w:left w:val="single" w:color="E6E6E6" w:sz="6"/>
              <w:bottom w:val="single" w:color="E6E6E6" w:sz="6"/>
              <w:right w:val="single" w:color="E6E6E6" w:sz="6"/>
            </w:tcBorders>
            <w:tcMar>
              <w:top w:w="15" w:type="dxa"/>
              <w:left w:w="15" w:type="dxa"/>
              <w:bottom w:w="15" w:type="dxa"/>
              <w:right w:w="15" w:type="dxa"/>
            </w:tcMar>
            <w:vAlign w:val="center"/>
          </w:tcPr>
          <w:p w:rsidR="7ABEB651" w:rsidP="7ABEB651" w:rsidRDefault="7ABEB651" w14:paraId="60BD3BC2" w14:textId="4DEC14EA">
            <w:pPr>
              <w:rPr>
                <w:rFonts w:ascii="Aptos" w:hAnsi="Aptos" w:eastAsia="Aptos" w:cs="Aptos"/>
                <w:b w:val="0"/>
                <w:bCs w:val="0"/>
                <w:i w:val="0"/>
                <w:iCs w:val="0"/>
                <w:sz w:val="22"/>
                <w:szCs w:val="22"/>
              </w:rPr>
            </w:pPr>
            <w:r w:rsidRPr="7ABEB651" w:rsidR="7ABEB651">
              <w:rPr>
                <w:rFonts w:ascii="Aptos" w:hAnsi="Aptos" w:eastAsia="Aptos" w:cs="Aptos"/>
                <w:b w:val="0"/>
                <w:bCs w:val="0"/>
                <w:i w:val="0"/>
                <w:iCs w:val="0"/>
                <w:sz w:val="22"/>
                <w:szCs w:val="22"/>
                <w:lang w:val="en-IN"/>
              </w:rPr>
              <w:t>8.8</w:t>
            </w:r>
          </w:p>
        </w:tc>
      </w:tr>
    </w:tbl>
    <w:p w:rsidR="7ABEB651" w:rsidP="7ABEB651" w:rsidRDefault="7ABEB651" w14:paraId="2FA579D6" w14:textId="5F842DBF">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6f17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cc6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c0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a7e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2be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12d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0fe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CBA85A"/>
    <w:rsid w:val="03D69256"/>
    <w:rsid w:val="0A5AA164"/>
    <w:rsid w:val="0B455E73"/>
    <w:rsid w:val="0FC5986D"/>
    <w:rsid w:val="1175507F"/>
    <w:rsid w:val="1211CABD"/>
    <w:rsid w:val="148FF94F"/>
    <w:rsid w:val="148FF94F"/>
    <w:rsid w:val="15DA1A7C"/>
    <w:rsid w:val="15DA1A7C"/>
    <w:rsid w:val="19875B0C"/>
    <w:rsid w:val="19875B0C"/>
    <w:rsid w:val="1A94069B"/>
    <w:rsid w:val="2321DC86"/>
    <w:rsid w:val="2371675C"/>
    <w:rsid w:val="2479D5E4"/>
    <w:rsid w:val="26EED896"/>
    <w:rsid w:val="276B78CE"/>
    <w:rsid w:val="27DE73CA"/>
    <w:rsid w:val="29C73741"/>
    <w:rsid w:val="2AD32DFF"/>
    <w:rsid w:val="2B6C5CA2"/>
    <w:rsid w:val="2E2741B4"/>
    <w:rsid w:val="335E8D22"/>
    <w:rsid w:val="3A0047A8"/>
    <w:rsid w:val="3CCBA85A"/>
    <w:rsid w:val="401FD307"/>
    <w:rsid w:val="406E51F4"/>
    <w:rsid w:val="424129A2"/>
    <w:rsid w:val="43161245"/>
    <w:rsid w:val="4385DE21"/>
    <w:rsid w:val="43D722EB"/>
    <w:rsid w:val="45B70860"/>
    <w:rsid w:val="46526EE4"/>
    <w:rsid w:val="4886319C"/>
    <w:rsid w:val="48A26CD3"/>
    <w:rsid w:val="48A7812B"/>
    <w:rsid w:val="4B2D6A96"/>
    <w:rsid w:val="559F1C2E"/>
    <w:rsid w:val="55FC2517"/>
    <w:rsid w:val="564DBF9C"/>
    <w:rsid w:val="58EDF478"/>
    <w:rsid w:val="58EDF478"/>
    <w:rsid w:val="5C6FA63C"/>
    <w:rsid w:val="5DC3A4BC"/>
    <w:rsid w:val="5EEAB45B"/>
    <w:rsid w:val="68A559AD"/>
    <w:rsid w:val="696642D0"/>
    <w:rsid w:val="6AEE81A2"/>
    <w:rsid w:val="6AEFBCED"/>
    <w:rsid w:val="6C409A3C"/>
    <w:rsid w:val="6DA478D4"/>
    <w:rsid w:val="6DE23B57"/>
    <w:rsid w:val="6FE69CC2"/>
    <w:rsid w:val="70D54EFC"/>
    <w:rsid w:val="750B8AA9"/>
    <w:rsid w:val="77FF928B"/>
    <w:rsid w:val="780A9BC7"/>
    <w:rsid w:val="7A14D5A4"/>
    <w:rsid w:val="7ABEB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DD46"/>
  <w15:chartTrackingRefBased/>
  <w15:docId w15:val="{29BF9A5D-D371-4692-A5A4-EC0764E379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ABEB6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ABEB651"/>
    <w:pPr>
      <w:spacing/>
      <w:ind w:left="720"/>
      <w:contextualSpacing/>
    </w:pPr>
  </w:style>
  <w:style w:type="paragraph" w:styleId="Heading3">
    <w:uiPriority w:val="9"/>
    <w:name w:val="heading 3"/>
    <w:basedOn w:val="Normal"/>
    <w:next w:val="Normal"/>
    <w:unhideWhenUsed/>
    <w:qFormat/>
    <w:rsid w:val="7ABEB65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ABEB65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6a366f1285f42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2026-06-24T05:13:07.2656524Z</dcterms:created>
  <dcterms:modified xsi:type="dcterms:W3CDTF">2026-06-24T06:10:18.5520985Z</dcterms:modified>
  <dc:creator>Pooja Milan Gursale</dc:creator>
  <lastModifiedBy>Pooja Milan Gursale</lastModifiedBy>
</coreProperties>
</file>