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DDA3BCE" w:rsidP="66393FDB" w:rsidRDefault="1DDA3BCE" w14:paraId="7491E433" w14:textId="67823E18">
      <w:pPr>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IN"/>
        </w:rPr>
      </w:pPr>
      <w:r w:rsidRPr="66393FDB" w:rsidR="1DDA3BCE">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IN"/>
        </w:rPr>
        <w:t>CLINICAL STUDY PROTOCOL ( Afatinib)</w:t>
      </w:r>
    </w:p>
    <w:p w:rsidR="6B11D77C" w:rsidP="66393FDB" w:rsidRDefault="6B11D77C" w14:paraId="54A9458C" w14:textId="13946727">
      <w:pPr>
        <w:pStyle w:val="Normal"/>
      </w:pPr>
      <w:r w:rsidRPr="5BC8CF14" w:rsidR="1B0AE01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IN"/>
        </w:rPr>
        <w:t>Study ID</w:t>
      </w:r>
      <w:r w:rsidRPr="5BC8CF14" w:rsidR="1B0AE01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IN"/>
        </w:rPr>
        <w:t xml:space="preserve">- </w:t>
      </w:r>
      <w:r w:rsidRPr="5BC8CF14" w:rsidR="1B0AE010">
        <w:rPr>
          <w:rFonts w:ascii="Calibri" w:hAnsi="Calibri" w:eastAsia="Calibri" w:cs="Calibri" w:asciiTheme="minorAscii" w:hAnsiTheme="minorAscii" w:eastAsiaTheme="minorAscii" w:cstheme="minorAscii"/>
          <w:b w:val="0"/>
          <w:bCs w:val="0"/>
          <w:i w:val="0"/>
          <w:iCs w:val="0"/>
          <w:caps w:val="0"/>
          <w:smallCaps w:val="0"/>
          <w:noProof w:val="0"/>
          <w:color w:val="1B1B1B"/>
          <w:sz w:val="24"/>
          <w:szCs w:val="24"/>
          <w:lang w:val="en-IN"/>
        </w:rPr>
        <w:t>NCT</w:t>
      </w:r>
      <w:r w:rsidRPr="5BC8CF14" w:rsidR="1B0AE010">
        <w:rPr>
          <w:rFonts w:ascii="Calibri" w:hAnsi="Calibri" w:eastAsia="Calibri" w:cs="Calibri" w:asciiTheme="minorAscii" w:hAnsiTheme="minorAscii" w:eastAsiaTheme="minorAscii" w:cstheme="minorAscii"/>
          <w:b w:val="0"/>
          <w:bCs w:val="0"/>
          <w:i w:val="0"/>
          <w:iCs w:val="0"/>
          <w:caps w:val="0"/>
          <w:smallCaps w:val="0"/>
          <w:noProof w:val="0"/>
          <w:color w:val="1B1B1B"/>
          <w:sz w:val="24"/>
          <w:szCs w:val="24"/>
          <w:lang w:val="en-IN"/>
        </w:rPr>
        <w:t>02369484</w:t>
      </w:r>
    </w:p>
    <w:p w:rsidR="66393FDB" w:rsidP="66393FDB" w:rsidRDefault="66393FDB" w14:paraId="73280626" w14:textId="6C6FD38F">
      <w:pPr>
        <w:pStyle w:val="Normal"/>
        <w:rPr>
          <w:rFonts w:ascii="Calibri" w:hAnsi="Calibri" w:eastAsia="Calibri" w:cs="Calibri" w:asciiTheme="minorAscii" w:hAnsiTheme="minorAscii" w:eastAsiaTheme="minorAscii" w:cstheme="minorAscii"/>
          <w:b w:val="0"/>
          <w:bCs w:val="0"/>
          <w:i w:val="0"/>
          <w:iCs w:val="0"/>
          <w:caps w:val="0"/>
          <w:smallCaps w:val="0"/>
          <w:noProof w:val="0"/>
          <w:color w:val="1B1B1B"/>
          <w:sz w:val="24"/>
          <w:szCs w:val="24"/>
          <w:lang w:val="en-IN"/>
        </w:rPr>
      </w:pPr>
    </w:p>
    <w:p w:rsidR="6B11D77C" w:rsidP="66393FDB" w:rsidRDefault="6B11D77C" w14:paraId="676EDA21" w14:textId="375C6903">
      <w:pPr>
        <w:pStyle w:val="Heading1"/>
        <w:rPr>
          <w:rFonts w:ascii="Calibri" w:hAnsi="Calibri" w:eastAsia="Calibri" w:cs="Calibri" w:asciiTheme="minorAscii" w:hAnsiTheme="minorAscii" w:eastAsiaTheme="minorAscii" w:cstheme="minorAscii"/>
          <w:b w:val="1"/>
          <w:bCs w:val="1"/>
          <w:noProof w:val="0"/>
          <w:color w:val="auto"/>
          <w:sz w:val="24"/>
          <w:szCs w:val="24"/>
          <w:lang w:val="en-IN"/>
        </w:rPr>
      </w:pPr>
      <w:r w:rsidRPr="66393FDB" w:rsidR="6B11D77C">
        <w:rPr>
          <w:rFonts w:ascii="Calibri" w:hAnsi="Calibri" w:eastAsia="Calibri" w:cs="Calibri" w:asciiTheme="minorAscii" w:hAnsiTheme="minorAscii" w:eastAsiaTheme="minorAscii" w:cstheme="minorAscii"/>
          <w:b w:val="1"/>
          <w:bCs w:val="1"/>
          <w:noProof w:val="0"/>
          <w:color w:val="auto"/>
          <w:sz w:val="24"/>
          <w:szCs w:val="24"/>
          <w:lang w:val="en-IN"/>
        </w:rPr>
        <w:t>1</w:t>
      </w:r>
      <w:r w:rsidRPr="66393FDB" w:rsidR="0484480A">
        <w:rPr>
          <w:rFonts w:ascii="Calibri" w:hAnsi="Calibri" w:eastAsia="Calibri" w:cs="Calibri" w:asciiTheme="minorAscii" w:hAnsiTheme="minorAscii" w:eastAsiaTheme="minorAscii" w:cstheme="minorAscii"/>
          <w:b w:val="1"/>
          <w:bCs w:val="1"/>
          <w:noProof w:val="0"/>
          <w:color w:val="auto"/>
          <w:sz w:val="24"/>
          <w:szCs w:val="24"/>
          <w:lang w:val="en-IN"/>
        </w:rPr>
        <w:t>.</w:t>
      </w:r>
      <w:r w:rsidRPr="66393FDB" w:rsidR="6B11D77C">
        <w:rPr>
          <w:rFonts w:ascii="Calibri" w:hAnsi="Calibri" w:eastAsia="Calibri" w:cs="Calibri" w:asciiTheme="minorAscii" w:hAnsiTheme="minorAscii" w:eastAsiaTheme="minorAscii" w:cstheme="minorAscii"/>
          <w:b w:val="1"/>
          <w:bCs w:val="1"/>
          <w:noProof w:val="0"/>
          <w:color w:val="auto"/>
          <w:sz w:val="24"/>
          <w:szCs w:val="24"/>
          <w:lang w:val="en-IN"/>
        </w:rPr>
        <w:t xml:space="preserve"> Study Overview</w:t>
      </w:r>
    </w:p>
    <w:p w:rsidR="6B11D77C" w:rsidP="66393FDB" w:rsidRDefault="6B11D77C" w14:paraId="67EDF1BB" w14:textId="5C6293F3">
      <w:pPr>
        <w:spacing w:before="0" w:beforeAutospacing="off" w:after="300" w:afterAutospacing="off"/>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lang w:val="en-IN"/>
        </w:rPr>
      </w:pPr>
      <w:r w:rsidRPr="66393FDB" w:rsidR="6B11D77C">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lang w:val="en-IN"/>
        </w:rPr>
        <w:t>The purpose of this study is to investigate the control of disease in pretreated patients with advanced non small cell lung cancer (NSCLC) harbouring HER2 exon 20 mutations as well as the safety and tolerability (how severe the side effects are) of the treatment with afatinib.</w:t>
      </w:r>
    </w:p>
    <w:p w:rsidR="6B11D77C" w:rsidP="66393FDB" w:rsidRDefault="6B11D77C" w14:paraId="64123D86" w14:textId="7EB4A5C8">
      <w:pPr>
        <w:spacing w:before="0" w:beforeAutospacing="off" w:after="300" w:afterAutospacing="off"/>
      </w:pPr>
      <w:r w:rsidRPr="779F9BF5" w:rsidR="6E8DBFF5">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lang w:val="en-IN"/>
        </w:rPr>
        <w:t xml:space="preserve">Previous clinical studies of NSCLC have shown that patients with </w:t>
      </w:r>
      <w:r w:rsidRPr="779F9BF5" w:rsidR="6E8DBFF5">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lang w:val="en-IN"/>
        </w:rPr>
        <w:t>tumors</w:t>
      </w:r>
      <w:r w:rsidRPr="779F9BF5" w:rsidR="6E8DBFF5">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lang w:val="en-IN"/>
        </w:rPr>
        <w:t xml:space="preserve"> </w:t>
      </w:r>
      <w:r w:rsidRPr="779F9BF5" w:rsidR="6E8DBFF5">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lang w:val="en-IN"/>
        </w:rPr>
        <w:t>harboring</w:t>
      </w:r>
      <w:r w:rsidRPr="779F9BF5" w:rsidR="6E8DBFF5">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lang w:val="en-IN"/>
        </w:rPr>
        <w:t xml:space="preserve"> specific gene mutations (changes) in the epithelial growth factor receptor (EGFR) or anaplastic lymphoma kinase (ALK) showed better results after treatment with tyrosine kinase inhibitors (TKI), like afatinib (tradename </w:t>
      </w:r>
      <w:r w:rsidRPr="779F9BF5" w:rsidR="6E8DBFF5">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lang w:val="en-IN"/>
        </w:rPr>
        <w:t>Giotrif</w:t>
      </w:r>
      <w:r w:rsidRPr="779F9BF5" w:rsidR="6E8DBFF5">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lang w:val="en-IN"/>
        </w:rPr>
        <w:t>®</w:t>
      </w:r>
      <w:r w:rsidRPr="779F9BF5" w:rsidR="6E8DBFF5">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lang w:val="en-IN"/>
        </w:rPr>
        <w:t>) ,</w:t>
      </w:r>
      <w:r w:rsidRPr="779F9BF5" w:rsidR="6E8DBFF5">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lang w:val="en-IN"/>
        </w:rPr>
        <w:t xml:space="preserve"> compared with classical treatment with chemotherapy. The treatment with TKI has become a new standard-of-care for patient with advanced lung cancer and EGFR or ALK changes. Several novel mutations, which are candidates as targets for specific medication have been discovered. Human epidermal growth factor 2 (HER2, erbB-2/neu) is a protein of the so called </w:t>
      </w:r>
      <w:r w:rsidRPr="779F9BF5" w:rsidR="6E8DBFF5">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lang w:val="en-IN"/>
        </w:rPr>
        <w:t>ErbB</w:t>
      </w:r>
      <w:r w:rsidRPr="779F9BF5" w:rsidR="6E8DBFF5">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lang w:val="en-IN"/>
        </w:rPr>
        <w:t xml:space="preserve"> family (including HER2 [ErbB2], ErbB3 and ErbB4). These proteins are involved in the growth and spread of cancer cells. Mutations in HER2 are found in about 2% of the NSCLC</w:t>
      </w:r>
      <w:r w:rsidRPr="779F9BF5" w:rsidR="767AD70D">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lang w:val="en-IN"/>
        </w:rPr>
        <w:t xml:space="preserve"> See </w:t>
      </w:r>
      <w:r w:rsidRPr="779F9BF5" w:rsidR="767AD70D">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highlight w:val="yellow"/>
          <w:lang w:val="en-IN"/>
        </w:rPr>
        <w:t>section 6.1 - section 6.5.</w:t>
      </w:r>
    </w:p>
    <w:p w:rsidR="6B11D77C" w:rsidP="66393FDB" w:rsidRDefault="6B11D77C" w14:paraId="169BD833" w14:textId="51E517C5">
      <w:pPr>
        <w:spacing w:before="0" w:beforeAutospacing="off" w:after="300" w:afterAutospacing="off"/>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lang w:val="en-IN"/>
        </w:rPr>
      </w:pPr>
      <w:r w:rsidRPr="66393FDB" w:rsidR="6B11D77C">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lang w:val="en-IN"/>
        </w:rPr>
        <w:t xml:space="preserve">Afatinib works by blocking the activity of the </w:t>
      </w:r>
      <w:r w:rsidRPr="66393FDB" w:rsidR="6B11D77C">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lang w:val="en-IN"/>
        </w:rPr>
        <w:t>ErbB</w:t>
      </w:r>
      <w:r w:rsidRPr="66393FDB" w:rsidR="6B11D77C">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lang w:val="en-IN"/>
        </w:rPr>
        <w:t xml:space="preserve"> family proteins and can inhibit growth and spread of cancer cells. Afatinib is approved by the European and the Swiss Medicines Agencies for the treatment of adult patients with a specific type of cancer of the lung (non-small cell lung cancer) that is identified by a change (mutation) in the gene for EGFR as first treatment or if prior chemotherapy treatment has been insufficient</w:t>
      </w:r>
      <w:r w:rsidRPr="66393FDB" w:rsidR="14258635">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lang w:val="en-IN"/>
        </w:rPr>
        <w:t xml:space="preserve"> See </w:t>
      </w:r>
      <w:r w:rsidRPr="66393FDB" w:rsidR="14258635">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highlight w:val="yellow"/>
          <w:lang w:val="en-IN"/>
        </w:rPr>
        <w:t>Attachment 1 to Attachment 3.</w:t>
      </w:r>
    </w:p>
    <w:p w:rsidR="6B11D77C" w:rsidP="66393FDB" w:rsidRDefault="6B11D77C" w14:paraId="705C7D17" w14:textId="5BE8658A">
      <w:pPr>
        <w:spacing w:before="0" w:beforeAutospacing="off" w:after="300" w:afterAutospacing="off"/>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lang w:val="en-IN"/>
        </w:rPr>
      </w:pPr>
      <w:r w:rsidRPr="66393FDB" w:rsidR="6B11D77C">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lang w:val="en-IN"/>
        </w:rPr>
        <w:t xml:space="preserve">A total of 22 patients from </w:t>
      </w:r>
      <w:r w:rsidRPr="66393FDB" w:rsidR="6B11D77C">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lang w:val="en-IN"/>
        </w:rPr>
        <w:t>centers</w:t>
      </w:r>
      <w:r w:rsidRPr="66393FDB" w:rsidR="6B11D77C">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lang w:val="en-IN"/>
        </w:rPr>
        <w:t xml:space="preserve"> around Europe are expected to be enrolled in this study over a period of 24 months</w:t>
      </w:r>
      <w:r w:rsidRPr="66393FDB" w:rsidR="622E171C">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lang w:val="en-IN"/>
        </w:rPr>
        <w:t xml:space="preserve"> See </w:t>
      </w:r>
      <w:r w:rsidRPr="66393FDB" w:rsidR="622E171C">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highlight w:val="yellow"/>
          <w:lang w:val="en-IN"/>
        </w:rPr>
        <w:t>CSR</w:t>
      </w:r>
      <w:r w:rsidRPr="66393FDB" w:rsidR="622E171C">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lang w:val="en-IN"/>
        </w:rPr>
        <w:t>.</w:t>
      </w:r>
    </w:p>
    <w:p w:rsidR="6B11D77C" w:rsidP="66393FDB" w:rsidRDefault="6B11D77C" w14:paraId="4F25BCAC" w14:textId="143A9F92">
      <w:pPr>
        <w:spacing w:before="0" w:beforeAutospacing="off" w:after="300" w:afterAutospacing="off"/>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lang w:val="en-IN"/>
        </w:rPr>
      </w:pPr>
      <w:r w:rsidRPr="66393FDB" w:rsidR="6B11D77C">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lang w:val="en-IN"/>
        </w:rPr>
        <w:t>All patients will be treated in the same way. The study will take approximately 40 months to be completed</w:t>
      </w:r>
      <w:r w:rsidRPr="66393FDB" w:rsidR="707CF7A4">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lang w:val="en-IN"/>
        </w:rPr>
        <w:t xml:space="preserve"> See </w:t>
      </w:r>
      <w:r w:rsidRPr="66393FDB" w:rsidR="707CF7A4">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highlight w:val="yellow"/>
          <w:lang w:val="en-IN"/>
        </w:rPr>
        <w:t>Figure 1.</w:t>
      </w:r>
    </w:p>
    <w:p w:rsidR="6B11D77C" w:rsidP="66393FDB" w:rsidRDefault="6B11D77C" w14:paraId="355541E2" w14:textId="5AC251EC">
      <w:pPr>
        <w:spacing w:before="0" w:beforeAutospacing="off" w:after="300" w:afterAutospacing="off"/>
      </w:pPr>
      <w:r w:rsidRPr="66393FDB" w:rsidR="6B11D77C">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lang w:val="en-IN"/>
        </w:rPr>
        <w:t>This clinical trial is conducted according to the applicable national laws and international guidelines.</w:t>
      </w:r>
      <w:r w:rsidRPr="66393FDB" w:rsidR="238A9035">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lang w:val="en-IN"/>
        </w:rPr>
        <w:t xml:space="preserve"> See </w:t>
      </w:r>
      <w:r w:rsidRPr="66393FDB" w:rsidR="238A9035">
        <w:rPr>
          <w:rFonts w:ascii="Calibri" w:hAnsi="Calibri" w:eastAsia="Calibri" w:cs="Calibri" w:asciiTheme="minorAscii" w:hAnsiTheme="minorAscii" w:eastAsiaTheme="minorAscii" w:cstheme="minorAscii"/>
          <w:b w:val="0"/>
          <w:bCs w:val="0"/>
          <w:i w:val="0"/>
          <w:iCs w:val="0"/>
          <w:caps w:val="0"/>
          <w:smallCaps w:val="0"/>
          <w:noProof w:val="0"/>
          <w:color w:val="171716"/>
          <w:sz w:val="24"/>
          <w:szCs w:val="24"/>
          <w:highlight w:val="yellow"/>
          <w:lang w:val="en-IN"/>
        </w:rPr>
        <w:t>Table A and Table 1.</w:t>
      </w:r>
    </w:p>
    <w:p w:rsidR="66393FDB" w:rsidP="66393FDB" w:rsidRDefault="66393FDB" w14:paraId="598BCF75" w14:textId="0EBAE85A">
      <w:pPr>
        <w:rPr>
          <w:rFonts w:ascii="Aptos" w:hAnsi="Aptos" w:eastAsia="Aptos" w:cs="Aptos"/>
          <w:b w:val="1"/>
          <w:bCs w:val="1"/>
          <w:i w:val="0"/>
          <w:iCs w:val="0"/>
          <w:caps w:val="0"/>
          <w:smallCaps w:val="0"/>
          <w:noProof w:val="0"/>
          <w:color w:val="000000" w:themeColor="text1" w:themeTint="FF" w:themeShade="FF"/>
          <w:sz w:val="22"/>
          <w:szCs w:val="22"/>
          <w:lang w:val="en-IN"/>
        </w:rPr>
      </w:pPr>
    </w:p>
    <w:p w:rsidR="66393FDB" w:rsidP="66393FDB" w:rsidRDefault="66393FDB" w14:paraId="1D38167C" w14:textId="6FA0388A">
      <w:pPr>
        <w:rPr>
          <w:rFonts w:ascii="Aptos" w:hAnsi="Aptos" w:eastAsia="Aptos" w:cs="Aptos"/>
          <w:b w:val="1"/>
          <w:bCs w:val="1"/>
          <w:i w:val="0"/>
          <w:iCs w:val="0"/>
          <w:caps w:val="0"/>
          <w:smallCaps w:val="0"/>
          <w:noProof w:val="0"/>
          <w:color w:val="000000" w:themeColor="text1" w:themeTint="FF" w:themeShade="FF"/>
          <w:sz w:val="22"/>
          <w:szCs w:val="22"/>
          <w:lang w:val="en-IN"/>
        </w:rPr>
      </w:pPr>
    </w:p>
    <w:p w:rsidR="240B084F" w:rsidP="66393FDB" w:rsidRDefault="240B084F" w14:paraId="64AB0F99" w14:textId="040F147A">
      <w:pPr>
        <w:pStyle w:val="Heading1"/>
        <w:bidi w:val="0"/>
        <w:rPr>
          <w:rFonts w:ascii="Calibri" w:hAnsi="Calibri" w:eastAsia="Calibri" w:cs="Calibri" w:asciiTheme="minorAscii" w:hAnsiTheme="minorAscii" w:eastAsiaTheme="minorAscii" w:cstheme="minorAscii"/>
          <w:b w:val="1"/>
          <w:bCs w:val="1"/>
          <w:noProof w:val="0"/>
          <w:color w:val="auto"/>
          <w:sz w:val="24"/>
          <w:szCs w:val="24"/>
          <w:lang w:val="en-US"/>
        </w:rPr>
      </w:pPr>
      <w:r w:rsidRPr="66393FDB" w:rsidR="240B084F">
        <w:rPr>
          <w:rFonts w:ascii="Calibri" w:hAnsi="Calibri" w:eastAsia="Calibri" w:cs="Calibri" w:asciiTheme="minorAscii" w:hAnsiTheme="minorAscii" w:eastAsiaTheme="minorAscii" w:cstheme="minorAscii"/>
          <w:b w:val="1"/>
          <w:bCs w:val="1"/>
          <w:noProof w:val="0"/>
          <w:color w:val="auto"/>
          <w:sz w:val="24"/>
          <w:szCs w:val="24"/>
          <w:lang w:val="en-US"/>
        </w:rPr>
        <w:t>2. Indication</w:t>
      </w:r>
    </w:p>
    <w:p w:rsidR="240B084F" w:rsidP="66393FDB" w:rsidRDefault="240B084F" w14:paraId="0F69CE6B" w14:textId="157B5783">
      <w:pPr>
        <w:pStyle w:val="ListParagraph"/>
        <w:numPr>
          <w:ilvl w:val="0"/>
          <w:numId w:val="1"/>
        </w:numPr>
        <w:spacing w:before="0" w:beforeAutospacing="off" w:after="0" w:afterAutospacing="off" w:line="300" w:lineRule="auto"/>
        <w:rPr>
          <w:b w:val="0"/>
          <w:bCs w:val="0"/>
          <w:i w:val="0"/>
          <w:iCs w:val="0"/>
          <w:strike w:val="0"/>
          <w:dstrike w:val="0"/>
          <w:noProof w:val="0"/>
          <w:color w:val="auto"/>
          <w:u w:val="none"/>
          <w:lang w:val="en-US"/>
        </w:rPr>
      </w:pPr>
      <w:r w:rsidRPr="66393FDB" w:rsidR="240B084F">
        <w:rPr>
          <w:rFonts w:ascii="Segoe UI" w:hAnsi="Segoe UI" w:eastAsia="Segoe UI" w:cs="Segoe UI"/>
          <w:b w:val="0"/>
          <w:bCs w:val="0"/>
          <w:i w:val="0"/>
          <w:iCs w:val="0"/>
          <w:noProof w:val="0"/>
          <w:color w:val="auto"/>
          <w:sz w:val="21"/>
          <w:szCs w:val="21"/>
          <w:lang w:val="en-US"/>
        </w:rPr>
        <w:t>First</w:t>
      </w:r>
      <w:r>
        <w:noBreakHyphen/>
      </w:r>
      <w:r w:rsidRPr="66393FDB" w:rsidR="240B084F">
        <w:rPr>
          <w:rFonts w:ascii="Segoe UI" w:hAnsi="Segoe UI" w:eastAsia="Segoe UI" w:cs="Segoe UI"/>
          <w:b w:val="0"/>
          <w:bCs w:val="0"/>
          <w:i w:val="0"/>
          <w:iCs w:val="0"/>
          <w:noProof w:val="0"/>
          <w:color w:val="auto"/>
          <w:sz w:val="21"/>
          <w:szCs w:val="21"/>
          <w:lang w:val="en-US"/>
        </w:rPr>
        <w:t xml:space="preserve">line treatment of </w:t>
      </w:r>
      <w:r w:rsidRPr="66393FDB" w:rsidR="240B084F">
        <w:rPr>
          <w:rFonts w:ascii="Segoe UI" w:hAnsi="Segoe UI" w:eastAsia="Segoe UI" w:cs="Segoe UI"/>
          <w:b w:val="0"/>
          <w:bCs w:val="0"/>
          <w:i w:val="0"/>
          <w:iCs w:val="0"/>
          <w:noProof w:val="0"/>
          <w:color w:val="auto"/>
          <w:sz w:val="21"/>
          <w:szCs w:val="21"/>
          <w:lang w:val="en-US"/>
        </w:rPr>
        <w:t>EGFR mutation–positive metastatic NSCLC</w:t>
      </w:r>
      <w:r w:rsidRPr="66393FDB" w:rsidR="240B084F">
        <w:rPr>
          <w:rFonts w:ascii="Segoe UI" w:hAnsi="Segoe UI" w:eastAsia="Segoe UI" w:cs="Segoe UI"/>
          <w:b w:val="0"/>
          <w:bCs w:val="0"/>
          <w:i w:val="0"/>
          <w:iCs w:val="0"/>
          <w:noProof w:val="0"/>
          <w:color w:val="auto"/>
          <w:sz w:val="21"/>
          <w:szCs w:val="21"/>
          <w:lang w:val="en-US"/>
        </w:rPr>
        <w:t xml:space="preserve"> </w:t>
      </w:r>
    </w:p>
    <w:p w:rsidR="240B084F" w:rsidP="66393FDB" w:rsidRDefault="240B084F" w14:paraId="079FBB67" w14:textId="1F1CD800">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color w:val="auto"/>
          <w:sz w:val="21"/>
          <w:szCs w:val="21"/>
          <w:lang w:val="en-US"/>
        </w:rPr>
      </w:pPr>
      <w:r w:rsidRPr="66393FDB" w:rsidR="240B084F">
        <w:rPr>
          <w:rFonts w:ascii="Segoe UI" w:hAnsi="Segoe UI" w:eastAsia="Segoe UI" w:cs="Segoe UI"/>
          <w:b w:val="0"/>
          <w:bCs w:val="0"/>
          <w:i w:val="0"/>
          <w:iCs w:val="0"/>
          <w:noProof w:val="0"/>
          <w:color w:val="auto"/>
          <w:sz w:val="21"/>
          <w:szCs w:val="21"/>
          <w:lang w:val="en-US"/>
        </w:rPr>
        <w:t xml:space="preserve">Also used in </w:t>
      </w:r>
      <w:r w:rsidRPr="66393FDB" w:rsidR="240B084F">
        <w:rPr>
          <w:rFonts w:ascii="Segoe UI" w:hAnsi="Segoe UI" w:eastAsia="Segoe UI" w:cs="Segoe UI"/>
          <w:b w:val="0"/>
          <w:bCs w:val="0"/>
          <w:i w:val="0"/>
          <w:iCs w:val="0"/>
          <w:noProof w:val="0"/>
          <w:color w:val="auto"/>
          <w:sz w:val="21"/>
          <w:szCs w:val="21"/>
          <w:lang w:val="en-US"/>
        </w:rPr>
        <w:t>squamous NSCLC after platinum</w:t>
      </w:r>
      <w:r>
        <w:noBreakHyphen/>
      </w:r>
      <w:r w:rsidRPr="66393FDB" w:rsidR="240B084F">
        <w:rPr>
          <w:rFonts w:ascii="Segoe UI" w:hAnsi="Segoe UI" w:eastAsia="Segoe UI" w:cs="Segoe UI"/>
          <w:b w:val="0"/>
          <w:bCs w:val="0"/>
          <w:i w:val="0"/>
          <w:iCs w:val="0"/>
          <w:noProof w:val="0"/>
          <w:color w:val="auto"/>
          <w:sz w:val="21"/>
          <w:szCs w:val="21"/>
          <w:lang w:val="en-US"/>
        </w:rPr>
        <w:t>based chemotherapy</w:t>
      </w:r>
    </w:p>
    <w:p w:rsidR="66393FDB" w:rsidP="66393FDB" w:rsidRDefault="66393FDB" w14:paraId="2228F696" w14:textId="08218BD9">
      <w:pPr>
        <w:pStyle w:val="Normal"/>
        <w:spacing w:before="0" w:beforeAutospacing="off" w:after="0" w:afterAutospacing="off" w:line="300" w:lineRule="auto"/>
        <w:rPr>
          <w:rFonts w:ascii="Segoe UI" w:hAnsi="Segoe UI" w:eastAsia="Segoe UI" w:cs="Segoe UI"/>
          <w:b w:val="0"/>
          <w:bCs w:val="0"/>
          <w:i w:val="0"/>
          <w:iCs w:val="0"/>
          <w:noProof w:val="0"/>
          <w:color w:val="auto"/>
          <w:sz w:val="21"/>
          <w:szCs w:val="21"/>
          <w:lang w:val="en-US"/>
        </w:rPr>
      </w:pPr>
    </w:p>
    <w:p w:rsidR="240B084F" w:rsidP="66393FDB" w:rsidRDefault="240B084F" w14:paraId="40317521" w14:textId="53A10A57">
      <w:pPr>
        <w:pStyle w:val="Heading1"/>
        <w:bidi w:val="0"/>
        <w:rPr>
          <w:rFonts w:ascii="Calibri" w:hAnsi="Calibri" w:eastAsia="Calibri" w:cs="Calibri" w:asciiTheme="minorAscii" w:hAnsiTheme="minorAscii" w:eastAsiaTheme="minorAscii" w:cstheme="minorAscii"/>
          <w:b w:val="1"/>
          <w:bCs w:val="1"/>
          <w:noProof w:val="0"/>
          <w:color w:val="auto"/>
          <w:sz w:val="24"/>
          <w:szCs w:val="24"/>
          <w:lang w:val="en-US"/>
        </w:rPr>
      </w:pPr>
      <w:r w:rsidRPr="66393FDB" w:rsidR="240B084F">
        <w:rPr>
          <w:rFonts w:ascii="Calibri" w:hAnsi="Calibri" w:eastAsia="Calibri" w:cs="Calibri" w:asciiTheme="minorAscii" w:hAnsiTheme="minorAscii" w:eastAsiaTheme="minorAscii" w:cstheme="minorAscii"/>
          <w:b w:val="1"/>
          <w:bCs w:val="1"/>
          <w:noProof w:val="0"/>
          <w:color w:val="auto"/>
          <w:sz w:val="24"/>
          <w:szCs w:val="24"/>
          <w:lang w:val="en-US"/>
        </w:rPr>
        <w:t>3</w:t>
      </w:r>
      <w:r w:rsidRPr="66393FDB" w:rsidR="7492A7FD">
        <w:rPr>
          <w:rFonts w:ascii="Calibri" w:hAnsi="Calibri" w:eastAsia="Calibri" w:cs="Calibri" w:asciiTheme="minorAscii" w:hAnsiTheme="minorAscii" w:eastAsiaTheme="minorAscii" w:cstheme="minorAscii"/>
          <w:b w:val="1"/>
          <w:bCs w:val="1"/>
          <w:noProof w:val="0"/>
          <w:color w:val="auto"/>
          <w:sz w:val="24"/>
          <w:szCs w:val="24"/>
          <w:lang w:val="en-US"/>
        </w:rPr>
        <w:t xml:space="preserve">. </w:t>
      </w:r>
      <w:r w:rsidRPr="66393FDB" w:rsidR="240B084F">
        <w:rPr>
          <w:rFonts w:ascii="Calibri" w:hAnsi="Calibri" w:eastAsia="Calibri" w:cs="Calibri" w:asciiTheme="minorAscii" w:hAnsiTheme="minorAscii" w:eastAsiaTheme="minorAscii" w:cstheme="minorAscii"/>
          <w:b w:val="1"/>
          <w:bCs w:val="1"/>
          <w:noProof w:val="0"/>
          <w:color w:val="auto"/>
          <w:sz w:val="24"/>
          <w:szCs w:val="24"/>
          <w:lang w:val="en-US"/>
        </w:rPr>
        <w:t>Eligibility (Typical Protocol Criteria)</w:t>
      </w:r>
    </w:p>
    <w:p w:rsidR="240B084F" w:rsidP="66393FDB" w:rsidRDefault="240B084F" w14:paraId="2C8323EA" w14:textId="33C80A6D">
      <w:pPr>
        <w:pStyle w:val="ListParagraph"/>
        <w:numPr>
          <w:ilvl w:val="0"/>
          <w:numId w:val="2"/>
        </w:numPr>
        <w:spacing w:before="0" w:beforeAutospacing="off" w:after="0" w:afterAutospacing="off" w:line="300" w:lineRule="auto"/>
        <w:rPr>
          <w:b w:val="0"/>
          <w:bCs w:val="0"/>
          <w:i w:val="0"/>
          <w:iCs w:val="0"/>
          <w:strike w:val="0"/>
          <w:dstrike w:val="0"/>
          <w:noProof w:val="0"/>
          <w:color w:val="auto"/>
          <w:u w:val="none"/>
          <w:lang w:val="en-US"/>
        </w:rPr>
      </w:pPr>
      <w:r w:rsidRPr="66393FDB" w:rsidR="240B084F">
        <w:rPr>
          <w:rFonts w:ascii="Segoe UI" w:hAnsi="Segoe UI" w:eastAsia="Segoe UI" w:cs="Segoe UI"/>
          <w:b w:val="0"/>
          <w:bCs w:val="0"/>
          <w:i w:val="0"/>
          <w:iCs w:val="0"/>
          <w:noProof w:val="0"/>
          <w:color w:val="auto"/>
          <w:sz w:val="21"/>
          <w:szCs w:val="21"/>
          <w:lang w:val="en-US"/>
        </w:rPr>
        <w:t xml:space="preserve">Confirmed </w:t>
      </w:r>
      <w:r w:rsidRPr="66393FDB" w:rsidR="240B084F">
        <w:rPr>
          <w:rFonts w:ascii="Segoe UI" w:hAnsi="Segoe UI" w:eastAsia="Segoe UI" w:cs="Segoe UI"/>
          <w:b w:val="0"/>
          <w:bCs w:val="0"/>
          <w:i w:val="0"/>
          <w:iCs w:val="0"/>
          <w:noProof w:val="0"/>
          <w:color w:val="auto"/>
          <w:sz w:val="21"/>
          <w:szCs w:val="21"/>
          <w:lang w:val="en-US"/>
        </w:rPr>
        <w:t>EGFR mutation (e.g., Exon 19 deletion or L858R)</w:t>
      </w:r>
      <w:r w:rsidRPr="66393FDB" w:rsidR="240B084F">
        <w:rPr>
          <w:rFonts w:ascii="Segoe UI" w:hAnsi="Segoe UI" w:eastAsia="Segoe UI" w:cs="Segoe UI"/>
          <w:b w:val="0"/>
          <w:bCs w:val="0"/>
          <w:i w:val="0"/>
          <w:iCs w:val="0"/>
          <w:noProof w:val="0"/>
          <w:color w:val="auto"/>
          <w:sz w:val="21"/>
          <w:szCs w:val="21"/>
          <w:lang w:val="en-US"/>
        </w:rPr>
        <w:t xml:space="preserve"> </w:t>
      </w:r>
    </w:p>
    <w:p w:rsidR="240B084F" w:rsidP="66393FDB" w:rsidRDefault="240B084F" w14:paraId="472F4141" w14:textId="16C34459">
      <w:pPr>
        <w:pStyle w:val="ListParagraph"/>
        <w:numPr>
          <w:ilvl w:val="0"/>
          <w:numId w:val="2"/>
        </w:numPr>
        <w:spacing w:before="0" w:beforeAutospacing="off" w:after="0" w:afterAutospacing="off" w:line="300" w:lineRule="auto"/>
        <w:rPr>
          <w:b w:val="0"/>
          <w:bCs w:val="0"/>
          <w:i w:val="0"/>
          <w:iCs w:val="0"/>
          <w:strike w:val="0"/>
          <w:dstrike w:val="0"/>
          <w:noProof w:val="0"/>
          <w:color w:val="auto"/>
          <w:u w:val="none"/>
          <w:lang w:val="en-US"/>
        </w:rPr>
      </w:pPr>
      <w:r w:rsidRPr="66393FDB" w:rsidR="240B084F">
        <w:rPr>
          <w:rFonts w:ascii="Segoe UI" w:hAnsi="Segoe UI" w:eastAsia="Segoe UI" w:cs="Segoe UI"/>
          <w:b w:val="0"/>
          <w:bCs w:val="0"/>
          <w:i w:val="0"/>
          <w:iCs w:val="0"/>
          <w:noProof w:val="0"/>
          <w:color w:val="auto"/>
          <w:sz w:val="21"/>
          <w:szCs w:val="21"/>
          <w:lang w:val="en-US"/>
        </w:rPr>
        <w:t>Advanced / metastatic NSCLC not suitable for curative treatment</w:t>
      </w:r>
    </w:p>
    <w:p w:rsidR="240B084F" w:rsidP="66393FDB" w:rsidRDefault="240B084F" w14:paraId="6664C7F0" w14:textId="25E2B0C8">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color w:val="auto"/>
          <w:sz w:val="21"/>
          <w:szCs w:val="21"/>
          <w:lang w:val="en-US"/>
        </w:rPr>
      </w:pPr>
      <w:r w:rsidRPr="66393FDB" w:rsidR="240B084F">
        <w:rPr>
          <w:rFonts w:ascii="Segoe UI" w:hAnsi="Segoe UI" w:eastAsia="Segoe UI" w:cs="Segoe UI"/>
          <w:b w:val="0"/>
          <w:bCs w:val="0"/>
          <w:i w:val="0"/>
          <w:iCs w:val="0"/>
          <w:noProof w:val="0"/>
          <w:color w:val="auto"/>
          <w:sz w:val="21"/>
          <w:szCs w:val="21"/>
          <w:lang w:val="en-US"/>
        </w:rPr>
        <w:t>Adequate organ function</w:t>
      </w:r>
    </w:p>
    <w:p w:rsidR="240B084F" w:rsidP="779F9BF5" w:rsidRDefault="240B084F" w14:paraId="20A55334" w14:textId="6710DE54">
      <w:pPr>
        <w:pStyle w:val="ListParagraph"/>
        <w:numPr>
          <w:ilvl w:val="0"/>
          <w:numId w:val="2"/>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caps w:val="0"/>
          <w:smallCaps w:val="0"/>
          <w:noProof w:val="0"/>
          <w:color w:val="1B1B1B"/>
          <w:sz w:val="24"/>
          <w:szCs w:val="24"/>
          <w:highlight w:val="yellow"/>
          <w:lang w:val="en-IN"/>
        </w:rPr>
      </w:pPr>
      <w:r w:rsidRPr="779F9BF5" w:rsidR="52642306">
        <w:rPr>
          <w:rFonts w:ascii="Segoe UI" w:hAnsi="Segoe UI" w:eastAsia="Segoe UI" w:cs="Segoe UI"/>
          <w:b w:val="0"/>
          <w:bCs w:val="0"/>
          <w:i w:val="0"/>
          <w:iCs w:val="0"/>
          <w:noProof w:val="0"/>
          <w:color w:val="auto"/>
          <w:sz w:val="21"/>
          <w:szCs w:val="21"/>
          <w:lang w:val="en-US"/>
        </w:rPr>
        <w:t xml:space="preserve">ECOG PS </w:t>
      </w:r>
      <w:r w:rsidRPr="779F9BF5" w:rsidR="52642306">
        <w:rPr>
          <w:rFonts w:ascii="Segoe UI" w:hAnsi="Segoe UI" w:eastAsia="Segoe UI" w:cs="Segoe UI"/>
          <w:b w:val="0"/>
          <w:bCs w:val="0"/>
          <w:i w:val="0"/>
          <w:iCs w:val="0"/>
          <w:noProof w:val="0"/>
          <w:color w:val="auto"/>
          <w:sz w:val="21"/>
          <w:szCs w:val="21"/>
          <w:lang w:val="en-US"/>
        </w:rPr>
        <w:t>generally 0</w:t>
      </w:r>
      <w:r w:rsidRPr="779F9BF5" w:rsidR="52642306">
        <w:rPr>
          <w:rFonts w:ascii="Segoe UI" w:hAnsi="Segoe UI" w:eastAsia="Segoe UI" w:cs="Segoe UI"/>
          <w:b w:val="0"/>
          <w:bCs w:val="0"/>
          <w:i w:val="0"/>
          <w:iCs w:val="0"/>
          <w:noProof w:val="0"/>
          <w:color w:val="auto"/>
          <w:sz w:val="21"/>
          <w:szCs w:val="21"/>
          <w:lang w:val="en-US"/>
        </w:rPr>
        <w:t>–2</w:t>
      </w:r>
      <w:r w:rsidRPr="779F9BF5" w:rsidR="1A3A4EF3">
        <w:rPr>
          <w:rFonts w:ascii="Segoe UI" w:hAnsi="Segoe UI" w:eastAsia="Segoe UI" w:cs="Segoe UI"/>
          <w:b w:val="0"/>
          <w:bCs w:val="0"/>
          <w:i w:val="0"/>
          <w:iCs w:val="0"/>
          <w:noProof w:val="0"/>
          <w:color w:val="auto"/>
          <w:sz w:val="21"/>
          <w:szCs w:val="21"/>
          <w:lang w:val="en-US"/>
        </w:rPr>
        <w:t xml:space="preserve"> in </w:t>
      </w:r>
      <w:r w:rsidRPr="779F9BF5" w:rsidR="1A3A4EF3">
        <w:rPr>
          <w:rFonts w:ascii="Calibri" w:hAnsi="Calibri" w:eastAsia="Calibri" w:cs="Calibri" w:asciiTheme="minorAscii" w:hAnsiTheme="minorAscii" w:eastAsiaTheme="minorAscii" w:cstheme="minorAscii"/>
          <w:b w:val="0"/>
          <w:bCs w:val="0"/>
          <w:i w:val="0"/>
          <w:iCs w:val="0"/>
          <w:caps w:val="0"/>
          <w:smallCaps w:val="0"/>
          <w:noProof w:val="0"/>
          <w:color w:val="1B1B1B"/>
          <w:sz w:val="24"/>
          <w:szCs w:val="24"/>
          <w:highlight w:val="yellow"/>
          <w:lang w:val="en-IN"/>
        </w:rPr>
        <w:t>NCT02369484</w:t>
      </w:r>
    </w:p>
    <w:p w:rsidR="66393FDB" w:rsidP="66393FDB" w:rsidRDefault="66393FDB" w14:paraId="0275123B" w14:textId="7F65E515">
      <w:pPr>
        <w:pStyle w:val="Normal"/>
        <w:spacing w:before="0" w:beforeAutospacing="off" w:after="0" w:afterAutospacing="off" w:line="300" w:lineRule="auto"/>
        <w:rPr>
          <w:rFonts w:ascii="Segoe UI" w:hAnsi="Segoe UI" w:eastAsia="Segoe UI" w:cs="Segoe UI"/>
          <w:b w:val="0"/>
          <w:bCs w:val="0"/>
          <w:i w:val="0"/>
          <w:iCs w:val="0"/>
          <w:noProof w:val="0"/>
          <w:color w:val="auto"/>
          <w:sz w:val="21"/>
          <w:szCs w:val="21"/>
          <w:lang w:val="en-US"/>
        </w:rPr>
      </w:pPr>
    </w:p>
    <w:p w:rsidR="42A25DA8" w:rsidP="66393FDB" w:rsidRDefault="42A25DA8" w14:paraId="4DF0BF64" w14:textId="4316BB1E">
      <w:pPr>
        <w:pStyle w:val="Heading1"/>
        <w:bidi w:val="0"/>
        <w:rPr>
          <w:rFonts w:ascii="Calibri" w:hAnsi="Calibri" w:eastAsia="Calibri" w:cs="Calibri" w:asciiTheme="minorAscii" w:hAnsiTheme="minorAscii" w:eastAsiaTheme="minorAscii" w:cstheme="minorAscii"/>
          <w:b w:val="1"/>
          <w:bCs w:val="1"/>
          <w:noProof w:val="0"/>
          <w:color w:val="auto"/>
          <w:sz w:val="24"/>
          <w:szCs w:val="24"/>
          <w:lang w:val="en-US"/>
        </w:rPr>
      </w:pPr>
      <w:r w:rsidRPr="66393FDB" w:rsidR="42A25DA8">
        <w:rPr>
          <w:rFonts w:ascii="Calibri" w:hAnsi="Calibri" w:eastAsia="Calibri" w:cs="Calibri" w:asciiTheme="minorAscii" w:hAnsiTheme="minorAscii" w:eastAsiaTheme="minorAscii" w:cstheme="minorAscii"/>
          <w:b w:val="1"/>
          <w:bCs w:val="1"/>
          <w:noProof w:val="0"/>
          <w:color w:val="auto"/>
          <w:sz w:val="24"/>
          <w:szCs w:val="24"/>
          <w:lang w:val="en-US"/>
        </w:rPr>
        <w:t>4 Dose &amp; Administration</w:t>
      </w:r>
    </w:p>
    <w:p w:rsidR="42A25DA8" w:rsidP="66393FDB" w:rsidRDefault="42A25DA8" w14:paraId="21A012E5" w14:textId="0B487CD9">
      <w:pPr>
        <w:spacing w:line="300" w:lineRule="auto"/>
      </w:pPr>
      <w:r w:rsidRPr="66393FDB" w:rsidR="42A25DA8">
        <w:rPr>
          <w:rFonts w:ascii="Segoe UI" w:hAnsi="Segoe UI" w:eastAsia="Segoe UI" w:cs="Segoe UI"/>
          <w:b w:val="1"/>
          <w:bCs w:val="1"/>
          <w:i w:val="0"/>
          <w:iCs w:val="0"/>
          <w:noProof w:val="0"/>
          <w:sz w:val="21"/>
          <w:szCs w:val="21"/>
          <w:lang w:val="en-US"/>
        </w:rPr>
        <w:t>Standard Dose:</w:t>
      </w:r>
    </w:p>
    <w:p w:rsidR="42A25DA8" w:rsidP="66393FDB" w:rsidRDefault="42A25DA8" w14:paraId="5DE5FCF2" w14:textId="00790B6D">
      <w:pPr>
        <w:pStyle w:val="ListParagraph"/>
        <w:numPr>
          <w:ilvl w:val="0"/>
          <w:numId w:val="3"/>
        </w:numPr>
        <w:spacing w:before="0" w:beforeAutospacing="off" w:after="0" w:afterAutospacing="off" w:line="300" w:lineRule="auto"/>
        <w:rPr>
          <w:b w:val="0"/>
          <w:bCs w:val="0"/>
          <w:i w:val="0"/>
          <w:iCs w:val="0"/>
          <w:strike w:val="0"/>
          <w:dstrike w:val="0"/>
          <w:noProof w:val="0"/>
          <w:color w:val="464FEB"/>
          <w:u w:val="none"/>
          <w:lang w:val="en-US"/>
        </w:rPr>
      </w:pPr>
      <w:r w:rsidRPr="66393FDB" w:rsidR="42A25DA8">
        <w:rPr>
          <w:rFonts w:ascii="Segoe UI" w:hAnsi="Segoe UI" w:eastAsia="Segoe UI" w:cs="Segoe UI"/>
          <w:b w:val="1"/>
          <w:bCs w:val="1"/>
          <w:i w:val="0"/>
          <w:iCs w:val="0"/>
          <w:noProof w:val="0"/>
          <w:sz w:val="21"/>
          <w:szCs w:val="21"/>
          <w:lang w:val="en-US"/>
        </w:rPr>
        <w:t>40 mg</w:t>
      </w:r>
      <w:r w:rsidRPr="66393FDB" w:rsidR="42A25DA8">
        <w:rPr>
          <w:rFonts w:ascii="Segoe UI" w:hAnsi="Segoe UI" w:eastAsia="Segoe UI" w:cs="Segoe UI"/>
          <w:b w:val="1"/>
          <w:bCs w:val="1"/>
          <w:i w:val="0"/>
          <w:iCs w:val="0"/>
          <w:noProof w:val="0"/>
          <w:sz w:val="21"/>
          <w:szCs w:val="21"/>
          <w:lang w:val="en-US"/>
        </w:rPr>
        <w:t xml:space="preserve"> orally once daily</w:t>
      </w:r>
      <w:r w:rsidRPr="66393FDB" w:rsidR="42A25DA8">
        <w:rPr>
          <w:rFonts w:ascii="Segoe UI" w:hAnsi="Segoe UI" w:eastAsia="Segoe UI" w:cs="Segoe UI"/>
          <w:b w:val="0"/>
          <w:bCs w:val="0"/>
          <w:i w:val="0"/>
          <w:iCs w:val="0"/>
          <w:noProof w:val="0"/>
          <w:sz w:val="21"/>
          <w:szCs w:val="21"/>
          <w:lang w:val="en-US"/>
        </w:rPr>
        <w:t xml:space="preserve"> </w:t>
      </w:r>
    </w:p>
    <w:p w:rsidR="42A25DA8" w:rsidP="66393FDB" w:rsidRDefault="42A25DA8" w14:paraId="11AE8B25" w14:textId="2CCAE2DF">
      <w:pPr>
        <w:spacing w:line="300" w:lineRule="auto"/>
      </w:pPr>
      <w:r w:rsidRPr="66393FDB" w:rsidR="42A25DA8">
        <w:rPr>
          <w:rFonts w:ascii="Segoe UI" w:hAnsi="Segoe UI" w:eastAsia="Segoe UI" w:cs="Segoe UI"/>
          <w:b w:val="1"/>
          <w:bCs w:val="1"/>
          <w:i w:val="0"/>
          <w:iCs w:val="0"/>
          <w:noProof w:val="0"/>
          <w:sz w:val="21"/>
          <w:szCs w:val="21"/>
          <w:lang w:val="en-US"/>
        </w:rPr>
        <w:t>Administration:</w:t>
      </w:r>
    </w:p>
    <w:p w:rsidR="42A25DA8" w:rsidP="66393FDB" w:rsidRDefault="42A25DA8" w14:paraId="0140C651" w14:textId="179A29E8">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6393FDB" w:rsidR="42A25DA8">
        <w:rPr>
          <w:rFonts w:ascii="Segoe UI" w:hAnsi="Segoe UI" w:eastAsia="Segoe UI" w:cs="Segoe UI"/>
          <w:b w:val="0"/>
          <w:bCs w:val="0"/>
          <w:i w:val="0"/>
          <w:iCs w:val="0"/>
          <w:noProof w:val="0"/>
          <w:sz w:val="21"/>
          <w:szCs w:val="21"/>
          <w:lang w:val="en-US"/>
        </w:rPr>
        <w:t xml:space="preserve">Take </w:t>
      </w:r>
      <w:r w:rsidRPr="66393FDB" w:rsidR="42A25DA8">
        <w:rPr>
          <w:rFonts w:ascii="Segoe UI" w:hAnsi="Segoe UI" w:eastAsia="Segoe UI" w:cs="Segoe UI"/>
          <w:b w:val="1"/>
          <w:bCs w:val="1"/>
          <w:i w:val="0"/>
          <w:iCs w:val="0"/>
          <w:noProof w:val="0"/>
          <w:sz w:val="21"/>
          <w:szCs w:val="21"/>
          <w:lang w:val="en-US"/>
        </w:rPr>
        <w:t>on empty stomach</w:t>
      </w:r>
      <w:r w:rsidRPr="66393FDB" w:rsidR="42A25DA8">
        <w:rPr>
          <w:rFonts w:ascii="Segoe UI" w:hAnsi="Segoe UI" w:eastAsia="Segoe UI" w:cs="Segoe UI"/>
          <w:b w:val="0"/>
          <w:bCs w:val="0"/>
          <w:i w:val="0"/>
          <w:iCs w:val="0"/>
          <w:noProof w:val="0"/>
          <w:sz w:val="21"/>
          <w:szCs w:val="21"/>
          <w:lang w:val="en-US"/>
        </w:rPr>
        <w:t xml:space="preserve"> </w:t>
      </w:r>
    </w:p>
    <w:p w:rsidR="42A25DA8" w:rsidP="66393FDB" w:rsidRDefault="42A25DA8" w14:paraId="430B423D" w14:textId="7D58D321">
      <w:pPr>
        <w:pStyle w:val="ListParagraph"/>
        <w:numPr>
          <w:ilvl w:val="1"/>
          <w:numId w:val="4"/>
        </w:numPr>
        <w:spacing w:before="0" w:beforeAutospacing="off" w:after="0" w:afterAutospacing="off" w:line="300" w:lineRule="auto"/>
        <w:rPr>
          <w:b w:val="0"/>
          <w:bCs w:val="0"/>
          <w:i w:val="0"/>
          <w:iCs w:val="0"/>
          <w:strike w:val="0"/>
          <w:dstrike w:val="0"/>
          <w:noProof w:val="0"/>
          <w:color w:val="464FEB"/>
          <w:u w:val="none"/>
          <w:lang w:val="en-US"/>
        </w:rPr>
      </w:pPr>
      <w:r w:rsidRPr="66393FDB" w:rsidR="42A25DA8">
        <w:rPr>
          <w:rFonts w:ascii="Segoe UI" w:hAnsi="Segoe UI" w:eastAsia="Segoe UI" w:cs="Segoe UI"/>
          <w:b w:val="0"/>
          <w:bCs w:val="0"/>
          <w:i w:val="0"/>
          <w:iCs w:val="0"/>
          <w:noProof w:val="0"/>
          <w:sz w:val="21"/>
          <w:szCs w:val="21"/>
          <w:lang w:val="en-US"/>
        </w:rPr>
        <w:t>≥1 hour before OR ≥2–3 hours after food</w:t>
      </w:r>
    </w:p>
    <w:p w:rsidR="42A25DA8" w:rsidP="66393FDB" w:rsidRDefault="42A25DA8" w14:paraId="6DC76315" w14:textId="1D15BDBA">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6393FDB" w:rsidR="42A25DA8">
        <w:rPr>
          <w:rFonts w:ascii="Segoe UI" w:hAnsi="Segoe UI" w:eastAsia="Segoe UI" w:cs="Segoe UI"/>
          <w:b w:val="0"/>
          <w:bCs w:val="0"/>
          <w:i w:val="0"/>
          <w:iCs w:val="0"/>
          <w:noProof w:val="0"/>
          <w:sz w:val="21"/>
          <w:szCs w:val="21"/>
          <w:lang w:val="en-US"/>
        </w:rPr>
        <w:t>Continuous daily dosing</w:t>
      </w:r>
    </w:p>
    <w:p w:rsidR="42A25DA8" w:rsidP="66393FDB" w:rsidRDefault="42A25DA8" w14:paraId="016A15C4" w14:textId="0B98832F">
      <w:pPr>
        <w:pStyle w:val="ListParagraph"/>
        <w:numPr>
          <w:ilvl w:val="0"/>
          <w:numId w:val="4"/>
        </w:numPr>
        <w:spacing w:before="0" w:beforeAutospacing="off" w:after="0" w:afterAutospacing="off" w:line="300" w:lineRule="auto"/>
        <w:rPr>
          <w:rFonts w:ascii="Segoe UI" w:hAnsi="Segoe UI" w:eastAsia="Segoe UI" w:cs="Segoe UI"/>
          <w:b w:val="1"/>
          <w:bCs w:val="1"/>
          <w:i w:val="0"/>
          <w:iCs w:val="0"/>
          <w:noProof w:val="0"/>
          <w:sz w:val="21"/>
          <w:szCs w:val="21"/>
          <w:lang w:val="en-US"/>
        </w:rPr>
      </w:pPr>
      <w:r w:rsidRPr="66393FDB" w:rsidR="42A25DA8">
        <w:rPr>
          <w:rFonts w:ascii="Segoe UI" w:hAnsi="Segoe UI" w:eastAsia="Segoe UI" w:cs="Segoe UI"/>
          <w:b w:val="0"/>
          <w:bCs w:val="0"/>
          <w:i w:val="0"/>
          <w:iCs w:val="0"/>
          <w:noProof w:val="0"/>
          <w:sz w:val="21"/>
          <w:szCs w:val="21"/>
          <w:lang w:val="en-US"/>
        </w:rPr>
        <w:t xml:space="preserve">Continue </w:t>
      </w:r>
      <w:r w:rsidRPr="66393FDB" w:rsidR="42A25DA8">
        <w:rPr>
          <w:rFonts w:ascii="Segoe UI" w:hAnsi="Segoe UI" w:eastAsia="Segoe UI" w:cs="Segoe UI"/>
          <w:b w:val="1"/>
          <w:bCs w:val="1"/>
          <w:i w:val="0"/>
          <w:iCs w:val="0"/>
          <w:noProof w:val="0"/>
          <w:sz w:val="21"/>
          <w:szCs w:val="21"/>
          <w:lang w:val="en-US"/>
        </w:rPr>
        <w:t>until disease progression or unacceptable toxicity</w:t>
      </w:r>
      <w:r w:rsidRPr="66393FDB" w:rsidR="2C1D2926">
        <w:rPr>
          <w:rFonts w:ascii="Segoe UI" w:hAnsi="Segoe UI" w:eastAsia="Segoe UI" w:cs="Segoe UI"/>
          <w:b w:val="1"/>
          <w:bCs w:val="1"/>
          <w:i w:val="0"/>
          <w:iCs w:val="0"/>
          <w:noProof w:val="0"/>
          <w:sz w:val="21"/>
          <w:szCs w:val="21"/>
          <w:lang w:val="en-US"/>
        </w:rPr>
        <w:t xml:space="preserve"> see </w:t>
      </w:r>
      <w:r w:rsidRPr="66393FDB" w:rsidR="2C1D2926">
        <w:rPr>
          <w:rFonts w:ascii="Segoe UI" w:hAnsi="Segoe UI" w:eastAsia="Segoe UI" w:cs="Segoe UI"/>
          <w:b w:val="1"/>
          <w:bCs w:val="1"/>
          <w:i w:val="0"/>
          <w:iCs w:val="0"/>
          <w:noProof w:val="0"/>
          <w:sz w:val="21"/>
          <w:szCs w:val="21"/>
          <w:highlight w:val="yellow"/>
          <w:lang w:val="en-US"/>
        </w:rPr>
        <w:t>section 12</w:t>
      </w:r>
    </w:p>
    <w:p w:rsidR="66393FDB" w:rsidP="66393FDB" w:rsidRDefault="66393FDB" w14:paraId="202A446C" w14:textId="37D101FC">
      <w:pPr>
        <w:pStyle w:val="Normal"/>
        <w:spacing w:before="0" w:beforeAutospacing="off" w:after="0" w:afterAutospacing="off" w:line="300" w:lineRule="auto"/>
        <w:rPr>
          <w:rFonts w:ascii="Segoe UI" w:hAnsi="Segoe UI" w:eastAsia="Segoe UI" w:cs="Segoe UI"/>
          <w:b w:val="0"/>
          <w:bCs w:val="0"/>
          <w:i w:val="0"/>
          <w:iCs w:val="0"/>
          <w:noProof w:val="0"/>
          <w:color w:val="auto"/>
          <w:sz w:val="21"/>
          <w:szCs w:val="21"/>
          <w:lang w:val="en-US"/>
        </w:rPr>
      </w:pPr>
    </w:p>
    <w:p w:rsidR="66393FDB" w:rsidP="66393FDB" w:rsidRDefault="66393FDB" w14:paraId="35E08C22" w14:textId="53FFA55C">
      <w:pPr>
        <w:pStyle w:val="ListParagraph"/>
        <w:spacing w:before="0" w:beforeAutospacing="off" w:after="0" w:afterAutospacing="off" w:line="300" w:lineRule="auto"/>
        <w:ind w:left="720"/>
        <w:rPr>
          <w:rFonts w:ascii="Segoe UI" w:hAnsi="Segoe UI" w:eastAsia="Segoe UI" w:cs="Segoe UI"/>
          <w:b w:val="0"/>
          <w:bCs w:val="0"/>
          <w:i w:val="0"/>
          <w:iCs w:val="0"/>
          <w:noProof w:val="0"/>
          <w:color w:val="auto"/>
          <w:sz w:val="21"/>
          <w:szCs w:val="21"/>
          <w:lang w:val="en-US"/>
        </w:rPr>
      </w:pPr>
    </w:p>
    <w:p w:rsidR="59420B7E" w:rsidP="66393FDB" w:rsidRDefault="59420B7E" w14:paraId="707F5CF3" w14:textId="3A2DE54F">
      <w:pPr>
        <w:pStyle w:val="Heading1"/>
        <w:bidi w:val="0"/>
        <w:rPr>
          <w:rFonts w:ascii="Calibri" w:hAnsi="Calibri" w:eastAsia="Calibri" w:cs="Calibri" w:asciiTheme="minorAscii" w:hAnsiTheme="minorAscii" w:eastAsiaTheme="minorAscii" w:cstheme="minorAscii"/>
          <w:b w:val="1"/>
          <w:bCs w:val="1"/>
          <w:noProof w:val="0"/>
          <w:color w:val="auto"/>
          <w:sz w:val="24"/>
          <w:szCs w:val="24"/>
          <w:lang w:val="en-US"/>
        </w:rPr>
      </w:pPr>
      <w:r w:rsidRPr="66393FDB" w:rsidR="59420B7E">
        <w:rPr>
          <w:rFonts w:ascii="Calibri" w:hAnsi="Calibri" w:eastAsia="Calibri" w:cs="Calibri" w:asciiTheme="minorAscii" w:hAnsiTheme="minorAscii" w:eastAsiaTheme="minorAscii" w:cstheme="minorAscii"/>
          <w:b w:val="1"/>
          <w:bCs w:val="1"/>
          <w:noProof w:val="0"/>
          <w:color w:val="auto"/>
          <w:sz w:val="24"/>
          <w:szCs w:val="24"/>
          <w:lang w:val="en-US"/>
        </w:rPr>
        <w:t>5 Mechanism of Action</w:t>
      </w:r>
    </w:p>
    <w:p w:rsidR="59420B7E" w:rsidP="66393FDB" w:rsidRDefault="59420B7E" w14:paraId="751A9B52" w14:textId="7287E386">
      <w:pPr>
        <w:pStyle w:val="ListParagraph"/>
        <w:numPr>
          <w:ilvl w:val="0"/>
          <w:numId w:val="5"/>
        </w:numPr>
        <w:spacing w:before="0" w:beforeAutospacing="off" w:after="0" w:afterAutospacing="off" w:line="300" w:lineRule="auto"/>
        <w:rPr>
          <w:b w:val="0"/>
          <w:bCs w:val="0"/>
          <w:i w:val="0"/>
          <w:iCs w:val="0"/>
          <w:strike w:val="0"/>
          <w:dstrike w:val="0"/>
          <w:noProof w:val="0"/>
          <w:color w:val="464FEB"/>
          <w:u w:val="none"/>
          <w:lang w:val="en-US"/>
        </w:rPr>
      </w:pPr>
      <w:r w:rsidRPr="66393FDB" w:rsidR="59420B7E">
        <w:rPr>
          <w:rFonts w:ascii="Segoe UI" w:hAnsi="Segoe UI" w:eastAsia="Segoe UI" w:cs="Segoe UI"/>
          <w:b w:val="0"/>
          <w:bCs w:val="0"/>
          <w:i w:val="0"/>
          <w:iCs w:val="0"/>
          <w:noProof w:val="0"/>
          <w:sz w:val="21"/>
          <w:szCs w:val="21"/>
          <w:lang w:val="en-US"/>
        </w:rPr>
        <w:t xml:space="preserve">Irreversible </w:t>
      </w:r>
      <w:r w:rsidRPr="66393FDB" w:rsidR="59420B7E">
        <w:rPr>
          <w:rFonts w:ascii="Segoe UI" w:hAnsi="Segoe UI" w:eastAsia="Segoe UI" w:cs="Segoe UI"/>
          <w:b w:val="1"/>
          <w:bCs w:val="1"/>
          <w:i w:val="0"/>
          <w:iCs w:val="0"/>
          <w:noProof w:val="0"/>
          <w:sz w:val="21"/>
          <w:szCs w:val="21"/>
          <w:lang w:val="en-US"/>
        </w:rPr>
        <w:t>ErbB</w:t>
      </w:r>
      <w:r w:rsidRPr="66393FDB" w:rsidR="59420B7E">
        <w:rPr>
          <w:rFonts w:ascii="Segoe UI" w:hAnsi="Segoe UI" w:eastAsia="Segoe UI" w:cs="Segoe UI"/>
          <w:b w:val="1"/>
          <w:bCs w:val="1"/>
          <w:i w:val="0"/>
          <w:iCs w:val="0"/>
          <w:noProof w:val="0"/>
          <w:sz w:val="21"/>
          <w:szCs w:val="21"/>
          <w:lang w:val="en-US"/>
        </w:rPr>
        <w:t xml:space="preserve"> family (EGFR, HER2, HER4) tyrosine kinase inhibitor</w:t>
      </w:r>
      <w:r w:rsidRPr="66393FDB" w:rsidR="59420B7E">
        <w:rPr>
          <w:rFonts w:ascii="Segoe UI" w:hAnsi="Segoe UI" w:eastAsia="Segoe UI" w:cs="Segoe UI"/>
          <w:b w:val="0"/>
          <w:bCs w:val="0"/>
          <w:i w:val="0"/>
          <w:iCs w:val="0"/>
          <w:noProof w:val="0"/>
          <w:sz w:val="21"/>
          <w:szCs w:val="21"/>
          <w:lang w:val="en-US"/>
        </w:rPr>
        <w:t xml:space="preserve"> </w:t>
      </w:r>
    </w:p>
    <w:p w:rsidR="59420B7E" w:rsidP="66393FDB" w:rsidRDefault="59420B7E" w14:paraId="5DDED23F" w14:textId="3571012D">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6393FDB" w:rsidR="59420B7E">
        <w:rPr>
          <w:rFonts w:ascii="Segoe UI" w:hAnsi="Segoe UI" w:eastAsia="Segoe UI" w:cs="Segoe UI"/>
          <w:b w:val="0"/>
          <w:bCs w:val="0"/>
          <w:i w:val="0"/>
          <w:iCs w:val="0"/>
          <w:noProof w:val="0"/>
          <w:sz w:val="21"/>
          <w:szCs w:val="21"/>
          <w:lang w:val="en-US"/>
        </w:rPr>
        <w:t>Blocks tumor cell proliferation and survival pathways</w:t>
      </w:r>
    </w:p>
    <w:p w:rsidR="66393FDB" w:rsidP="66393FDB" w:rsidRDefault="66393FDB" w14:paraId="08C91013" w14:textId="51F960F1">
      <w:pPr>
        <w:pStyle w:val="ListParagraph"/>
        <w:spacing w:before="0" w:beforeAutospacing="off" w:after="0" w:afterAutospacing="off" w:line="300" w:lineRule="auto"/>
        <w:ind w:left="720"/>
        <w:rPr>
          <w:rFonts w:ascii="Segoe UI" w:hAnsi="Segoe UI" w:eastAsia="Segoe UI" w:cs="Segoe UI"/>
          <w:b w:val="0"/>
          <w:bCs w:val="0"/>
          <w:i w:val="0"/>
          <w:iCs w:val="0"/>
          <w:noProof w:val="0"/>
          <w:color w:val="auto"/>
          <w:sz w:val="21"/>
          <w:szCs w:val="21"/>
          <w:lang w:val="en-US"/>
        </w:rPr>
      </w:pPr>
    </w:p>
    <w:p w:rsidR="2C47811D" w:rsidP="66393FDB" w:rsidRDefault="2C47811D" w14:paraId="0418896F" w14:textId="3523ABD2">
      <w:pPr>
        <w:pStyle w:val="Normal"/>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6393FDB" w:rsidR="2C47811D">
        <w:rPr>
          <w:rFonts w:ascii="Segoe UI" w:hAnsi="Segoe UI" w:eastAsia="Segoe UI" w:cs="Segoe UI"/>
          <w:b w:val="0"/>
          <w:bCs w:val="0"/>
          <w:i w:val="0"/>
          <w:iCs w:val="0"/>
          <w:noProof w:val="0"/>
          <w:sz w:val="21"/>
          <w:szCs w:val="21"/>
          <w:lang w:val="en-US"/>
        </w:rPr>
        <w:t xml:space="preserve">Table </w:t>
      </w:r>
      <w:r w:rsidRPr="66393FDB" w:rsidR="0AE60A4B">
        <w:rPr>
          <w:rFonts w:ascii="Segoe UI" w:hAnsi="Segoe UI" w:eastAsia="Segoe UI" w:cs="Segoe UI"/>
          <w:b w:val="0"/>
          <w:bCs w:val="0"/>
          <w:i w:val="0"/>
          <w:iCs w:val="0"/>
          <w:noProof w:val="0"/>
          <w:sz w:val="21"/>
          <w:szCs w:val="21"/>
          <w:lang w:val="en-US"/>
        </w:rPr>
        <w:t>A</w:t>
      </w:r>
      <w:r w:rsidRPr="66393FDB" w:rsidR="2C47811D">
        <w:rPr>
          <w:rFonts w:ascii="Segoe UI" w:hAnsi="Segoe UI" w:eastAsia="Segoe UI" w:cs="Segoe UI"/>
          <w:b w:val="0"/>
          <w:bCs w:val="0"/>
          <w:i w:val="0"/>
          <w:iCs w:val="0"/>
          <w:noProof w:val="0"/>
          <w:sz w:val="21"/>
          <w:szCs w:val="21"/>
          <w:lang w:val="en-US"/>
        </w:rPr>
        <w:t xml:space="preserve"> Protocol Snap</w:t>
      </w:r>
    </w:p>
    <w:tbl>
      <w:tblPr>
        <w:tblStyle w:val="TableGrid"/>
        <w:tblW w:w="0" w:type="auto"/>
        <w:tblLook w:val="06A0" w:firstRow="1" w:lastRow="0" w:firstColumn="1" w:lastColumn="0" w:noHBand="1" w:noVBand="1"/>
      </w:tblPr>
      <w:tblGrid>
        <w:gridCol w:w="4680"/>
        <w:gridCol w:w="4680"/>
      </w:tblGrid>
      <w:tr w:rsidR="66393FDB" w:rsidTr="66393FDB" w14:paraId="2D3189DF">
        <w:trPr>
          <w:trHeight w:val="300"/>
        </w:trPr>
        <w:tc>
          <w:tcPr>
            <w:tcW w:w="4680" w:type="dxa"/>
            <w:tcMar/>
          </w:tcPr>
          <w:p w:rsidR="41304656" w:rsidP="66393FDB" w:rsidRDefault="41304656" w14:paraId="381A6FDC" w14:textId="6990C795">
            <w:pPr>
              <w:pStyle w:val="Normal"/>
            </w:pPr>
            <w:r w:rsidR="41304656">
              <w:rPr/>
              <w:t xml:space="preserve">Parameter </w:t>
            </w:r>
          </w:p>
        </w:tc>
        <w:tc>
          <w:tcPr>
            <w:tcW w:w="4680" w:type="dxa"/>
            <w:tcMar/>
          </w:tcPr>
          <w:p w:rsidR="41304656" w:rsidP="66393FDB" w:rsidRDefault="41304656" w14:paraId="1F9D079C" w14:textId="23C89749">
            <w:pPr>
              <w:pStyle w:val="Normal"/>
            </w:pPr>
            <w:r w:rsidR="41304656">
              <w:rPr/>
              <w:t>Details</w:t>
            </w:r>
          </w:p>
        </w:tc>
      </w:tr>
      <w:tr w:rsidR="66393FDB" w:rsidTr="66393FDB" w14:paraId="1739D145">
        <w:trPr>
          <w:trHeight w:val="300"/>
        </w:trPr>
        <w:tc>
          <w:tcPr>
            <w:tcW w:w="4680" w:type="dxa"/>
            <w:tcMar/>
          </w:tcPr>
          <w:p w:rsidR="41304656" w:rsidP="66393FDB" w:rsidRDefault="41304656" w14:paraId="551CDA82" w14:textId="62F43910">
            <w:pPr>
              <w:pStyle w:val="Normal"/>
            </w:pPr>
            <w:r w:rsidR="41304656">
              <w:rPr/>
              <w:t>Dose</w:t>
            </w:r>
          </w:p>
        </w:tc>
        <w:tc>
          <w:tcPr>
            <w:tcW w:w="4680" w:type="dxa"/>
            <w:tcMar/>
          </w:tcPr>
          <w:p w:rsidR="41304656" w:rsidP="66393FDB" w:rsidRDefault="41304656" w14:paraId="142A63BB" w14:textId="793799B3">
            <w:pPr>
              <w:spacing w:line="300" w:lineRule="auto"/>
            </w:pPr>
            <w:r w:rsidRPr="66393FDB" w:rsidR="41304656">
              <w:rPr>
                <w:rFonts w:ascii="Segoe UI" w:hAnsi="Segoe UI" w:eastAsia="Segoe UI" w:cs="Segoe UI"/>
                <w:b w:val="0"/>
                <w:bCs w:val="0"/>
                <w:i w:val="0"/>
                <w:iCs w:val="0"/>
                <w:noProof w:val="0"/>
                <w:sz w:val="21"/>
                <w:szCs w:val="21"/>
                <w:lang w:val="en-US"/>
              </w:rPr>
              <w:t>40 mg</w:t>
            </w:r>
            <w:r w:rsidRPr="66393FDB" w:rsidR="41304656">
              <w:rPr>
                <w:rFonts w:ascii="Segoe UI" w:hAnsi="Segoe UI" w:eastAsia="Segoe UI" w:cs="Segoe UI"/>
                <w:b w:val="0"/>
                <w:bCs w:val="0"/>
                <w:i w:val="0"/>
                <w:iCs w:val="0"/>
                <w:noProof w:val="0"/>
                <w:sz w:val="21"/>
                <w:szCs w:val="21"/>
                <w:lang w:val="en-US"/>
              </w:rPr>
              <w:t xml:space="preserve"> PO daily</w:t>
            </w:r>
          </w:p>
        </w:tc>
      </w:tr>
      <w:tr w:rsidR="66393FDB" w:rsidTr="66393FDB" w14:paraId="39DCCCB3">
        <w:trPr>
          <w:trHeight w:val="300"/>
        </w:trPr>
        <w:tc>
          <w:tcPr>
            <w:tcW w:w="4680" w:type="dxa"/>
            <w:tcMar/>
          </w:tcPr>
          <w:p w:rsidR="41304656" w:rsidP="66393FDB" w:rsidRDefault="41304656" w14:paraId="63B61307" w14:textId="66B2A80C">
            <w:pPr>
              <w:pStyle w:val="Normal"/>
            </w:pPr>
            <w:r w:rsidR="41304656">
              <w:rPr/>
              <w:t>Timing</w:t>
            </w:r>
          </w:p>
        </w:tc>
        <w:tc>
          <w:tcPr>
            <w:tcW w:w="4680" w:type="dxa"/>
            <w:tcMar/>
          </w:tcPr>
          <w:p w:rsidR="41304656" w:rsidP="66393FDB" w:rsidRDefault="41304656" w14:paraId="6150041C" w14:textId="018A10B7">
            <w:pPr>
              <w:spacing w:line="300" w:lineRule="auto"/>
            </w:pPr>
            <w:r w:rsidRPr="66393FDB" w:rsidR="41304656">
              <w:rPr>
                <w:rFonts w:ascii="Segoe UI" w:hAnsi="Segoe UI" w:eastAsia="Segoe UI" w:cs="Segoe UI"/>
                <w:b w:val="0"/>
                <w:bCs w:val="0"/>
                <w:i w:val="0"/>
                <w:iCs w:val="0"/>
                <w:noProof w:val="0"/>
                <w:sz w:val="21"/>
                <w:szCs w:val="21"/>
                <w:lang w:val="en-US"/>
              </w:rPr>
              <w:t>Empty stomach</w:t>
            </w:r>
          </w:p>
        </w:tc>
      </w:tr>
      <w:tr w:rsidR="66393FDB" w:rsidTr="66393FDB" w14:paraId="791AD2AA">
        <w:trPr>
          <w:trHeight w:val="300"/>
        </w:trPr>
        <w:tc>
          <w:tcPr>
            <w:tcW w:w="4680" w:type="dxa"/>
            <w:tcMar/>
          </w:tcPr>
          <w:p w:rsidR="41304656" w:rsidP="66393FDB" w:rsidRDefault="41304656" w14:paraId="7116E517" w14:textId="015E19A8">
            <w:pPr>
              <w:pStyle w:val="Normal"/>
            </w:pPr>
            <w:r w:rsidR="41304656">
              <w:rPr/>
              <w:t>Cycle</w:t>
            </w:r>
          </w:p>
        </w:tc>
        <w:tc>
          <w:tcPr>
            <w:tcW w:w="4680" w:type="dxa"/>
            <w:tcMar/>
          </w:tcPr>
          <w:p w:rsidR="41304656" w:rsidP="66393FDB" w:rsidRDefault="41304656" w14:paraId="7C44A16D" w14:textId="4E28B06D">
            <w:pPr>
              <w:pStyle w:val="Normal"/>
            </w:pPr>
            <w:r w:rsidR="41304656">
              <w:rPr/>
              <w:t>Continuous</w:t>
            </w:r>
          </w:p>
        </w:tc>
      </w:tr>
      <w:tr w:rsidR="66393FDB" w:rsidTr="66393FDB" w14:paraId="1F1554C1">
        <w:trPr>
          <w:trHeight w:val="300"/>
        </w:trPr>
        <w:tc>
          <w:tcPr>
            <w:tcW w:w="4680" w:type="dxa"/>
            <w:tcMar/>
          </w:tcPr>
          <w:p w:rsidR="41304656" w:rsidP="66393FDB" w:rsidRDefault="41304656" w14:paraId="6B47C640" w14:textId="2E0D16B5">
            <w:pPr>
              <w:spacing w:line="300" w:lineRule="auto"/>
            </w:pPr>
            <w:r w:rsidRPr="66393FDB" w:rsidR="41304656">
              <w:rPr>
                <w:rFonts w:ascii="Segoe UI" w:hAnsi="Segoe UI" w:eastAsia="Segoe UI" w:cs="Segoe UI"/>
                <w:b w:val="0"/>
                <w:bCs w:val="0"/>
                <w:i w:val="0"/>
                <w:iCs w:val="0"/>
                <w:noProof w:val="0"/>
                <w:sz w:val="21"/>
                <w:szCs w:val="21"/>
                <w:lang w:val="en-US"/>
              </w:rPr>
              <w:t>Reductions</w:t>
            </w:r>
          </w:p>
        </w:tc>
        <w:tc>
          <w:tcPr>
            <w:tcW w:w="4680" w:type="dxa"/>
            <w:tcMar/>
          </w:tcPr>
          <w:p w:rsidR="41304656" w:rsidP="66393FDB" w:rsidRDefault="41304656" w14:paraId="0A6FB038" w14:textId="1584F9CE">
            <w:pPr>
              <w:spacing w:line="300" w:lineRule="auto"/>
            </w:pPr>
            <w:r w:rsidRPr="66393FDB" w:rsidR="41304656">
              <w:rPr>
                <w:rFonts w:ascii="Segoe UI" w:hAnsi="Segoe UI" w:eastAsia="Segoe UI" w:cs="Segoe UI"/>
                <w:b w:val="0"/>
                <w:bCs w:val="0"/>
                <w:i w:val="0"/>
                <w:iCs w:val="0"/>
                <w:noProof w:val="0"/>
                <w:sz w:val="21"/>
                <w:szCs w:val="21"/>
                <w:lang w:val="en-US"/>
              </w:rPr>
              <w:t xml:space="preserve">40 → 30 → </w:t>
            </w:r>
            <w:r w:rsidRPr="66393FDB" w:rsidR="41304656">
              <w:rPr>
                <w:rFonts w:ascii="Segoe UI" w:hAnsi="Segoe UI" w:eastAsia="Segoe UI" w:cs="Segoe UI"/>
                <w:b w:val="0"/>
                <w:bCs w:val="0"/>
                <w:i w:val="0"/>
                <w:iCs w:val="0"/>
                <w:noProof w:val="0"/>
                <w:sz w:val="21"/>
                <w:szCs w:val="21"/>
                <w:lang w:val="en-US"/>
              </w:rPr>
              <w:t>20 mg</w:t>
            </w:r>
          </w:p>
        </w:tc>
      </w:tr>
    </w:tbl>
    <w:p w:rsidR="66393FDB" w:rsidRDefault="66393FDB" w14:paraId="0B2A6B2C" w14:textId="67E986A7"/>
    <w:p w:rsidR="41304656" w:rsidP="66393FDB" w:rsidRDefault="41304656" w14:paraId="0D4C4CF2" w14:textId="0FC1660A">
      <w:pPr>
        <w:pStyle w:val="Heading1"/>
        <w:rPr>
          <w:rFonts w:ascii="Calibri" w:hAnsi="Calibri" w:eastAsia="Calibri" w:cs="Calibri" w:asciiTheme="minorAscii" w:hAnsiTheme="minorAscii" w:eastAsiaTheme="minorAscii" w:cstheme="minorAscii"/>
          <w:b w:val="1"/>
          <w:bCs w:val="1"/>
          <w:i w:val="0"/>
          <w:iCs w:val="0"/>
          <w:noProof w:val="0"/>
          <w:color w:val="auto"/>
          <w:sz w:val="24"/>
          <w:szCs w:val="24"/>
          <w:lang w:val="en-US"/>
        </w:rPr>
      </w:pPr>
      <w:r w:rsidRPr="66393FDB" w:rsidR="41304656">
        <w:rPr>
          <w:rFonts w:ascii="Calibri" w:hAnsi="Calibri" w:eastAsia="Calibri" w:cs="Calibri" w:asciiTheme="minorAscii" w:hAnsiTheme="minorAscii" w:eastAsiaTheme="minorAscii" w:cstheme="minorAscii"/>
          <w:b w:val="1"/>
          <w:bCs w:val="1"/>
          <w:color w:val="auto"/>
          <w:sz w:val="24"/>
          <w:szCs w:val="24"/>
        </w:rPr>
        <w:t>6</w:t>
      </w:r>
      <w:r w:rsidRPr="66393FDB" w:rsidR="41304656">
        <w:rPr>
          <w:rFonts w:ascii="Calibri" w:hAnsi="Calibri" w:eastAsia="Calibri" w:cs="Calibri" w:asciiTheme="minorAscii" w:hAnsiTheme="minorAscii" w:eastAsiaTheme="minorAscii" w:cstheme="minorAscii"/>
          <w:b w:val="1"/>
          <w:bCs w:val="1"/>
          <w:noProof w:val="0"/>
          <w:color w:val="auto"/>
          <w:sz w:val="24"/>
          <w:szCs w:val="24"/>
          <w:lang w:val="en-US"/>
        </w:rPr>
        <w:t>. Investigational Plan – Study Treatment (Afatinib)</w:t>
      </w:r>
    </w:p>
    <w:p w:rsidR="41304656" w:rsidP="66393FDB" w:rsidRDefault="41304656" w14:paraId="2D9C44B8" w14:textId="423C4C68">
      <w:pPr>
        <w:pStyle w:val="Heading2"/>
        <w:suppressLineNumbers w:val="0"/>
        <w:bidi w:val="0"/>
        <w:spacing w:before="160" w:beforeAutospacing="off" w:after="80" w:afterAutospacing="off" w:line="300" w:lineRule="auto"/>
        <w:ind w:left="0" w:right="0"/>
        <w:jc w:val="left"/>
        <w:rPr>
          <w:rFonts w:ascii="Calibri" w:hAnsi="Calibri" w:eastAsia="Calibri" w:cs="Calibri" w:asciiTheme="minorAscii" w:hAnsiTheme="minorAscii" w:eastAsiaTheme="minorAscii" w:cstheme="minorAscii"/>
          <w:b w:val="1"/>
          <w:bCs w:val="1"/>
          <w:i w:val="0"/>
          <w:iCs w:val="0"/>
          <w:noProof w:val="0"/>
          <w:color w:val="auto"/>
          <w:sz w:val="21"/>
          <w:szCs w:val="21"/>
          <w:lang w:val="en-US"/>
        </w:rPr>
      </w:pPr>
      <w:r w:rsidRPr="66393FDB" w:rsidR="41304656">
        <w:rPr>
          <w:rFonts w:ascii="Calibri" w:hAnsi="Calibri" w:eastAsia="Calibri" w:cs="Calibri" w:asciiTheme="minorAscii" w:hAnsiTheme="minorAscii" w:eastAsiaTheme="minorAscii" w:cstheme="minorAscii"/>
          <w:b w:val="1"/>
          <w:bCs w:val="1"/>
          <w:i w:val="0"/>
          <w:iCs w:val="0"/>
          <w:noProof w:val="0"/>
          <w:color w:val="auto"/>
          <w:sz w:val="21"/>
          <w:szCs w:val="21"/>
          <w:lang w:val="en-US"/>
        </w:rPr>
        <w:t>6.1 Study Drug</w:t>
      </w:r>
    </w:p>
    <w:p w:rsidR="41304656" w:rsidP="66393FDB" w:rsidRDefault="41304656" w14:paraId="01C5B4B0" w14:textId="3A405069">
      <w:pPr>
        <w:pStyle w:val="ListParagraph"/>
        <w:numPr>
          <w:ilvl w:val="0"/>
          <w:numId w:val="6"/>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1"/>
          <w:szCs w:val="21"/>
          <w:lang w:val="en-US"/>
        </w:rPr>
      </w:pPr>
      <w:r w:rsidRPr="66393FDB" w:rsidR="41304656">
        <w:rPr>
          <w:rFonts w:ascii="Calibri" w:hAnsi="Calibri" w:eastAsia="Calibri" w:cs="Calibri" w:asciiTheme="minorAscii" w:hAnsiTheme="minorAscii" w:eastAsiaTheme="minorAscii" w:cstheme="minorAscii"/>
          <w:b w:val="1"/>
          <w:bCs w:val="1"/>
          <w:i w:val="0"/>
          <w:iCs w:val="0"/>
          <w:noProof w:val="0"/>
          <w:color w:val="auto"/>
          <w:sz w:val="21"/>
          <w:szCs w:val="21"/>
          <w:lang w:val="en-US"/>
        </w:rPr>
        <w:t>Generic Name:</w:t>
      </w:r>
      <w:r w:rsidRPr="66393FDB" w:rsidR="41304656">
        <w:rPr>
          <w:rFonts w:ascii="Calibri" w:hAnsi="Calibri" w:eastAsia="Calibri" w:cs="Calibri" w:asciiTheme="minorAscii" w:hAnsiTheme="minorAscii" w:eastAsiaTheme="minorAscii" w:cstheme="minorAscii"/>
          <w:b w:val="0"/>
          <w:bCs w:val="0"/>
          <w:i w:val="0"/>
          <w:iCs w:val="0"/>
          <w:noProof w:val="0"/>
          <w:color w:val="auto"/>
          <w:sz w:val="21"/>
          <w:szCs w:val="21"/>
          <w:lang w:val="en-US"/>
        </w:rPr>
        <w:t xml:space="preserve"> Afatinib</w:t>
      </w:r>
    </w:p>
    <w:p w:rsidR="41304656" w:rsidP="66393FDB" w:rsidRDefault="41304656" w14:paraId="7BFB023D" w14:textId="2B6EAA03">
      <w:pPr>
        <w:pStyle w:val="ListParagraph"/>
        <w:numPr>
          <w:ilvl w:val="0"/>
          <w:numId w:val="6"/>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1"/>
          <w:szCs w:val="21"/>
          <w:lang w:val="en-US"/>
        </w:rPr>
      </w:pPr>
      <w:r w:rsidRPr="66393FDB" w:rsidR="41304656">
        <w:rPr>
          <w:rFonts w:ascii="Calibri" w:hAnsi="Calibri" w:eastAsia="Calibri" w:cs="Calibri" w:asciiTheme="minorAscii" w:hAnsiTheme="minorAscii" w:eastAsiaTheme="minorAscii" w:cstheme="minorAscii"/>
          <w:b w:val="1"/>
          <w:bCs w:val="1"/>
          <w:i w:val="0"/>
          <w:iCs w:val="0"/>
          <w:noProof w:val="0"/>
          <w:color w:val="auto"/>
          <w:sz w:val="21"/>
          <w:szCs w:val="21"/>
          <w:lang w:val="en-US"/>
        </w:rPr>
        <w:t>Trade Name:</w:t>
      </w:r>
      <w:r w:rsidRPr="66393FDB" w:rsidR="41304656">
        <w:rPr>
          <w:rFonts w:ascii="Calibri" w:hAnsi="Calibri" w:eastAsia="Calibri" w:cs="Calibri" w:asciiTheme="minorAscii" w:hAnsiTheme="minorAscii" w:eastAsiaTheme="minorAscii" w:cstheme="minorAscii"/>
          <w:b w:val="0"/>
          <w:bCs w:val="0"/>
          <w:i w:val="0"/>
          <w:iCs w:val="0"/>
          <w:noProof w:val="0"/>
          <w:color w:val="auto"/>
          <w:sz w:val="21"/>
          <w:szCs w:val="21"/>
          <w:lang w:val="en-US"/>
        </w:rPr>
        <w:t xml:space="preserve"> Gilotrif® / Xovoltib®</w:t>
      </w:r>
    </w:p>
    <w:p w:rsidR="41304656" w:rsidP="66393FDB" w:rsidRDefault="41304656" w14:paraId="549C058B" w14:textId="1174E146">
      <w:pPr>
        <w:pStyle w:val="ListParagraph"/>
        <w:numPr>
          <w:ilvl w:val="0"/>
          <w:numId w:val="6"/>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1"/>
          <w:szCs w:val="21"/>
          <w:lang w:val="en-US"/>
        </w:rPr>
      </w:pPr>
      <w:r w:rsidRPr="66393FDB" w:rsidR="41304656">
        <w:rPr>
          <w:rFonts w:ascii="Calibri" w:hAnsi="Calibri" w:eastAsia="Calibri" w:cs="Calibri" w:asciiTheme="minorAscii" w:hAnsiTheme="minorAscii" w:eastAsiaTheme="minorAscii" w:cstheme="minorAscii"/>
          <w:b w:val="1"/>
          <w:bCs w:val="1"/>
          <w:i w:val="0"/>
          <w:iCs w:val="0"/>
          <w:noProof w:val="0"/>
          <w:color w:val="auto"/>
          <w:sz w:val="21"/>
          <w:szCs w:val="21"/>
          <w:lang w:val="en-US"/>
        </w:rPr>
        <w:t>Pharmacologic Class:</w:t>
      </w:r>
      <w:r w:rsidRPr="66393FDB" w:rsidR="41304656">
        <w:rPr>
          <w:rFonts w:ascii="Calibri" w:hAnsi="Calibri" w:eastAsia="Calibri" w:cs="Calibri" w:asciiTheme="minorAscii" w:hAnsiTheme="minorAscii" w:eastAsiaTheme="minorAscii" w:cstheme="minorAscii"/>
          <w:b w:val="0"/>
          <w:bCs w:val="0"/>
          <w:i w:val="0"/>
          <w:iCs w:val="0"/>
          <w:noProof w:val="0"/>
          <w:color w:val="auto"/>
          <w:sz w:val="21"/>
          <w:szCs w:val="21"/>
          <w:lang w:val="en-US"/>
        </w:rPr>
        <w:t xml:space="preserve"> Irreversible ErbB family (EGFR, HER2, HER4) tyrosine kinase inhibitor</w:t>
      </w:r>
    </w:p>
    <w:p w:rsidR="41304656" w:rsidP="66393FDB" w:rsidRDefault="41304656" w14:paraId="27C467F6" w14:textId="07960D47">
      <w:pPr>
        <w:pStyle w:val="Heading2"/>
        <w:suppressLineNumbers w:val="0"/>
        <w:bidi w:val="0"/>
        <w:spacing w:before="160" w:beforeAutospacing="off" w:after="80" w:afterAutospacing="off" w:line="300" w:lineRule="auto"/>
        <w:ind w:left="0" w:right="0"/>
        <w:jc w:val="left"/>
        <w:rPr>
          <w:rFonts w:ascii="Segoe UI" w:hAnsi="Segoe UI" w:eastAsia="Segoe UI" w:cs="Segoe UI"/>
          <w:b w:val="1"/>
          <w:bCs w:val="1"/>
          <w:i w:val="0"/>
          <w:iCs w:val="0"/>
          <w:noProof w:val="0"/>
          <w:color w:val="auto"/>
          <w:sz w:val="21"/>
          <w:szCs w:val="21"/>
          <w:lang w:val="en-US"/>
        </w:rPr>
      </w:pPr>
      <w:r w:rsidRPr="66393FDB" w:rsidR="41304656">
        <w:rPr>
          <w:rFonts w:ascii="Segoe UI" w:hAnsi="Segoe UI" w:eastAsia="Segoe UI" w:cs="Segoe UI"/>
          <w:b w:val="1"/>
          <w:bCs w:val="1"/>
          <w:i w:val="0"/>
          <w:iCs w:val="0"/>
          <w:noProof w:val="0"/>
          <w:color w:val="auto"/>
          <w:sz w:val="21"/>
          <w:szCs w:val="21"/>
          <w:lang w:val="en-US"/>
        </w:rPr>
        <w:t>6.2 Indication</w:t>
      </w:r>
    </w:p>
    <w:p w:rsidR="41304656" w:rsidP="66393FDB" w:rsidRDefault="41304656" w14:paraId="472001CA" w14:textId="1F739E88">
      <w:pPr>
        <w:spacing w:line="300" w:lineRule="auto"/>
        <w:rPr>
          <w:rFonts w:ascii="Segoe UI" w:hAnsi="Segoe UI" w:eastAsia="Segoe UI" w:cs="Segoe UI"/>
          <w:b w:val="0"/>
          <w:bCs w:val="0"/>
          <w:i w:val="0"/>
          <w:iCs w:val="0"/>
          <w:noProof w:val="0"/>
          <w:color w:val="auto"/>
          <w:sz w:val="21"/>
          <w:szCs w:val="21"/>
          <w:lang w:val="en-US"/>
        </w:rPr>
      </w:pPr>
      <w:r w:rsidRPr="66393FDB" w:rsidR="41304656">
        <w:rPr>
          <w:rFonts w:ascii="Segoe UI" w:hAnsi="Segoe UI" w:eastAsia="Segoe UI" w:cs="Segoe UI"/>
          <w:b w:val="0"/>
          <w:bCs w:val="0"/>
          <w:i w:val="0"/>
          <w:iCs w:val="0"/>
          <w:noProof w:val="0"/>
          <w:color w:val="auto"/>
          <w:sz w:val="21"/>
          <w:szCs w:val="21"/>
          <w:lang w:val="en-US"/>
        </w:rPr>
        <w:t>Afatinib is indicated for the treatment of:</w:t>
      </w:r>
    </w:p>
    <w:p w:rsidR="41304656" w:rsidP="66393FDB" w:rsidRDefault="41304656" w14:paraId="0D202B13" w14:textId="6DB59479">
      <w:pPr>
        <w:pStyle w:val="ListParagraph"/>
        <w:numPr>
          <w:ilvl w:val="0"/>
          <w:numId w:val="7"/>
        </w:numPr>
        <w:spacing w:before="0" w:beforeAutospacing="off" w:after="0" w:afterAutospacing="off" w:line="300" w:lineRule="auto"/>
        <w:rPr/>
      </w:pPr>
      <w:r w:rsidRPr="5BC8CF14" w:rsidR="705A0E2F">
        <w:rPr>
          <w:rFonts w:ascii="Segoe UI" w:hAnsi="Segoe UI" w:eastAsia="Segoe UI" w:cs="Segoe UI"/>
          <w:b w:val="0"/>
          <w:bCs w:val="0"/>
          <w:i w:val="0"/>
          <w:iCs w:val="0"/>
          <w:noProof w:val="0"/>
          <w:color w:val="auto"/>
          <w:sz w:val="21"/>
          <w:szCs w:val="21"/>
          <w:lang w:val="en-US"/>
        </w:rPr>
        <w:t xml:space="preserve">Patients with </w:t>
      </w:r>
      <w:r w:rsidRPr="5BC8CF14" w:rsidR="705A0E2F">
        <w:rPr>
          <w:rFonts w:ascii="Segoe UI" w:hAnsi="Segoe UI" w:eastAsia="Segoe UI" w:cs="Segoe UI"/>
          <w:b w:val="1"/>
          <w:bCs w:val="1"/>
          <w:i w:val="0"/>
          <w:iCs w:val="0"/>
          <w:noProof w:val="0"/>
          <w:color w:val="auto"/>
          <w:sz w:val="21"/>
          <w:szCs w:val="21"/>
          <w:lang w:val="en-US"/>
        </w:rPr>
        <w:t xml:space="preserve">metastatic </w:t>
      </w:r>
      <w:r w:rsidRPr="5BC8CF14" w:rsidR="705A0E2F">
        <w:rPr>
          <w:rFonts w:ascii="Segoe UI" w:hAnsi="Segoe UI" w:eastAsia="Segoe UI" w:cs="Segoe UI"/>
          <w:b w:val="1"/>
          <w:bCs w:val="1"/>
          <w:i w:val="0"/>
          <w:iCs w:val="0"/>
          <w:noProof w:val="0"/>
          <w:color w:val="auto"/>
          <w:sz w:val="21"/>
          <w:szCs w:val="21"/>
          <w:lang w:val="en-US"/>
        </w:rPr>
        <w:t>non</w:t>
      </w:r>
      <w:r>
        <w:noBreakHyphen/>
      </w:r>
      <w:r w:rsidRPr="5BC8CF14" w:rsidR="705A0E2F">
        <w:rPr>
          <w:rFonts w:ascii="Segoe UI" w:hAnsi="Segoe UI" w:eastAsia="Segoe UI" w:cs="Segoe UI"/>
          <w:b w:val="1"/>
          <w:bCs w:val="1"/>
          <w:i w:val="0"/>
          <w:iCs w:val="0"/>
          <w:noProof w:val="0"/>
          <w:color w:val="auto"/>
          <w:sz w:val="21"/>
          <w:szCs w:val="21"/>
          <w:lang w:val="en-US"/>
        </w:rPr>
        <w:t>small</w:t>
      </w:r>
      <w:r w:rsidRPr="5BC8CF14" w:rsidR="705A0E2F">
        <w:rPr>
          <w:rFonts w:ascii="Segoe UI" w:hAnsi="Segoe UI" w:eastAsia="Segoe UI" w:cs="Segoe UI"/>
          <w:b w:val="1"/>
          <w:bCs w:val="1"/>
          <w:i w:val="0"/>
          <w:iCs w:val="0"/>
          <w:noProof w:val="0"/>
          <w:color w:val="auto"/>
          <w:sz w:val="21"/>
          <w:szCs w:val="21"/>
          <w:lang w:val="en-US"/>
        </w:rPr>
        <w:t xml:space="preserve"> cell lung cancer (NSCLC)</w:t>
      </w:r>
      <w:r w:rsidRPr="5BC8CF14" w:rsidR="705A0E2F">
        <w:rPr>
          <w:rFonts w:ascii="Segoe UI" w:hAnsi="Segoe UI" w:eastAsia="Segoe UI" w:cs="Segoe UI"/>
          <w:b w:val="0"/>
          <w:bCs w:val="0"/>
          <w:i w:val="0"/>
          <w:iCs w:val="0"/>
          <w:noProof w:val="0"/>
          <w:color w:val="auto"/>
          <w:sz w:val="21"/>
          <w:szCs w:val="21"/>
          <w:lang w:val="en-US"/>
        </w:rPr>
        <w:t xml:space="preserve"> harboring </w:t>
      </w:r>
      <w:r w:rsidRPr="5BC8CF14" w:rsidR="705A0E2F">
        <w:rPr>
          <w:rFonts w:ascii="Segoe UI" w:hAnsi="Segoe UI" w:eastAsia="Segoe UI" w:cs="Segoe UI"/>
          <w:b w:val="1"/>
          <w:bCs w:val="1"/>
          <w:i w:val="0"/>
          <w:iCs w:val="0"/>
          <w:noProof w:val="0"/>
          <w:color w:val="auto"/>
          <w:sz w:val="21"/>
          <w:szCs w:val="21"/>
          <w:lang w:val="en-US"/>
        </w:rPr>
        <w:t>activating EGFR mutations</w:t>
      </w:r>
      <w:r w:rsidRPr="5BC8CF14" w:rsidR="705A0E2F">
        <w:rPr>
          <w:rFonts w:ascii="Segoe UI" w:hAnsi="Segoe UI" w:eastAsia="Segoe UI" w:cs="Segoe UI"/>
          <w:b w:val="0"/>
          <w:bCs w:val="0"/>
          <w:i w:val="0"/>
          <w:iCs w:val="0"/>
          <w:noProof w:val="0"/>
          <w:color w:val="auto"/>
          <w:sz w:val="21"/>
          <w:szCs w:val="21"/>
          <w:lang w:val="en-US"/>
        </w:rPr>
        <w:t xml:space="preserve"> (e.g., exon 19 deletions, L858R substitution) </w:t>
      </w:r>
      <w:r w:rsidRPr="5BC8CF14" w:rsidR="5FAD8AB7">
        <w:rPr>
          <w:rFonts w:ascii="Segoe UI" w:hAnsi="Segoe UI" w:eastAsia="Segoe UI" w:cs="Segoe UI"/>
          <w:b w:val="0"/>
          <w:bCs w:val="0"/>
          <w:i w:val="0"/>
          <w:iCs w:val="0"/>
          <w:noProof w:val="0"/>
          <w:color w:val="auto"/>
          <w:sz w:val="21"/>
          <w:szCs w:val="21"/>
          <w:lang w:val="en-US"/>
        </w:rPr>
        <w:t xml:space="preserve">see </w:t>
      </w:r>
      <w:r w:rsidRPr="5BC8CF14" w:rsidR="5FAD8AB7">
        <w:rPr>
          <w:rFonts w:ascii="Calibri" w:hAnsi="Calibri" w:eastAsia="Calibri" w:cs="Calibri" w:asciiTheme="minorAscii" w:hAnsiTheme="minorAscii" w:eastAsiaTheme="minorAscii" w:cstheme="minorAscii"/>
          <w:b w:val="0"/>
          <w:bCs w:val="0"/>
          <w:i w:val="0"/>
          <w:iCs w:val="0"/>
          <w:caps w:val="0"/>
          <w:smallCaps w:val="0"/>
          <w:noProof w:val="0"/>
          <w:color w:val="1B1B1B"/>
          <w:sz w:val="24"/>
          <w:szCs w:val="24"/>
          <w:highlight w:val="yellow"/>
          <w:lang w:val="en-IN"/>
        </w:rPr>
        <w:t>NCT02369484</w:t>
      </w:r>
    </w:p>
    <w:p w:rsidR="66393FDB" w:rsidP="66393FDB" w:rsidRDefault="66393FDB" w14:paraId="158B241A" w14:textId="60F3398C">
      <w:pPr>
        <w:pStyle w:val="ListParagraph"/>
        <w:spacing w:before="0" w:beforeAutospacing="off" w:after="0" w:afterAutospacing="off" w:line="300" w:lineRule="auto"/>
        <w:ind w:left="720"/>
        <w:rPr>
          <w:rFonts w:ascii="Segoe UI" w:hAnsi="Segoe UI" w:eastAsia="Segoe UI" w:cs="Segoe UI"/>
          <w:b w:val="0"/>
          <w:bCs w:val="0"/>
          <w:i w:val="0"/>
          <w:iCs w:val="0"/>
          <w:strike w:val="0"/>
          <w:dstrike w:val="0"/>
          <w:noProof w:val="0"/>
          <w:color w:val="auto"/>
          <w:sz w:val="21"/>
          <w:szCs w:val="21"/>
          <w:u w:val="none"/>
          <w:lang w:val="en-US"/>
        </w:rPr>
      </w:pPr>
    </w:p>
    <w:p w:rsidR="41304656" w:rsidP="66393FDB" w:rsidRDefault="41304656" w14:paraId="3E17E32D" w14:textId="7122A8BA">
      <w:pPr>
        <w:pStyle w:val="ListParagraph"/>
        <w:numPr>
          <w:ilvl w:val="0"/>
          <w:numId w:val="7"/>
        </w:numPr>
        <w:spacing w:before="0" w:beforeAutospacing="off" w:after="0" w:afterAutospacing="off" w:line="300" w:lineRule="auto"/>
        <w:rPr>
          <w:b w:val="0"/>
          <w:bCs w:val="0"/>
          <w:i w:val="0"/>
          <w:iCs w:val="0"/>
          <w:strike w:val="0"/>
          <w:dstrike w:val="0"/>
          <w:noProof w:val="0"/>
          <w:color w:val="auto"/>
          <w:u w:val="none"/>
          <w:lang w:val="en-US"/>
        </w:rPr>
      </w:pPr>
      <w:r w:rsidRPr="66393FDB" w:rsidR="41304656">
        <w:rPr>
          <w:rFonts w:ascii="Segoe UI" w:hAnsi="Segoe UI" w:eastAsia="Segoe UI" w:cs="Segoe UI"/>
          <w:b w:val="0"/>
          <w:bCs w:val="0"/>
          <w:i w:val="0"/>
          <w:iCs w:val="0"/>
          <w:noProof w:val="0"/>
          <w:color w:val="auto"/>
          <w:sz w:val="21"/>
          <w:szCs w:val="21"/>
          <w:lang w:val="en-US"/>
        </w:rPr>
        <w:t xml:space="preserve">Patients with </w:t>
      </w:r>
      <w:r w:rsidRPr="66393FDB" w:rsidR="41304656">
        <w:rPr>
          <w:rFonts w:ascii="Segoe UI" w:hAnsi="Segoe UI" w:eastAsia="Segoe UI" w:cs="Segoe UI"/>
          <w:b w:val="1"/>
          <w:bCs w:val="1"/>
          <w:i w:val="0"/>
          <w:iCs w:val="0"/>
          <w:noProof w:val="0"/>
          <w:color w:val="auto"/>
          <w:sz w:val="21"/>
          <w:szCs w:val="21"/>
          <w:lang w:val="en-US"/>
        </w:rPr>
        <w:t>metastatic squamous NSCLC</w:t>
      </w:r>
      <w:r w:rsidRPr="66393FDB" w:rsidR="41304656">
        <w:rPr>
          <w:rFonts w:ascii="Segoe UI" w:hAnsi="Segoe UI" w:eastAsia="Segoe UI" w:cs="Segoe UI"/>
          <w:b w:val="0"/>
          <w:bCs w:val="0"/>
          <w:i w:val="0"/>
          <w:iCs w:val="0"/>
          <w:noProof w:val="0"/>
          <w:color w:val="auto"/>
          <w:sz w:val="21"/>
          <w:szCs w:val="21"/>
          <w:lang w:val="en-US"/>
        </w:rPr>
        <w:t xml:space="preserve"> progressing after platinum</w:t>
      </w:r>
      <w:r>
        <w:noBreakHyphen/>
      </w:r>
      <w:r w:rsidRPr="66393FDB" w:rsidR="41304656">
        <w:rPr>
          <w:rFonts w:ascii="Segoe UI" w:hAnsi="Segoe UI" w:eastAsia="Segoe UI" w:cs="Segoe UI"/>
          <w:b w:val="0"/>
          <w:bCs w:val="0"/>
          <w:i w:val="0"/>
          <w:iCs w:val="0"/>
          <w:noProof w:val="0"/>
          <w:color w:val="auto"/>
          <w:sz w:val="21"/>
          <w:szCs w:val="21"/>
          <w:lang w:val="en-US"/>
        </w:rPr>
        <w:t xml:space="preserve">based chemotherapy </w:t>
      </w:r>
    </w:p>
    <w:p w:rsidR="66393FDB" w:rsidP="66393FDB" w:rsidRDefault="66393FDB" w14:paraId="380EE42E" w14:textId="533E7EC9">
      <w:pPr>
        <w:spacing w:line="300" w:lineRule="auto"/>
        <w:rPr>
          <w:color w:val="auto"/>
        </w:rPr>
      </w:pPr>
    </w:p>
    <w:p w:rsidR="41304656" w:rsidP="66393FDB" w:rsidRDefault="41304656" w14:paraId="62E4ED1C" w14:textId="3E78BB80">
      <w:pPr>
        <w:pStyle w:val="Heading2"/>
        <w:suppressLineNumbers w:val="0"/>
        <w:bidi w:val="0"/>
        <w:spacing w:before="160" w:beforeAutospacing="off" w:after="80" w:afterAutospacing="off" w:line="300" w:lineRule="auto"/>
        <w:ind w:left="0" w:right="0"/>
        <w:jc w:val="left"/>
        <w:rPr>
          <w:rFonts w:ascii="Segoe UI" w:hAnsi="Segoe UI" w:eastAsia="Segoe UI" w:cs="Segoe UI"/>
          <w:b w:val="1"/>
          <w:bCs w:val="1"/>
          <w:i w:val="0"/>
          <w:iCs w:val="0"/>
          <w:noProof w:val="0"/>
          <w:color w:val="auto"/>
          <w:sz w:val="21"/>
          <w:szCs w:val="21"/>
          <w:lang w:val="en-US"/>
        </w:rPr>
      </w:pPr>
      <w:r w:rsidRPr="66393FDB" w:rsidR="41304656">
        <w:rPr>
          <w:rFonts w:ascii="Segoe UI" w:hAnsi="Segoe UI" w:eastAsia="Segoe UI" w:cs="Segoe UI"/>
          <w:b w:val="1"/>
          <w:bCs w:val="1"/>
          <w:i w:val="0"/>
          <w:iCs w:val="0"/>
          <w:noProof w:val="0"/>
          <w:color w:val="auto"/>
          <w:sz w:val="21"/>
          <w:szCs w:val="21"/>
          <w:lang w:val="en-US"/>
        </w:rPr>
        <w:t>6.3 Selection of Doses in the Study</w:t>
      </w:r>
    </w:p>
    <w:p w:rsidR="41304656" w:rsidP="66393FDB" w:rsidRDefault="41304656" w14:paraId="377E3322" w14:textId="24DB7A52">
      <w:pPr>
        <w:spacing w:line="300" w:lineRule="auto"/>
        <w:rPr>
          <w:rFonts w:ascii="Segoe UI" w:hAnsi="Segoe UI" w:eastAsia="Segoe UI" w:cs="Segoe UI"/>
          <w:b w:val="0"/>
          <w:bCs w:val="0"/>
          <w:i w:val="0"/>
          <w:iCs w:val="0"/>
          <w:noProof w:val="0"/>
          <w:color w:val="auto"/>
          <w:sz w:val="21"/>
          <w:szCs w:val="21"/>
          <w:lang w:val="en-US"/>
        </w:rPr>
      </w:pPr>
      <w:r w:rsidRPr="66393FDB" w:rsidR="41304656">
        <w:rPr>
          <w:rFonts w:ascii="Segoe UI" w:hAnsi="Segoe UI" w:eastAsia="Segoe UI" w:cs="Segoe UI"/>
          <w:b w:val="0"/>
          <w:bCs w:val="0"/>
          <w:i w:val="0"/>
          <w:iCs w:val="0"/>
          <w:noProof w:val="0"/>
          <w:color w:val="auto"/>
          <w:sz w:val="21"/>
          <w:szCs w:val="21"/>
          <w:lang w:val="en-US"/>
        </w:rPr>
        <w:t xml:space="preserve">The starting dose of Afatinib was selected based on clinical pharmacology and prior pivotal trials </w:t>
      </w:r>
      <w:r w:rsidRPr="66393FDB" w:rsidR="41304656">
        <w:rPr>
          <w:rFonts w:ascii="Segoe UI" w:hAnsi="Segoe UI" w:eastAsia="Segoe UI" w:cs="Segoe UI"/>
          <w:b w:val="0"/>
          <w:bCs w:val="0"/>
          <w:i w:val="0"/>
          <w:iCs w:val="0"/>
          <w:noProof w:val="0"/>
          <w:color w:val="auto"/>
          <w:sz w:val="21"/>
          <w:szCs w:val="21"/>
          <w:lang w:val="en-US"/>
        </w:rPr>
        <w:t>demonstrating</w:t>
      </w:r>
      <w:r w:rsidRPr="66393FDB" w:rsidR="41304656">
        <w:rPr>
          <w:rFonts w:ascii="Segoe UI" w:hAnsi="Segoe UI" w:eastAsia="Segoe UI" w:cs="Segoe UI"/>
          <w:b w:val="0"/>
          <w:bCs w:val="0"/>
          <w:i w:val="0"/>
          <w:iCs w:val="0"/>
          <w:noProof w:val="0"/>
          <w:color w:val="auto"/>
          <w:sz w:val="21"/>
          <w:szCs w:val="21"/>
          <w:lang w:val="en-US"/>
        </w:rPr>
        <w:t xml:space="preserve"> efficacy and tolerability</w:t>
      </w:r>
      <w:r w:rsidRPr="66393FDB" w:rsidR="0CD96777">
        <w:rPr>
          <w:rFonts w:ascii="Segoe UI" w:hAnsi="Segoe UI" w:eastAsia="Segoe UI" w:cs="Segoe UI"/>
          <w:b w:val="0"/>
          <w:bCs w:val="0"/>
          <w:i w:val="0"/>
          <w:iCs w:val="0"/>
          <w:noProof w:val="0"/>
          <w:color w:val="auto"/>
          <w:sz w:val="21"/>
          <w:szCs w:val="21"/>
          <w:lang w:val="en-US"/>
        </w:rPr>
        <w:t xml:space="preserve"> </w:t>
      </w:r>
      <w:r w:rsidRPr="66393FDB" w:rsidR="0CD96777">
        <w:rPr>
          <w:rFonts w:ascii="Segoe UI" w:hAnsi="Segoe UI" w:eastAsia="Segoe UI" w:cs="Segoe UI"/>
          <w:b w:val="0"/>
          <w:bCs w:val="0"/>
          <w:i w:val="0"/>
          <w:iCs w:val="0"/>
          <w:noProof w:val="0"/>
          <w:color w:val="auto"/>
          <w:sz w:val="21"/>
          <w:szCs w:val="21"/>
          <w:lang w:val="en-US"/>
        </w:rPr>
        <w:t xml:space="preserve">see </w:t>
      </w:r>
      <w:r w:rsidRPr="66393FDB" w:rsidR="0CD96777">
        <w:rPr>
          <w:rFonts w:ascii="Segoe UI" w:hAnsi="Segoe UI" w:eastAsia="Segoe UI" w:cs="Segoe UI"/>
          <w:b w:val="0"/>
          <w:bCs w:val="0"/>
          <w:i w:val="0"/>
          <w:iCs w:val="0"/>
          <w:noProof w:val="0"/>
          <w:color w:val="auto"/>
          <w:sz w:val="21"/>
          <w:szCs w:val="21"/>
          <w:highlight w:val="yellow"/>
          <w:lang w:val="en-US"/>
        </w:rPr>
        <w:t>Attachment</w:t>
      </w:r>
      <w:r w:rsidRPr="66393FDB" w:rsidR="0CD96777">
        <w:rPr>
          <w:rFonts w:ascii="Segoe UI" w:hAnsi="Segoe UI" w:eastAsia="Segoe UI" w:cs="Segoe UI"/>
          <w:b w:val="0"/>
          <w:bCs w:val="0"/>
          <w:i w:val="0"/>
          <w:iCs w:val="0"/>
          <w:noProof w:val="0"/>
          <w:color w:val="auto"/>
          <w:sz w:val="21"/>
          <w:szCs w:val="21"/>
          <w:highlight w:val="yellow"/>
          <w:lang w:val="en-US"/>
        </w:rPr>
        <w:t xml:space="preserve"> 2.</w:t>
      </w:r>
    </w:p>
    <w:p w:rsidR="41304656" w:rsidP="66393FDB" w:rsidRDefault="41304656" w14:paraId="4FC3CBA7" w14:textId="42AD2E5F">
      <w:pPr>
        <w:pStyle w:val="ListParagraph"/>
        <w:numPr>
          <w:ilvl w:val="0"/>
          <w:numId w:val="8"/>
        </w:numPr>
        <w:spacing w:before="0" w:beforeAutospacing="off" w:after="0" w:afterAutospacing="off" w:line="300" w:lineRule="auto"/>
        <w:rPr>
          <w:b w:val="0"/>
          <w:bCs w:val="0"/>
          <w:i w:val="0"/>
          <w:iCs w:val="0"/>
          <w:strike w:val="0"/>
          <w:dstrike w:val="0"/>
          <w:noProof w:val="0"/>
          <w:color w:val="auto"/>
          <w:u w:val="none"/>
          <w:lang w:val="en-US"/>
        </w:rPr>
      </w:pPr>
      <w:r w:rsidRPr="66393FDB" w:rsidR="41304656">
        <w:rPr>
          <w:rFonts w:ascii="Segoe UI" w:hAnsi="Segoe UI" w:eastAsia="Segoe UI" w:cs="Segoe UI"/>
          <w:b w:val="1"/>
          <w:bCs w:val="1"/>
          <w:i w:val="0"/>
          <w:iCs w:val="0"/>
          <w:noProof w:val="0"/>
          <w:color w:val="auto"/>
          <w:sz w:val="21"/>
          <w:szCs w:val="21"/>
          <w:lang w:val="en-US"/>
        </w:rPr>
        <w:t>Initial Dose:</w:t>
      </w:r>
      <w:r w:rsidRPr="66393FDB" w:rsidR="41304656">
        <w:rPr>
          <w:rFonts w:ascii="Segoe UI" w:hAnsi="Segoe UI" w:eastAsia="Segoe UI" w:cs="Segoe UI"/>
          <w:b w:val="0"/>
          <w:bCs w:val="0"/>
          <w:i w:val="0"/>
          <w:iCs w:val="0"/>
          <w:noProof w:val="0"/>
          <w:color w:val="auto"/>
          <w:sz w:val="21"/>
          <w:szCs w:val="21"/>
          <w:lang w:val="en-US"/>
        </w:rPr>
        <w:t xml:space="preserve"> </w:t>
      </w:r>
      <w:r w:rsidRPr="66393FDB" w:rsidR="41304656">
        <w:rPr>
          <w:rFonts w:ascii="Segoe UI" w:hAnsi="Segoe UI" w:eastAsia="Segoe UI" w:cs="Segoe UI"/>
          <w:b w:val="0"/>
          <w:bCs w:val="0"/>
          <w:i w:val="0"/>
          <w:iCs w:val="0"/>
          <w:noProof w:val="0"/>
          <w:color w:val="auto"/>
          <w:sz w:val="21"/>
          <w:szCs w:val="21"/>
          <w:lang w:val="en-US"/>
        </w:rPr>
        <w:t>40 mg</w:t>
      </w:r>
      <w:r w:rsidRPr="66393FDB" w:rsidR="41304656">
        <w:rPr>
          <w:rFonts w:ascii="Segoe UI" w:hAnsi="Segoe UI" w:eastAsia="Segoe UI" w:cs="Segoe UI"/>
          <w:b w:val="0"/>
          <w:bCs w:val="0"/>
          <w:i w:val="0"/>
          <w:iCs w:val="0"/>
          <w:noProof w:val="0"/>
          <w:color w:val="auto"/>
          <w:sz w:val="21"/>
          <w:szCs w:val="21"/>
          <w:lang w:val="en-US"/>
        </w:rPr>
        <w:t xml:space="preserve"> orally once daily</w:t>
      </w:r>
    </w:p>
    <w:p w:rsidR="41304656" w:rsidP="66393FDB" w:rsidRDefault="41304656" w14:paraId="481B08EE" w14:textId="0F992D8A">
      <w:pPr>
        <w:pStyle w:val="ListParagraph"/>
        <w:numPr>
          <w:ilvl w:val="0"/>
          <w:numId w:val="8"/>
        </w:numPr>
        <w:spacing w:before="0" w:beforeAutospacing="off" w:after="0" w:afterAutospacing="off" w:line="300" w:lineRule="auto"/>
        <w:rPr>
          <w:b w:val="0"/>
          <w:bCs w:val="0"/>
          <w:i w:val="0"/>
          <w:iCs w:val="0"/>
          <w:strike w:val="0"/>
          <w:dstrike w:val="0"/>
          <w:noProof w:val="0"/>
          <w:color w:val="auto"/>
          <w:u w:val="none"/>
          <w:lang w:val="en-US"/>
        </w:rPr>
      </w:pPr>
      <w:r w:rsidRPr="66393FDB" w:rsidR="41304656">
        <w:rPr>
          <w:rFonts w:ascii="Segoe UI" w:hAnsi="Segoe UI" w:eastAsia="Segoe UI" w:cs="Segoe UI"/>
          <w:b w:val="0"/>
          <w:bCs w:val="0"/>
          <w:i w:val="0"/>
          <w:iCs w:val="0"/>
          <w:noProof w:val="0"/>
          <w:color w:val="auto"/>
          <w:sz w:val="21"/>
          <w:szCs w:val="21"/>
          <w:lang w:val="en-US"/>
        </w:rPr>
        <w:t xml:space="preserve">This dose is the </w:t>
      </w:r>
      <w:r w:rsidRPr="66393FDB" w:rsidR="41304656">
        <w:rPr>
          <w:rFonts w:ascii="Segoe UI" w:hAnsi="Segoe UI" w:eastAsia="Segoe UI" w:cs="Segoe UI"/>
          <w:b w:val="1"/>
          <w:bCs w:val="1"/>
          <w:i w:val="0"/>
          <w:iCs w:val="0"/>
          <w:noProof w:val="0"/>
          <w:color w:val="auto"/>
          <w:sz w:val="21"/>
          <w:szCs w:val="21"/>
          <w:lang w:val="en-US"/>
        </w:rPr>
        <w:t>approved recommended dose</w:t>
      </w:r>
      <w:r w:rsidRPr="66393FDB" w:rsidR="41304656">
        <w:rPr>
          <w:rFonts w:ascii="Segoe UI" w:hAnsi="Segoe UI" w:eastAsia="Segoe UI" w:cs="Segoe UI"/>
          <w:b w:val="0"/>
          <w:bCs w:val="0"/>
          <w:i w:val="0"/>
          <w:iCs w:val="0"/>
          <w:noProof w:val="0"/>
          <w:color w:val="auto"/>
          <w:sz w:val="21"/>
          <w:szCs w:val="21"/>
          <w:lang w:val="en-US"/>
        </w:rPr>
        <w:t xml:space="preserve"> and has </w:t>
      </w:r>
      <w:r w:rsidRPr="66393FDB" w:rsidR="41304656">
        <w:rPr>
          <w:rFonts w:ascii="Segoe UI" w:hAnsi="Segoe UI" w:eastAsia="Segoe UI" w:cs="Segoe UI"/>
          <w:b w:val="0"/>
          <w:bCs w:val="0"/>
          <w:i w:val="0"/>
          <w:iCs w:val="0"/>
          <w:noProof w:val="0"/>
          <w:color w:val="auto"/>
          <w:sz w:val="21"/>
          <w:szCs w:val="21"/>
          <w:lang w:val="en-US"/>
        </w:rPr>
        <w:t>demonstrated</w:t>
      </w:r>
      <w:r w:rsidRPr="66393FDB" w:rsidR="41304656">
        <w:rPr>
          <w:rFonts w:ascii="Segoe UI" w:hAnsi="Segoe UI" w:eastAsia="Segoe UI" w:cs="Segoe UI"/>
          <w:b w:val="0"/>
          <w:bCs w:val="0"/>
          <w:i w:val="0"/>
          <w:iCs w:val="0"/>
          <w:noProof w:val="0"/>
          <w:color w:val="auto"/>
          <w:sz w:val="21"/>
          <w:szCs w:val="21"/>
          <w:lang w:val="en-US"/>
        </w:rPr>
        <w:t xml:space="preserve"> </w:t>
      </w:r>
      <w:r w:rsidRPr="66393FDB" w:rsidR="41304656">
        <w:rPr>
          <w:rFonts w:ascii="Segoe UI" w:hAnsi="Segoe UI" w:eastAsia="Segoe UI" w:cs="Segoe UI"/>
          <w:b w:val="0"/>
          <w:bCs w:val="0"/>
          <w:i w:val="0"/>
          <w:iCs w:val="0"/>
          <w:noProof w:val="0"/>
          <w:color w:val="auto"/>
          <w:sz w:val="21"/>
          <w:szCs w:val="21"/>
          <w:lang w:val="en-US"/>
        </w:rPr>
        <w:t>optimal</w:t>
      </w:r>
      <w:r w:rsidRPr="66393FDB" w:rsidR="41304656">
        <w:rPr>
          <w:rFonts w:ascii="Segoe UI" w:hAnsi="Segoe UI" w:eastAsia="Segoe UI" w:cs="Segoe UI"/>
          <w:b w:val="0"/>
          <w:bCs w:val="0"/>
          <w:i w:val="0"/>
          <w:iCs w:val="0"/>
          <w:noProof w:val="0"/>
          <w:color w:val="auto"/>
          <w:sz w:val="21"/>
          <w:szCs w:val="21"/>
          <w:lang w:val="en-US"/>
        </w:rPr>
        <w:t xml:space="preserve"> benefit–risk balance in EGFR</w:t>
      </w:r>
      <w:r>
        <w:noBreakHyphen/>
      </w:r>
      <w:r w:rsidRPr="66393FDB" w:rsidR="41304656">
        <w:rPr>
          <w:rFonts w:ascii="Segoe UI" w:hAnsi="Segoe UI" w:eastAsia="Segoe UI" w:cs="Segoe UI"/>
          <w:b w:val="0"/>
          <w:bCs w:val="0"/>
          <w:i w:val="0"/>
          <w:iCs w:val="0"/>
          <w:noProof w:val="0"/>
          <w:color w:val="auto"/>
          <w:sz w:val="21"/>
          <w:szCs w:val="21"/>
          <w:lang w:val="en-US"/>
        </w:rPr>
        <w:t xml:space="preserve">mutant NSCLC populations </w:t>
      </w:r>
    </w:p>
    <w:p w:rsidR="66393FDB" w:rsidP="66393FDB" w:rsidRDefault="66393FDB" w14:paraId="0561AED5" w14:textId="1A8545DA">
      <w:pPr>
        <w:spacing w:line="300" w:lineRule="auto"/>
        <w:rPr>
          <w:color w:val="auto"/>
        </w:rPr>
      </w:pPr>
    </w:p>
    <w:p w:rsidR="41304656" w:rsidP="66393FDB" w:rsidRDefault="41304656" w14:paraId="4B446FE5" w14:textId="41F679D2">
      <w:pPr>
        <w:pStyle w:val="Heading2"/>
        <w:suppressLineNumbers w:val="0"/>
        <w:bidi w:val="0"/>
        <w:spacing w:before="160" w:beforeAutospacing="off" w:after="80" w:afterAutospacing="off" w:line="300" w:lineRule="auto"/>
        <w:ind w:left="0" w:right="0"/>
        <w:jc w:val="left"/>
        <w:rPr>
          <w:rFonts w:ascii="Segoe UI" w:hAnsi="Segoe UI" w:eastAsia="Segoe UI" w:cs="Segoe UI"/>
          <w:b w:val="1"/>
          <w:bCs w:val="1"/>
          <w:i w:val="0"/>
          <w:iCs w:val="0"/>
          <w:noProof w:val="0"/>
          <w:color w:val="auto"/>
          <w:sz w:val="21"/>
          <w:szCs w:val="21"/>
          <w:lang w:val="en-US"/>
        </w:rPr>
      </w:pPr>
      <w:r w:rsidRPr="66393FDB" w:rsidR="41304656">
        <w:rPr>
          <w:rFonts w:ascii="Segoe UI" w:hAnsi="Segoe UI" w:eastAsia="Segoe UI" w:cs="Segoe UI"/>
          <w:b w:val="1"/>
          <w:bCs w:val="1"/>
          <w:i w:val="0"/>
          <w:iCs w:val="0"/>
          <w:noProof w:val="0"/>
          <w:color w:val="auto"/>
          <w:sz w:val="21"/>
          <w:szCs w:val="21"/>
          <w:lang w:val="en-US"/>
        </w:rPr>
        <w:t>6.4 Method of Administration</w:t>
      </w:r>
    </w:p>
    <w:p w:rsidR="41304656" w:rsidP="66393FDB" w:rsidRDefault="41304656" w14:paraId="3B2AC1E1" w14:textId="71A41C55">
      <w:pPr>
        <w:pStyle w:val="ListParagraph"/>
        <w:numPr>
          <w:ilvl w:val="0"/>
          <w:numId w:val="9"/>
        </w:numPr>
        <w:spacing w:before="0" w:beforeAutospacing="off" w:after="0" w:afterAutospacing="off" w:line="300" w:lineRule="auto"/>
        <w:rPr>
          <w:rFonts w:ascii="Segoe UI" w:hAnsi="Segoe UI" w:eastAsia="Segoe UI" w:cs="Segoe UI"/>
          <w:b w:val="0"/>
          <w:bCs w:val="0"/>
          <w:i w:val="0"/>
          <w:iCs w:val="0"/>
          <w:noProof w:val="0"/>
          <w:color w:val="auto"/>
          <w:sz w:val="21"/>
          <w:szCs w:val="21"/>
          <w:lang w:val="en-US"/>
        </w:rPr>
      </w:pPr>
      <w:r w:rsidRPr="66393FDB" w:rsidR="41304656">
        <w:rPr>
          <w:rFonts w:ascii="Segoe UI" w:hAnsi="Segoe UI" w:eastAsia="Segoe UI" w:cs="Segoe UI"/>
          <w:b w:val="0"/>
          <w:bCs w:val="0"/>
          <w:i w:val="0"/>
          <w:iCs w:val="0"/>
          <w:noProof w:val="0"/>
          <w:color w:val="auto"/>
          <w:sz w:val="21"/>
          <w:szCs w:val="21"/>
          <w:lang w:val="en-US"/>
        </w:rPr>
        <w:t xml:space="preserve">Afatinib was administered </w:t>
      </w:r>
      <w:r w:rsidRPr="66393FDB" w:rsidR="41304656">
        <w:rPr>
          <w:rFonts w:ascii="Segoe UI" w:hAnsi="Segoe UI" w:eastAsia="Segoe UI" w:cs="Segoe UI"/>
          <w:b w:val="1"/>
          <w:bCs w:val="1"/>
          <w:i w:val="0"/>
          <w:iCs w:val="0"/>
          <w:noProof w:val="0"/>
          <w:color w:val="auto"/>
          <w:sz w:val="21"/>
          <w:szCs w:val="21"/>
          <w:lang w:val="en-US"/>
        </w:rPr>
        <w:t>orally</w:t>
      </w:r>
      <w:r w:rsidRPr="66393FDB" w:rsidR="41304656">
        <w:rPr>
          <w:rFonts w:ascii="Segoe UI" w:hAnsi="Segoe UI" w:eastAsia="Segoe UI" w:cs="Segoe UI"/>
          <w:b w:val="0"/>
          <w:bCs w:val="0"/>
          <w:i w:val="0"/>
          <w:iCs w:val="0"/>
          <w:noProof w:val="0"/>
          <w:color w:val="auto"/>
          <w:sz w:val="21"/>
          <w:szCs w:val="21"/>
          <w:lang w:val="en-US"/>
        </w:rPr>
        <w:t xml:space="preserve"> once daily.</w:t>
      </w:r>
    </w:p>
    <w:p w:rsidR="41304656" w:rsidP="66393FDB" w:rsidRDefault="41304656" w14:paraId="698BF97E" w14:textId="6C0CC0A2">
      <w:pPr>
        <w:pStyle w:val="ListParagraph"/>
        <w:numPr>
          <w:ilvl w:val="0"/>
          <w:numId w:val="9"/>
        </w:numPr>
        <w:spacing w:before="0" w:beforeAutospacing="off" w:after="0" w:afterAutospacing="off" w:line="300" w:lineRule="auto"/>
        <w:rPr>
          <w:rFonts w:ascii="Segoe UI" w:hAnsi="Segoe UI" w:eastAsia="Segoe UI" w:cs="Segoe UI"/>
          <w:b w:val="0"/>
          <w:bCs w:val="0"/>
          <w:i w:val="0"/>
          <w:iCs w:val="0"/>
          <w:noProof w:val="0"/>
          <w:color w:val="auto"/>
          <w:sz w:val="21"/>
          <w:szCs w:val="21"/>
          <w:lang w:val="en-US"/>
        </w:rPr>
      </w:pPr>
      <w:r w:rsidRPr="66393FDB" w:rsidR="41304656">
        <w:rPr>
          <w:rFonts w:ascii="Segoe UI" w:hAnsi="Segoe UI" w:eastAsia="Segoe UI" w:cs="Segoe UI"/>
          <w:b w:val="0"/>
          <w:bCs w:val="0"/>
          <w:i w:val="0"/>
          <w:iCs w:val="0"/>
          <w:noProof w:val="0"/>
          <w:color w:val="auto"/>
          <w:sz w:val="21"/>
          <w:szCs w:val="21"/>
          <w:lang w:val="en-US"/>
        </w:rPr>
        <w:t xml:space="preserve">Patients were instructed to take the study drug: </w:t>
      </w:r>
    </w:p>
    <w:p w:rsidR="41304656" w:rsidP="66393FDB" w:rsidRDefault="41304656" w14:paraId="5480DD75" w14:textId="6956C890">
      <w:pPr>
        <w:pStyle w:val="ListParagraph"/>
        <w:numPr>
          <w:ilvl w:val="1"/>
          <w:numId w:val="9"/>
        </w:numPr>
        <w:spacing w:before="0" w:beforeAutospacing="off" w:after="0" w:afterAutospacing="off" w:line="300" w:lineRule="auto"/>
        <w:rPr>
          <w:b w:val="0"/>
          <w:bCs w:val="0"/>
          <w:i w:val="0"/>
          <w:iCs w:val="0"/>
          <w:strike w:val="0"/>
          <w:dstrike w:val="0"/>
          <w:noProof w:val="0"/>
          <w:color w:val="auto"/>
          <w:u w:val="none"/>
          <w:lang w:val="en-US"/>
        </w:rPr>
      </w:pPr>
      <w:r w:rsidRPr="66393FDB" w:rsidR="41304656">
        <w:rPr>
          <w:rFonts w:ascii="Segoe UI" w:hAnsi="Segoe UI" w:eastAsia="Segoe UI" w:cs="Segoe UI"/>
          <w:b w:val="1"/>
          <w:bCs w:val="1"/>
          <w:i w:val="0"/>
          <w:iCs w:val="0"/>
          <w:noProof w:val="0"/>
          <w:color w:val="auto"/>
          <w:sz w:val="21"/>
          <w:szCs w:val="21"/>
          <w:lang w:val="en-US"/>
        </w:rPr>
        <w:t>At least 1 hour before or ≥2–3 hours after food</w:t>
      </w:r>
      <w:r w:rsidRPr="66393FDB" w:rsidR="41304656">
        <w:rPr>
          <w:rFonts w:ascii="Segoe UI" w:hAnsi="Segoe UI" w:eastAsia="Segoe UI" w:cs="Segoe UI"/>
          <w:b w:val="0"/>
          <w:bCs w:val="0"/>
          <w:i w:val="0"/>
          <w:iCs w:val="0"/>
          <w:noProof w:val="0"/>
          <w:color w:val="auto"/>
          <w:sz w:val="21"/>
          <w:szCs w:val="21"/>
          <w:lang w:val="en-US"/>
        </w:rPr>
        <w:t xml:space="preserve"> </w:t>
      </w:r>
    </w:p>
    <w:p w:rsidR="41304656" w:rsidP="66393FDB" w:rsidRDefault="41304656" w14:paraId="21F4CE5E" w14:textId="784ACB60">
      <w:pPr>
        <w:pStyle w:val="ListParagraph"/>
        <w:numPr>
          <w:ilvl w:val="0"/>
          <w:numId w:val="9"/>
        </w:numPr>
        <w:spacing w:before="0" w:beforeAutospacing="off" w:after="0" w:afterAutospacing="off" w:line="300" w:lineRule="auto"/>
        <w:rPr>
          <w:rFonts w:ascii="Segoe UI" w:hAnsi="Segoe UI" w:eastAsia="Segoe UI" w:cs="Segoe UI"/>
          <w:b w:val="0"/>
          <w:bCs w:val="0"/>
          <w:i w:val="0"/>
          <w:iCs w:val="0"/>
          <w:noProof w:val="0"/>
          <w:color w:val="auto"/>
          <w:sz w:val="21"/>
          <w:szCs w:val="21"/>
          <w:lang w:val="en-US"/>
        </w:rPr>
      </w:pPr>
      <w:r w:rsidRPr="66393FDB" w:rsidR="41304656">
        <w:rPr>
          <w:rFonts w:ascii="Segoe UI" w:hAnsi="Segoe UI" w:eastAsia="Segoe UI" w:cs="Segoe UI"/>
          <w:b w:val="0"/>
          <w:bCs w:val="0"/>
          <w:i w:val="0"/>
          <w:iCs w:val="0"/>
          <w:noProof w:val="0"/>
          <w:color w:val="auto"/>
          <w:sz w:val="21"/>
          <w:szCs w:val="21"/>
          <w:lang w:val="en-US"/>
        </w:rPr>
        <w:t>Tablets were swallowed whole with water.</w:t>
      </w:r>
    </w:p>
    <w:p w:rsidR="41304656" w:rsidP="66393FDB" w:rsidRDefault="41304656" w14:paraId="6C67E01B" w14:textId="084588AF">
      <w:pPr>
        <w:pStyle w:val="Heading2"/>
        <w:suppressLineNumbers w:val="0"/>
        <w:bidi w:val="0"/>
        <w:spacing w:before="160" w:beforeAutospacing="off" w:after="80" w:afterAutospacing="off" w:line="300" w:lineRule="auto"/>
        <w:ind w:left="0" w:right="0"/>
        <w:jc w:val="left"/>
        <w:rPr>
          <w:rFonts w:ascii="Segoe UI" w:hAnsi="Segoe UI" w:eastAsia="Segoe UI" w:cs="Segoe UI"/>
          <w:b w:val="1"/>
          <w:bCs w:val="1"/>
          <w:i w:val="0"/>
          <w:iCs w:val="0"/>
          <w:noProof w:val="0"/>
          <w:color w:val="auto"/>
          <w:sz w:val="21"/>
          <w:szCs w:val="21"/>
          <w:lang w:val="en-US"/>
        </w:rPr>
      </w:pPr>
      <w:r w:rsidRPr="66393FDB" w:rsidR="41304656">
        <w:rPr>
          <w:rFonts w:ascii="Segoe UI" w:hAnsi="Segoe UI" w:eastAsia="Segoe UI" w:cs="Segoe UI"/>
          <w:b w:val="1"/>
          <w:bCs w:val="1"/>
          <w:i w:val="0"/>
          <w:iCs w:val="0"/>
          <w:noProof w:val="0"/>
          <w:color w:val="auto"/>
          <w:sz w:val="21"/>
          <w:szCs w:val="21"/>
          <w:lang w:val="en-US"/>
        </w:rPr>
        <w:t>6.5 Treatment Regimen</w:t>
      </w:r>
    </w:p>
    <w:p w:rsidR="41304656" w:rsidP="66393FDB" w:rsidRDefault="41304656" w14:paraId="7011115A" w14:textId="6AABA2EC">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color w:val="auto"/>
          <w:sz w:val="21"/>
          <w:szCs w:val="21"/>
          <w:lang w:val="en-US"/>
        </w:rPr>
      </w:pPr>
      <w:r w:rsidRPr="66393FDB" w:rsidR="41304656">
        <w:rPr>
          <w:rFonts w:ascii="Segoe UI" w:hAnsi="Segoe UI" w:eastAsia="Segoe UI" w:cs="Segoe UI"/>
          <w:b w:val="0"/>
          <w:bCs w:val="0"/>
          <w:i w:val="0"/>
          <w:iCs w:val="0"/>
          <w:noProof w:val="0"/>
          <w:color w:val="auto"/>
          <w:sz w:val="21"/>
          <w:szCs w:val="21"/>
          <w:lang w:val="en-US"/>
        </w:rPr>
        <w:t xml:space="preserve">Afatinib was administered </w:t>
      </w:r>
      <w:r w:rsidRPr="66393FDB" w:rsidR="41304656">
        <w:rPr>
          <w:rFonts w:ascii="Segoe UI" w:hAnsi="Segoe UI" w:eastAsia="Segoe UI" w:cs="Segoe UI"/>
          <w:b w:val="1"/>
          <w:bCs w:val="1"/>
          <w:i w:val="0"/>
          <w:iCs w:val="0"/>
          <w:noProof w:val="0"/>
          <w:color w:val="auto"/>
          <w:sz w:val="21"/>
          <w:szCs w:val="21"/>
          <w:lang w:val="en-US"/>
        </w:rPr>
        <w:t>continuously once daily</w:t>
      </w:r>
      <w:r w:rsidRPr="66393FDB" w:rsidR="41304656">
        <w:rPr>
          <w:rFonts w:ascii="Segoe UI" w:hAnsi="Segoe UI" w:eastAsia="Segoe UI" w:cs="Segoe UI"/>
          <w:b w:val="0"/>
          <w:bCs w:val="0"/>
          <w:i w:val="0"/>
          <w:iCs w:val="0"/>
          <w:noProof w:val="0"/>
          <w:color w:val="auto"/>
          <w:sz w:val="21"/>
          <w:szCs w:val="21"/>
          <w:lang w:val="en-US"/>
        </w:rPr>
        <w:t xml:space="preserve"> in 28</w:t>
      </w:r>
      <w:r>
        <w:noBreakHyphen/>
      </w:r>
      <w:r w:rsidRPr="66393FDB" w:rsidR="41304656">
        <w:rPr>
          <w:rFonts w:ascii="Segoe UI" w:hAnsi="Segoe UI" w:eastAsia="Segoe UI" w:cs="Segoe UI"/>
          <w:b w:val="0"/>
          <w:bCs w:val="0"/>
          <w:i w:val="0"/>
          <w:iCs w:val="0"/>
          <w:noProof w:val="0"/>
          <w:color w:val="auto"/>
          <w:sz w:val="21"/>
          <w:szCs w:val="21"/>
          <w:lang w:val="en-US"/>
        </w:rPr>
        <w:t>day cycles (or equivalent continuous dosing framework).</w:t>
      </w:r>
      <w:r w:rsidRPr="66393FDB" w:rsidR="191B8292">
        <w:rPr>
          <w:rFonts w:ascii="Segoe UI" w:hAnsi="Segoe UI" w:eastAsia="Segoe UI" w:cs="Segoe UI"/>
          <w:b w:val="0"/>
          <w:bCs w:val="0"/>
          <w:i w:val="0"/>
          <w:iCs w:val="0"/>
          <w:noProof w:val="0"/>
          <w:color w:val="auto"/>
          <w:sz w:val="21"/>
          <w:szCs w:val="21"/>
          <w:lang w:val="en-US"/>
        </w:rPr>
        <w:t xml:space="preserve"> See </w:t>
      </w:r>
      <w:r w:rsidRPr="66393FDB" w:rsidR="191B8292">
        <w:rPr>
          <w:rFonts w:ascii="Segoe UI" w:hAnsi="Segoe UI" w:eastAsia="Segoe UI" w:cs="Segoe UI"/>
          <w:b w:val="0"/>
          <w:bCs w:val="0"/>
          <w:i w:val="0"/>
          <w:iCs w:val="0"/>
          <w:noProof w:val="0"/>
          <w:color w:val="auto"/>
          <w:sz w:val="21"/>
          <w:szCs w:val="21"/>
          <w:highlight w:val="yellow"/>
          <w:lang w:val="en-US"/>
        </w:rPr>
        <w:t>Table 1 and Figure 1.</w:t>
      </w:r>
    </w:p>
    <w:p w:rsidR="41304656" w:rsidP="66393FDB" w:rsidRDefault="41304656" w14:paraId="679E3F83" w14:textId="2113CDCE">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color w:val="auto"/>
          <w:sz w:val="21"/>
          <w:szCs w:val="21"/>
          <w:lang w:val="en-US"/>
        </w:rPr>
      </w:pPr>
      <w:r w:rsidRPr="66393FDB" w:rsidR="41304656">
        <w:rPr>
          <w:rFonts w:ascii="Segoe UI" w:hAnsi="Segoe UI" w:eastAsia="Segoe UI" w:cs="Segoe UI"/>
          <w:b w:val="0"/>
          <w:bCs w:val="0"/>
          <w:i w:val="0"/>
          <w:iCs w:val="0"/>
          <w:noProof w:val="0"/>
          <w:color w:val="auto"/>
          <w:sz w:val="21"/>
          <w:szCs w:val="21"/>
          <w:lang w:val="en-US"/>
        </w:rPr>
        <w:t xml:space="preserve">Treatment was continued until: </w:t>
      </w:r>
    </w:p>
    <w:p w:rsidR="41304656" w:rsidP="66393FDB" w:rsidRDefault="41304656" w14:paraId="013DF6D8" w14:textId="1EC73099">
      <w:pPr>
        <w:pStyle w:val="ListParagraph"/>
        <w:numPr>
          <w:ilvl w:val="1"/>
          <w:numId w:val="10"/>
        </w:numPr>
        <w:spacing w:before="0" w:beforeAutospacing="off" w:after="0" w:afterAutospacing="off" w:line="300" w:lineRule="auto"/>
        <w:rPr>
          <w:rFonts w:ascii="Segoe UI" w:hAnsi="Segoe UI" w:eastAsia="Segoe UI" w:cs="Segoe UI"/>
          <w:b w:val="0"/>
          <w:bCs w:val="0"/>
          <w:i w:val="0"/>
          <w:iCs w:val="0"/>
          <w:noProof w:val="0"/>
          <w:color w:val="auto"/>
          <w:sz w:val="21"/>
          <w:szCs w:val="21"/>
          <w:lang w:val="en-US"/>
        </w:rPr>
      </w:pPr>
      <w:r w:rsidRPr="66393FDB" w:rsidR="41304656">
        <w:rPr>
          <w:rFonts w:ascii="Segoe UI" w:hAnsi="Segoe UI" w:eastAsia="Segoe UI" w:cs="Segoe UI"/>
          <w:b w:val="0"/>
          <w:bCs w:val="0"/>
          <w:i w:val="0"/>
          <w:iCs w:val="0"/>
          <w:noProof w:val="0"/>
          <w:color w:val="auto"/>
          <w:sz w:val="21"/>
          <w:szCs w:val="21"/>
          <w:lang w:val="en-US"/>
        </w:rPr>
        <w:t>Radiological disease progression</w:t>
      </w:r>
    </w:p>
    <w:p w:rsidR="41304656" w:rsidP="66393FDB" w:rsidRDefault="41304656" w14:paraId="6E163C88" w14:textId="1B65E1EE">
      <w:pPr>
        <w:pStyle w:val="ListParagraph"/>
        <w:numPr>
          <w:ilvl w:val="1"/>
          <w:numId w:val="10"/>
        </w:numPr>
        <w:spacing w:before="0" w:beforeAutospacing="off" w:after="0" w:afterAutospacing="off" w:line="300" w:lineRule="auto"/>
        <w:rPr>
          <w:rFonts w:ascii="Segoe UI" w:hAnsi="Segoe UI" w:eastAsia="Segoe UI" w:cs="Segoe UI"/>
          <w:b w:val="0"/>
          <w:bCs w:val="0"/>
          <w:i w:val="0"/>
          <w:iCs w:val="0"/>
          <w:noProof w:val="0"/>
          <w:color w:val="auto"/>
          <w:sz w:val="21"/>
          <w:szCs w:val="21"/>
          <w:lang w:val="en-US"/>
        </w:rPr>
      </w:pPr>
      <w:r w:rsidRPr="66393FDB" w:rsidR="41304656">
        <w:rPr>
          <w:rFonts w:ascii="Segoe UI" w:hAnsi="Segoe UI" w:eastAsia="Segoe UI" w:cs="Segoe UI"/>
          <w:b w:val="0"/>
          <w:bCs w:val="0"/>
          <w:i w:val="0"/>
          <w:iCs w:val="0"/>
          <w:noProof w:val="0"/>
          <w:color w:val="auto"/>
          <w:sz w:val="21"/>
          <w:szCs w:val="21"/>
          <w:lang w:val="en-US"/>
        </w:rPr>
        <w:t>Occurrence of unacceptable toxicity</w:t>
      </w:r>
    </w:p>
    <w:p w:rsidR="41304656" w:rsidP="66393FDB" w:rsidRDefault="41304656" w14:paraId="30F1AF07" w14:textId="1483C283">
      <w:pPr>
        <w:pStyle w:val="ListParagraph"/>
        <w:numPr>
          <w:ilvl w:val="1"/>
          <w:numId w:val="10"/>
        </w:numPr>
        <w:spacing w:before="0" w:beforeAutospacing="off" w:after="0" w:afterAutospacing="off" w:line="300" w:lineRule="auto"/>
        <w:rPr>
          <w:rFonts w:ascii="Segoe UI" w:hAnsi="Segoe UI" w:eastAsia="Segoe UI" w:cs="Segoe UI"/>
          <w:b w:val="0"/>
          <w:bCs w:val="0"/>
          <w:i w:val="0"/>
          <w:iCs w:val="0"/>
          <w:noProof w:val="0"/>
          <w:color w:val="auto"/>
          <w:sz w:val="21"/>
          <w:szCs w:val="21"/>
          <w:lang w:val="en-US"/>
        </w:rPr>
      </w:pPr>
      <w:r w:rsidRPr="66393FDB" w:rsidR="41304656">
        <w:rPr>
          <w:rFonts w:ascii="Segoe UI" w:hAnsi="Segoe UI" w:eastAsia="Segoe UI" w:cs="Segoe UI"/>
          <w:b w:val="0"/>
          <w:bCs w:val="0"/>
          <w:i w:val="0"/>
          <w:iCs w:val="0"/>
          <w:noProof w:val="0"/>
          <w:color w:val="auto"/>
          <w:sz w:val="21"/>
          <w:szCs w:val="21"/>
          <w:lang w:val="en-US"/>
        </w:rPr>
        <w:t>Withdrawal of consent</w:t>
      </w:r>
    </w:p>
    <w:p w:rsidR="183285AF" w:rsidP="66393FDB" w:rsidRDefault="183285AF" w14:paraId="1AC170CC" w14:textId="67824EFF">
      <w:pPr>
        <w:pStyle w:val="Heading1"/>
        <w:bidi w:val="0"/>
        <w:rPr>
          <w:rFonts w:ascii="Calibri" w:hAnsi="Calibri" w:eastAsia="Calibri" w:cs="Calibri" w:asciiTheme="minorAscii" w:hAnsiTheme="minorAscii" w:eastAsiaTheme="minorAscii" w:cstheme="minorAscii"/>
          <w:b w:val="1"/>
          <w:bCs w:val="1"/>
          <w:noProof w:val="0"/>
          <w:color w:val="auto"/>
          <w:sz w:val="24"/>
          <w:szCs w:val="24"/>
          <w:lang w:val="en-US"/>
        </w:rPr>
      </w:pPr>
      <w:r w:rsidRPr="66393FDB" w:rsidR="183285AF">
        <w:rPr>
          <w:rFonts w:ascii="Calibri" w:hAnsi="Calibri" w:eastAsia="Calibri" w:cs="Calibri" w:asciiTheme="minorAscii" w:hAnsiTheme="minorAscii" w:eastAsiaTheme="minorAscii" w:cstheme="minorAscii"/>
          <w:b w:val="1"/>
          <w:bCs w:val="1"/>
          <w:noProof w:val="0"/>
          <w:color w:val="auto"/>
          <w:sz w:val="24"/>
          <w:szCs w:val="24"/>
          <w:lang w:val="en-US"/>
        </w:rPr>
        <w:t xml:space="preserve">7 Concomitant </w:t>
      </w:r>
      <w:r w:rsidRPr="66393FDB" w:rsidR="183285AF">
        <w:rPr>
          <w:rFonts w:ascii="Calibri" w:hAnsi="Calibri" w:eastAsia="Calibri" w:cs="Calibri" w:asciiTheme="minorAscii" w:hAnsiTheme="minorAscii" w:eastAsiaTheme="minorAscii" w:cstheme="minorAscii"/>
          <w:b w:val="1"/>
          <w:bCs w:val="1"/>
          <w:noProof w:val="0"/>
          <w:color w:val="auto"/>
          <w:sz w:val="24"/>
          <w:szCs w:val="24"/>
          <w:lang w:val="en-US"/>
        </w:rPr>
        <w:t>therapy,restrictions</w:t>
      </w:r>
      <w:r w:rsidRPr="66393FDB" w:rsidR="183285AF">
        <w:rPr>
          <w:rFonts w:ascii="Calibri" w:hAnsi="Calibri" w:eastAsia="Calibri" w:cs="Calibri" w:asciiTheme="minorAscii" w:hAnsiTheme="minorAscii" w:eastAsiaTheme="minorAscii" w:cstheme="minorAscii"/>
          <w:b w:val="1"/>
          <w:bCs w:val="1"/>
          <w:noProof w:val="0"/>
          <w:color w:val="auto"/>
          <w:sz w:val="24"/>
          <w:szCs w:val="24"/>
          <w:lang w:val="en-US"/>
        </w:rPr>
        <w:t>, and rescue treatment</w:t>
      </w:r>
    </w:p>
    <w:p w:rsidR="183285AF" w:rsidP="66393FDB" w:rsidRDefault="183285AF" w14:paraId="1DADF2B6" w14:textId="1DF9533C">
      <w:pPr>
        <w:pStyle w:val="Normal"/>
      </w:pPr>
      <w:r w:rsidRPr="66393FDB" w:rsidR="183285AF">
        <w:rPr>
          <w:rFonts w:ascii="Calibri" w:hAnsi="Calibri" w:eastAsia="Calibri" w:cs="Calibri"/>
          <w:noProof w:val="0"/>
          <w:sz w:val="24"/>
          <w:szCs w:val="24"/>
          <w:lang w:val="en-US"/>
        </w:rPr>
        <w:t xml:space="preserve"> Rescue medication, emergency procedures, and additional treatment(s</w:t>
      </w:r>
      <w:r w:rsidRPr="66393FDB" w:rsidR="183285AF">
        <w:rPr>
          <w:rFonts w:ascii="Calibri" w:hAnsi="Calibri" w:eastAsia="Calibri" w:cs="Calibri"/>
          <w:noProof w:val="0"/>
          <w:sz w:val="24"/>
          <w:szCs w:val="24"/>
          <w:lang w:val="en-US"/>
        </w:rPr>
        <w:t>) Rescue medication</w:t>
      </w:r>
      <w:r w:rsidRPr="66393FDB" w:rsidR="183285AF">
        <w:rPr>
          <w:rFonts w:ascii="Calibri" w:hAnsi="Calibri" w:eastAsia="Calibri" w:cs="Calibri"/>
          <w:noProof w:val="0"/>
          <w:sz w:val="24"/>
          <w:szCs w:val="24"/>
          <w:lang w:val="en-US"/>
        </w:rPr>
        <w:t xml:space="preserve"> Rescue medications to reverse the actions of afatinib are not available. There is no specific antidote for overdosage with afatinib. Potential adverse events should be treated symptomatically. Common adverse events of treatment with afatinib with specified management recommendations and/or requirements include </w:t>
      </w:r>
      <w:r w:rsidRPr="66393FDB" w:rsidR="183285AF">
        <w:rPr>
          <w:rFonts w:ascii="Calibri" w:hAnsi="Calibri" w:eastAsia="Calibri" w:cs="Calibri"/>
          <w:noProof w:val="0"/>
          <w:sz w:val="24"/>
          <w:szCs w:val="24"/>
          <w:lang w:val="en-US"/>
        </w:rPr>
        <w:t>diarrhoea</w:t>
      </w:r>
      <w:r w:rsidRPr="66393FDB" w:rsidR="183285AF">
        <w:rPr>
          <w:rFonts w:ascii="Calibri" w:hAnsi="Calibri" w:eastAsia="Calibri" w:cs="Calibri"/>
          <w:noProof w:val="0"/>
          <w:sz w:val="24"/>
          <w:szCs w:val="24"/>
          <w:lang w:val="en-US"/>
        </w:rPr>
        <w:t xml:space="preserve">, and rash/acne. To improve tolerability and the probability of clinical benefit, patients should receive prompt and </w:t>
      </w:r>
      <w:r w:rsidRPr="66393FDB" w:rsidR="183285AF">
        <w:rPr>
          <w:rFonts w:ascii="Calibri" w:hAnsi="Calibri" w:eastAsia="Calibri" w:cs="Calibri"/>
          <w:noProof w:val="0"/>
          <w:sz w:val="24"/>
          <w:szCs w:val="24"/>
          <w:lang w:val="en-US"/>
        </w:rPr>
        <w:t>appropriate supportive</w:t>
      </w:r>
      <w:r w:rsidRPr="66393FDB" w:rsidR="183285AF">
        <w:rPr>
          <w:rFonts w:ascii="Calibri" w:hAnsi="Calibri" w:eastAsia="Calibri" w:cs="Calibri"/>
          <w:noProof w:val="0"/>
          <w:sz w:val="24"/>
          <w:szCs w:val="24"/>
          <w:lang w:val="en-US"/>
        </w:rPr>
        <w:t xml:space="preserve"> care at the first signs of symptoms. Suggested treatments for AEs are described below.</w:t>
      </w:r>
      <w:r w:rsidRPr="66393FDB" w:rsidR="6C68FFDC">
        <w:rPr>
          <w:rFonts w:ascii="Calibri" w:hAnsi="Calibri" w:eastAsia="Calibri" w:cs="Calibri"/>
          <w:noProof w:val="0"/>
          <w:sz w:val="24"/>
          <w:szCs w:val="24"/>
          <w:lang w:val="en-US"/>
        </w:rPr>
        <w:t xml:space="preserve"> See </w:t>
      </w:r>
      <w:r w:rsidRPr="66393FDB" w:rsidR="6C68FFDC">
        <w:rPr>
          <w:rFonts w:ascii="Calibri" w:hAnsi="Calibri" w:eastAsia="Calibri" w:cs="Calibri"/>
          <w:noProof w:val="0"/>
          <w:sz w:val="24"/>
          <w:szCs w:val="24"/>
          <w:highlight w:val="yellow"/>
          <w:lang w:val="en-US"/>
        </w:rPr>
        <w:t>SAP</w:t>
      </w:r>
      <w:r w:rsidRPr="66393FDB" w:rsidR="6C68FFDC">
        <w:rPr>
          <w:rFonts w:ascii="Calibri" w:hAnsi="Calibri" w:eastAsia="Calibri" w:cs="Calibri"/>
          <w:noProof w:val="0"/>
          <w:sz w:val="24"/>
          <w:szCs w:val="24"/>
          <w:lang w:val="en-US"/>
        </w:rPr>
        <w:t>.</w:t>
      </w:r>
    </w:p>
    <w:p w:rsidR="183285AF" w:rsidP="66393FDB" w:rsidRDefault="183285AF" w14:paraId="7154AFF1" w14:textId="6C625B1B">
      <w:pPr>
        <w:pStyle w:val="Normal"/>
      </w:pPr>
      <w:r w:rsidRPr="66393FDB" w:rsidR="183285AF">
        <w:rPr>
          <w:rFonts w:ascii="Calibri" w:hAnsi="Calibri" w:eastAsia="Calibri" w:cs="Calibri"/>
          <w:noProof w:val="0"/>
          <w:sz w:val="24"/>
          <w:szCs w:val="24"/>
          <w:lang w:val="en-US"/>
        </w:rPr>
        <w:t xml:space="preserve">Concomitant treatments Concomitant medications or therapy to provide adequate supportive care may be given as clinically necessary. After </w:t>
      </w:r>
      <w:r w:rsidRPr="66393FDB" w:rsidR="183285AF">
        <w:rPr>
          <w:rFonts w:ascii="Calibri" w:hAnsi="Calibri" w:eastAsia="Calibri" w:cs="Calibri"/>
          <w:noProof w:val="0"/>
          <w:sz w:val="24"/>
          <w:szCs w:val="24"/>
          <w:lang w:val="en-US"/>
        </w:rPr>
        <w:t>study</w:t>
      </w:r>
      <w:r w:rsidRPr="66393FDB" w:rsidR="183285AF">
        <w:rPr>
          <w:rFonts w:ascii="Calibri" w:hAnsi="Calibri" w:eastAsia="Calibri" w:cs="Calibri"/>
          <w:noProof w:val="0"/>
          <w:sz w:val="24"/>
          <w:szCs w:val="24"/>
          <w:lang w:val="en-US"/>
        </w:rPr>
        <w:t xml:space="preserve"> enrollment, palliative radiotherapy may be given for bone pain or for other reasons (</w:t>
      </w:r>
      <w:r w:rsidRPr="66393FDB" w:rsidR="183285AF">
        <w:rPr>
          <w:rFonts w:ascii="Calibri" w:hAnsi="Calibri" w:eastAsia="Calibri" w:cs="Calibri"/>
          <w:noProof w:val="0"/>
          <w:sz w:val="24"/>
          <w:szCs w:val="24"/>
          <w:lang w:val="en-US"/>
        </w:rPr>
        <w:t>e.g.</w:t>
      </w:r>
      <w:r w:rsidRPr="66393FDB" w:rsidR="183285AF">
        <w:rPr>
          <w:rFonts w:ascii="Calibri" w:hAnsi="Calibri" w:eastAsia="Calibri" w:cs="Calibri"/>
          <w:noProof w:val="0"/>
          <w:sz w:val="24"/>
          <w:szCs w:val="24"/>
          <w:lang w:val="en-US"/>
        </w:rPr>
        <w:t xml:space="preserve"> bronchial obstruction, skin lesions), provided that the total dose delivered is in a palliative range according to institutional standards. The irradiated area cannot be used for tumor response assessment. During palliative radiotherapy, study treatment should be delayed and may be resumed once the patient has recovered from any radiation-associated toxicity. If medication is interrupted for more than 14 days, the decision to continue will be made by the BI clinical monitor in agreement with the investigator. Patients who are </w:t>
      </w:r>
      <w:r w:rsidRPr="66393FDB" w:rsidR="183285AF">
        <w:rPr>
          <w:rFonts w:ascii="Calibri" w:hAnsi="Calibri" w:eastAsia="Calibri" w:cs="Calibri"/>
          <w:noProof w:val="0"/>
          <w:sz w:val="24"/>
          <w:szCs w:val="24"/>
          <w:lang w:val="en-US"/>
        </w:rPr>
        <w:t>dose</w:t>
      </w:r>
      <w:r w:rsidRPr="66393FDB" w:rsidR="183285AF">
        <w:rPr>
          <w:rFonts w:ascii="Calibri" w:hAnsi="Calibri" w:eastAsia="Calibri" w:cs="Calibri"/>
          <w:noProof w:val="0"/>
          <w:sz w:val="24"/>
          <w:szCs w:val="24"/>
          <w:lang w:val="en-US"/>
        </w:rPr>
        <w:t xml:space="preserve"> interrupted for &gt;</w:t>
      </w:r>
      <w:r w:rsidRPr="66393FDB" w:rsidR="183285AF">
        <w:rPr>
          <w:rFonts w:ascii="Calibri" w:hAnsi="Calibri" w:eastAsia="Calibri" w:cs="Calibri"/>
          <w:noProof w:val="0"/>
          <w:sz w:val="24"/>
          <w:szCs w:val="24"/>
          <w:lang w:val="en-US"/>
        </w:rPr>
        <w:t>28 days</w:t>
      </w:r>
      <w:r w:rsidRPr="66393FDB" w:rsidR="183285AF">
        <w:rPr>
          <w:rFonts w:ascii="Calibri" w:hAnsi="Calibri" w:eastAsia="Calibri" w:cs="Calibri"/>
          <w:noProof w:val="0"/>
          <w:sz w:val="24"/>
          <w:szCs w:val="24"/>
          <w:lang w:val="en-US"/>
        </w:rPr>
        <w:t xml:space="preserve"> due to palliative radiotherapy must be permanently </w:t>
      </w:r>
      <w:r w:rsidRPr="66393FDB" w:rsidR="183285AF">
        <w:rPr>
          <w:rFonts w:ascii="Calibri" w:hAnsi="Calibri" w:eastAsia="Calibri" w:cs="Calibri"/>
          <w:noProof w:val="0"/>
          <w:sz w:val="24"/>
          <w:szCs w:val="24"/>
          <w:lang w:val="en-US"/>
        </w:rPr>
        <w:t>discontinued</w:t>
      </w:r>
      <w:r w:rsidRPr="66393FDB" w:rsidR="183285AF">
        <w:rPr>
          <w:rFonts w:ascii="Calibri" w:hAnsi="Calibri" w:eastAsia="Calibri" w:cs="Calibri"/>
          <w:noProof w:val="0"/>
          <w:sz w:val="24"/>
          <w:szCs w:val="24"/>
          <w:lang w:val="en-US"/>
        </w:rPr>
        <w:t xml:space="preserve"> from study medication. All concomitant therapy, including </w:t>
      </w:r>
      <w:r w:rsidRPr="66393FDB" w:rsidR="183285AF">
        <w:rPr>
          <w:rFonts w:ascii="Calibri" w:hAnsi="Calibri" w:eastAsia="Calibri" w:cs="Calibri"/>
          <w:noProof w:val="0"/>
          <w:sz w:val="24"/>
          <w:szCs w:val="24"/>
          <w:lang w:val="en-US"/>
        </w:rPr>
        <w:t>anaesthetic</w:t>
      </w:r>
      <w:r w:rsidRPr="66393FDB" w:rsidR="183285AF">
        <w:rPr>
          <w:rFonts w:ascii="Calibri" w:hAnsi="Calibri" w:eastAsia="Calibri" w:cs="Calibri"/>
          <w:noProof w:val="0"/>
          <w:sz w:val="24"/>
          <w:szCs w:val="24"/>
          <w:lang w:val="en-US"/>
        </w:rPr>
        <w:t xml:space="preserve"> agents, vitamins, homeopathic/herbal remedies, nutritional supplements, must be recorded in the eCRF during the screening and treatment period, starting from the date of signature of informed consent to trial participation (SV2), and ending at the EOT visit. After the EOT visit, only concomitant therapy </w:t>
      </w:r>
      <w:r w:rsidRPr="66393FDB" w:rsidR="183285AF">
        <w:rPr>
          <w:rFonts w:ascii="Calibri" w:hAnsi="Calibri" w:eastAsia="Calibri" w:cs="Calibri"/>
          <w:noProof w:val="0"/>
          <w:sz w:val="24"/>
          <w:szCs w:val="24"/>
          <w:lang w:val="en-US"/>
        </w:rPr>
        <w:t>indicated</w:t>
      </w:r>
      <w:r w:rsidRPr="66393FDB" w:rsidR="183285AF">
        <w:rPr>
          <w:rFonts w:ascii="Calibri" w:hAnsi="Calibri" w:eastAsia="Calibri" w:cs="Calibri"/>
          <w:noProof w:val="0"/>
          <w:sz w:val="24"/>
          <w:szCs w:val="24"/>
          <w:lang w:val="en-US"/>
        </w:rPr>
        <w:t xml:space="preserve"> for treatment of an AE </w:t>
      </w:r>
      <w:r w:rsidRPr="66393FDB" w:rsidR="183285AF">
        <w:rPr>
          <w:rFonts w:ascii="Calibri" w:hAnsi="Calibri" w:eastAsia="Calibri" w:cs="Calibri"/>
          <w:noProof w:val="0"/>
          <w:sz w:val="24"/>
          <w:szCs w:val="24"/>
          <w:lang w:val="en-US"/>
        </w:rPr>
        <w:t>has to</w:t>
      </w:r>
      <w:r w:rsidRPr="66393FDB" w:rsidR="183285AF">
        <w:rPr>
          <w:rFonts w:ascii="Calibri" w:hAnsi="Calibri" w:eastAsia="Calibri" w:cs="Calibri"/>
          <w:noProof w:val="0"/>
          <w:sz w:val="24"/>
          <w:szCs w:val="24"/>
          <w:lang w:val="en-US"/>
        </w:rPr>
        <w:t xml:space="preserve"> be reported. In case of major surgery (as judged by the investigator), it is recommended to stop treatment with afatinib around one week prior to the surgery, and to restart treatment after complete wound healing. If afatinib is interrupted for more than </w:t>
      </w:r>
      <w:r w:rsidRPr="66393FDB" w:rsidR="183285AF">
        <w:rPr>
          <w:rFonts w:ascii="Calibri" w:hAnsi="Calibri" w:eastAsia="Calibri" w:cs="Calibri"/>
          <w:noProof w:val="0"/>
          <w:sz w:val="24"/>
          <w:szCs w:val="24"/>
          <w:lang w:val="en-US"/>
        </w:rPr>
        <w:t>14 days</w:t>
      </w:r>
      <w:r w:rsidRPr="66393FDB" w:rsidR="183285AF">
        <w:rPr>
          <w:rFonts w:ascii="Calibri" w:hAnsi="Calibri" w:eastAsia="Calibri" w:cs="Calibri"/>
          <w:noProof w:val="0"/>
          <w:sz w:val="24"/>
          <w:szCs w:val="24"/>
          <w:lang w:val="en-US"/>
        </w:rPr>
        <w:t>, the decision to continue will be made by the BI Clinical Monitor in agreement with the investigator. Emergency procedures Careful assessment of all patients with an acute onset and/or unexplained worsening of pulmonary symptoms (</w:t>
      </w:r>
      <w:r w:rsidRPr="66393FDB" w:rsidR="183285AF">
        <w:rPr>
          <w:rFonts w:ascii="Calibri" w:hAnsi="Calibri" w:eastAsia="Calibri" w:cs="Calibri"/>
          <w:noProof w:val="0"/>
          <w:sz w:val="24"/>
          <w:szCs w:val="24"/>
          <w:lang w:val="en-US"/>
        </w:rPr>
        <w:t>dyspnoea</w:t>
      </w:r>
      <w:r w:rsidRPr="66393FDB" w:rsidR="183285AF">
        <w:rPr>
          <w:rFonts w:ascii="Calibri" w:hAnsi="Calibri" w:eastAsia="Calibri" w:cs="Calibri"/>
          <w:noProof w:val="0"/>
          <w:sz w:val="24"/>
          <w:szCs w:val="24"/>
          <w:lang w:val="en-US"/>
        </w:rPr>
        <w:t xml:space="preserve">, cough, fever) should be performed to exclude interstitial lung disease (ILD). Afatinib should be interrupted pending investigation of these symptoms. If interstitial lung disease is diagnosed, study drug must be permanently </w:t>
      </w:r>
      <w:r w:rsidRPr="66393FDB" w:rsidR="183285AF">
        <w:rPr>
          <w:rFonts w:ascii="Calibri" w:hAnsi="Calibri" w:eastAsia="Calibri" w:cs="Calibri"/>
          <w:noProof w:val="0"/>
          <w:sz w:val="24"/>
          <w:szCs w:val="24"/>
          <w:lang w:val="en-US"/>
        </w:rPr>
        <w:t>discontinued</w:t>
      </w:r>
      <w:r w:rsidRPr="66393FDB" w:rsidR="183285AF">
        <w:rPr>
          <w:rFonts w:ascii="Calibri" w:hAnsi="Calibri" w:eastAsia="Calibri" w:cs="Calibri"/>
          <w:noProof w:val="0"/>
          <w:sz w:val="24"/>
          <w:szCs w:val="24"/>
          <w:lang w:val="en-US"/>
        </w:rPr>
        <w:t xml:space="preserve"> and </w:t>
      </w:r>
      <w:r w:rsidRPr="66393FDB" w:rsidR="183285AF">
        <w:rPr>
          <w:rFonts w:ascii="Calibri" w:hAnsi="Calibri" w:eastAsia="Calibri" w:cs="Calibri"/>
          <w:noProof w:val="0"/>
          <w:sz w:val="24"/>
          <w:szCs w:val="24"/>
          <w:lang w:val="en-US"/>
        </w:rPr>
        <w:t>appropriate treatment</w:t>
      </w:r>
      <w:r w:rsidRPr="66393FDB" w:rsidR="183285AF">
        <w:rPr>
          <w:rFonts w:ascii="Calibri" w:hAnsi="Calibri" w:eastAsia="Calibri" w:cs="Calibri"/>
          <w:noProof w:val="0"/>
          <w:sz w:val="24"/>
          <w:szCs w:val="24"/>
          <w:lang w:val="en-US"/>
        </w:rPr>
        <w:t xml:space="preserve"> </w:t>
      </w:r>
      <w:r w:rsidRPr="66393FDB" w:rsidR="183285AF">
        <w:rPr>
          <w:rFonts w:ascii="Calibri" w:hAnsi="Calibri" w:eastAsia="Calibri" w:cs="Calibri"/>
          <w:noProof w:val="0"/>
          <w:sz w:val="24"/>
          <w:szCs w:val="24"/>
          <w:lang w:val="en-US"/>
        </w:rPr>
        <w:t>instituted</w:t>
      </w:r>
      <w:r w:rsidRPr="66393FDB" w:rsidR="183285AF">
        <w:rPr>
          <w:rFonts w:ascii="Calibri" w:hAnsi="Calibri" w:eastAsia="Calibri" w:cs="Calibri"/>
          <w:noProof w:val="0"/>
          <w:sz w:val="24"/>
          <w:szCs w:val="24"/>
          <w:lang w:val="en-US"/>
        </w:rPr>
        <w:t xml:space="preserve"> as necessary. Patients who </w:t>
      </w:r>
      <w:r w:rsidRPr="66393FDB" w:rsidR="183285AF">
        <w:rPr>
          <w:rFonts w:ascii="Calibri" w:hAnsi="Calibri" w:eastAsia="Calibri" w:cs="Calibri"/>
          <w:noProof w:val="0"/>
          <w:sz w:val="24"/>
          <w:szCs w:val="24"/>
          <w:lang w:val="en-US"/>
        </w:rPr>
        <w:t>present with</w:t>
      </w:r>
      <w:r w:rsidRPr="66393FDB" w:rsidR="183285AF">
        <w:rPr>
          <w:rFonts w:ascii="Calibri" w:hAnsi="Calibri" w:eastAsia="Calibri" w:cs="Calibri"/>
          <w:noProof w:val="0"/>
          <w:sz w:val="24"/>
          <w:szCs w:val="24"/>
          <w:lang w:val="en-US"/>
        </w:rPr>
        <w:t xml:space="preserve"> symptoms of keratitis, such as acute or worsening eye inflammation, lacrimation, light sensitivity, blurred vision, eye </w:t>
      </w:r>
      <w:r w:rsidRPr="66393FDB" w:rsidR="183285AF">
        <w:rPr>
          <w:rFonts w:ascii="Calibri" w:hAnsi="Calibri" w:eastAsia="Calibri" w:cs="Calibri"/>
          <w:noProof w:val="0"/>
          <w:sz w:val="24"/>
          <w:szCs w:val="24"/>
          <w:lang w:val="en-US"/>
        </w:rPr>
        <w:t>pain</w:t>
      </w:r>
      <w:r w:rsidRPr="66393FDB" w:rsidR="183285AF">
        <w:rPr>
          <w:rFonts w:ascii="Calibri" w:hAnsi="Calibri" w:eastAsia="Calibri" w:cs="Calibri"/>
          <w:noProof w:val="0"/>
          <w:sz w:val="24"/>
          <w:szCs w:val="24"/>
          <w:lang w:val="en-US"/>
        </w:rPr>
        <w:t xml:space="preserve"> and/or red eye should be referred promptly to an ophthalmic specialist. If a diagnosis of ulcerative keratitis is confirmed, treatment with afatinib should be interrupted or </w:t>
      </w:r>
      <w:r w:rsidRPr="66393FDB" w:rsidR="183285AF">
        <w:rPr>
          <w:rFonts w:ascii="Calibri" w:hAnsi="Calibri" w:eastAsia="Calibri" w:cs="Calibri"/>
          <w:noProof w:val="0"/>
          <w:sz w:val="24"/>
          <w:szCs w:val="24"/>
          <w:lang w:val="en-US"/>
        </w:rPr>
        <w:t>discontinued</w:t>
      </w:r>
      <w:r w:rsidRPr="66393FDB" w:rsidR="183285AF">
        <w:rPr>
          <w:rFonts w:ascii="Calibri" w:hAnsi="Calibri" w:eastAsia="Calibri" w:cs="Calibri"/>
          <w:noProof w:val="0"/>
          <w:sz w:val="24"/>
          <w:szCs w:val="24"/>
          <w:lang w:val="en-US"/>
        </w:rPr>
        <w:t xml:space="preserve">. If keratitis is diagnosed, the benefits and risks of continuing treatment with afatinib should be carefully considered. Afatinib should be used with caution in patients with a history of keratitis, ulcerative </w:t>
      </w:r>
      <w:r w:rsidRPr="66393FDB" w:rsidR="183285AF">
        <w:rPr>
          <w:rFonts w:ascii="Calibri" w:hAnsi="Calibri" w:eastAsia="Calibri" w:cs="Calibri"/>
          <w:noProof w:val="0"/>
          <w:sz w:val="24"/>
          <w:szCs w:val="24"/>
          <w:lang w:val="en-US"/>
        </w:rPr>
        <w:t>keratitis</w:t>
      </w:r>
      <w:r w:rsidRPr="66393FDB" w:rsidR="183285AF">
        <w:rPr>
          <w:rFonts w:ascii="Calibri" w:hAnsi="Calibri" w:eastAsia="Calibri" w:cs="Calibri"/>
          <w:noProof w:val="0"/>
          <w:sz w:val="24"/>
          <w:szCs w:val="24"/>
          <w:lang w:val="en-US"/>
        </w:rPr>
        <w:t xml:space="preserve"> or severe dry eye. Contact lens use is a risk factor for keratitis and ulceration. Dermatologic adverse events and </w:t>
      </w:r>
      <w:r w:rsidRPr="66393FDB" w:rsidR="183285AF">
        <w:rPr>
          <w:rFonts w:ascii="Calibri" w:hAnsi="Calibri" w:eastAsia="Calibri" w:cs="Calibri"/>
          <w:noProof w:val="0"/>
          <w:sz w:val="24"/>
          <w:szCs w:val="24"/>
          <w:lang w:val="en-US"/>
        </w:rPr>
        <w:t>diarrhoea</w:t>
      </w:r>
      <w:r w:rsidRPr="66393FDB" w:rsidR="183285AF">
        <w:rPr>
          <w:rFonts w:ascii="Calibri" w:hAnsi="Calibri" w:eastAsia="Calibri" w:cs="Calibri"/>
          <w:noProof w:val="0"/>
          <w:sz w:val="24"/>
          <w:szCs w:val="24"/>
          <w:lang w:val="en-US"/>
        </w:rPr>
        <w:t xml:space="preserve"> are the most common side-effects associated with treatment with afatinib. Treatment of these side-effects should be proactive and should be started as early as possible after onset of symptoms</w:t>
      </w:r>
      <w:r w:rsidRPr="66393FDB" w:rsidR="59764A69">
        <w:rPr>
          <w:rFonts w:ascii="Calibri" w:hAnsi="Calibri" w:eastAsia="Calibri" w:cs="Calibri"/>
          <w:noProof w:val="0"/>
          <w:sz w:val="24"/>
          <w:szCs w:val="24"/>
          <w:lang w:val="en-US"/>
        </w:rPr>
        <w:t xml:space="preserve"> See </w:t>
      </w:r>
      <w:r w:rsidRPr="66393FDB" w:rsidR="59764A69">
        <w:rPr>
          <w:rFonts w:ascii="Calibri" w:hAnsi="Calibri" w:eastAsia="Calibri" w:cs="Calibri"/>
          <w:noProof w:val="0"/>
          <w:sz w:val="24"/>
          <w:szCs w:val="24"/>
          <w:highlight w:val="yellow"/>
          <w:lang w:val="en-US"/>
        </w:rPr>
        <w:t>CSR</w:t>
      </w:r>
      <w:r w:rsidRPr="66393FDB" w:rsidR="59764A69">
        <w:rPr>
          <w:rFonts w:ascii="Calibri" w:hAnsi="Calibri" w:eastAsia="Calibri" w:cs="Calibri"/>
          <w:noProof w:val="0"/>
          <w:sz w:val="24"/>
          <w:szCs w:val="24"/>
          <w:lang w:val="en-US"/>
        </w:rPr>
        <w:t>.</w:t>
      </w:r>
    </w:p>
    <w:p w:rsidR="66393FDB" w:rsidP="66393FDB" w:rsidRDefault="66393FDB" w14:paraId="14B72783" w14:textId="05DEA28C">
      <w:pPr>
        <w:pStyle w:val="Normal"/>
        <w:rPr>
          <w:rFonts w:ascii="Calibri" w:hAnsi="Calibri" w:eastAsia="Calibri" w:cs="Calibri"/>
          <w:noProof w:val="0"/>
          <w:sz w:val="24"/>
          <w:szCs w:val="24"/>
          <w:lang w:val="en-US"/>
        </w:rPr>
      </w:pPr>
    </w:p>
    <w:p w:rsidR="66393FDB" w:rsidP="66393FDB" w:rsidRDefault="66393FDB" w14:paraId="444E8969" w14:textId="3EA09731">
      <w:pPr>
        <w:pStyle w:val="Normal"/>
        <w:rPr>
          <w:rFonts w:ascii="Calibri" w:hAnsi="Calibri" w:eastAsia="Calibri" w:cs="Calibri"/>
          <w:noProof w:val="0"/>
          <w:sz w:val="24"/>
          <w:szCs w:val="24"/>
          <w:lang w:val="en-US"/>
        </w:rPr>
      </w:pPr>
    </w:p>
    <w:p w:rsidR="66393FDB" w:rsidP="66393FDB" w:rsidRDefault="66393FDB" w14:paraId="21F59C29" w14:textId="2B076DCA">
      <w:pPr>
        <w:pStyle w:val="Normal"/>
        <w:rPr>
          <w:rFonts w:ascii="Calibri" w:hAnsi="Calibri" w:eastAsia="Calibri" w:cs="Calibri"/>
          <w:noProof w:val="0"/>
          <w:sz w:val="24"/>
          <w:szCs w:val="24"/>
          <w:lang w:val="en-US"/>
        </w:rPr>
      </w:pPr>
    </w:p>
    <w:p w:rsidR="66393FDB" w:rsidP="66393FDB" w:rsidRDefault="66393FDB" w14:paraId="26C93E3D" w14:textId="5EFFCC65">
      <w:pPr>
        <w:pStyle w:val="Normal"/>
        <w:rPr>
          <w:rFonts w:ascii="Calibri" w:hAnsi="Calibri" w:eastAsia="Calibri" w:cs="Calibri"/>
          <w:noProof w:val="0"/>
          <w:sz w:val="24"/>
          <w:szCs w:val="24"/>
          <w:lang w:val="en-US"/>
        </w:rPr>
      </w:pPr>
    </w:p>
    <w:p w:rsidR="66393FDB" w:rsidP="66393FDB" w:rsidRDefault="66393FDB" w14:paraId="365CC372" w14:textId="60DF10EE">
      <w:pPr>
        <w:pStyle w:val="Normal"/>
        <w:rPr>
          <w:rFonts w:ascii="Calibri" w:hAnsi="Calibri" w:eastAsia="Calibri" w:cs="Calibri"/>
          <w:noProof w:val="0"/>
          <w:sz w:val="24"/>
          <w:szCs w:val="24"/>
          <w:lang w:val="en-US"/>
        </w:rPr>
      </w:pPr>
    </w:p>
    <w:p w:rsidR="66393FDB" w:rsidP="66393FDB" w:rsidRDefault="66393FDB" w14:paraId="3B299D6C" w14:textId="1AB6278E">
      <w:pPr>
        <w:pStyle w:val="Normal"/>
        <w:rPr>
          <w:rFonts w:ascii="Calibri" w:hAnsi="Calibri" w:eastAsia="Calibri" w:cs="Calibri"/>
          <w:noProof w:val="0"/>
          <w:sz w:val="24"/>
          <w:szCs w:val="24"/>
          <w:lang w:val="en-US"/>
        </w:rPr>
      </w:pPr>
    </w:p>
    <w:p w:rsidR="66393FDB" w:rsidP="66393FDB" w:rsidRDefault="66393FDB" w14:paraId="5DCC87D0" w14:textId="4FE6784D">
      <w:pPr>
        <w:pStyle w:val="Normal"/>
        <w:rPr>
          <w:rFonts w:ascii="Calibri" w:hAnsi="Calibri" w:eastAsia="Calibri" w:cs="Calibri"/>
          <w:noProof w:val="0"/>
          <w:sz w:val="24"/>
          <w:szCs w:val="24"/>
          <w:lang w:val="en-US"/>
        </w:rPr>
      </w:pPr>
    </w:p>
    <w:p w:rsidR="66393FDB" w:rsidP="66393FDB" w:rsidRDefault="66393FDB" w14:paraId="37B3342C" w14:textId="1846D1AC">
      <w:pPr>
        <w:pStyle w:val="Normal"/>
        <w:rPr>
          <w:rFonts w:ascii="Calibri" w:hAnsi="Calibri" w:eastAsia="Calibri" w:cs="Calibri"/>
          <w:noProof w:val="0"/>
          <w:sz w:val="24"/>
          <w:szCs w:val="24"/>
          <w:lang w:val="en-US"/>
        </w:rPr>
      </w:pPr>
    </w:p>
    <w:p w:rsidR="66393FDB" w:rsidP="66393FDB" w:rsidRDefault="66393FDB" w14:paraId="1AF20C50" w14:textId="6658D233">
      <w:pPr>
        <w:pStyle w:val="Normal"/>
        <w:rPr>
          <w:rFonts w:ascii="Calibri" w:hAnsi="Calibri" w:eastAsia="Calibri" w:cs="Calibri"/>
          <w:noProof w:val="0"/>
          <w:sz w:val="24"/>
          <w:szCs w:val="24"/>
          <w:lang w:val="en-US"/>
        </w:rPr>
      </w:pPr>
    </w:p>
    <w:p w:rsidR="66393FDB" w:rsidP="66393FDB" w:rsidRDefault="66393FDB" w14:paraId="3E5F37F8" w14:textId="6AE94330">
      <w:pPr>
        <w:pStyle w:val="Normal"/>
        <w:rPr>
          <w:rFonts w:ascii="Calibri" w:hAnsi="Calibri" w:eastAsia="Calibri" w:cs="Calibri"/>
          <w:noProof w:val="0"/>
          <w:sz w:val="24"/>
          <w:szCs w:val="24"/>
          <w:lang w:val="en-US"/>
        </w:rPr>
      </w:pPr>
    </w:p>
    <w:p w:rsidR="66393FDB" w:rsidP="66393FDB" w:rsidRDefault="66393FDB" w14:paraId="4B344CBF" w14:textId="451857F0">
      <w:pPr>
        <w:pStyle w:val="Normal"/>
        <w:rPr>
          <w:rFonts w:ascii="Calibri" w:hAnsi="Calibri" w:eastAsia="Calibri" w:cs="Calibri"/>
          <w:noProof w:val="0"/>
          <w:sz w:val="24"/>
          <w:szCs w:val="24"/>
          <w:lang w:val="en-US"/>
        </w:rPr>
      </w:pPr>
    </w:p>
    <w:p w:rsidR="66393FDB" w:rsidP="66393FDB" w:rsidRDefault="66393FDB" w14:paraId="738A1657" w14:textId="69059839">
      <w:pPr>
        <w:pStyle w:val="Normal"/>
        <w:rPr>
          <w:rFonts w:ascii="Calibri" w:hAnsi="Calibri" w:eastAsia="Calibri" w:cs="Calibri"/>
          <w:noProof w:val="0"/>
          <w:sz w:val="24"/>
          <w:szCs w:val="24"/>
          <w:lang w:val="en-US"/>
        </w:rPr>
      </w:pPr>
    </w:p>
    <w:p w:rsidR="66393FDB" w:rsidP="66393FDB" w:rsidRDefault="66393FDB" w14:paraId="74CC4CAB" w14:textId="2D785F36">
      <w:pPr>
        <w:pStyle w:val="Normal"/>
        <w:rPr>
          <w:rFonts w:ascii="Calibri" w:hAnsi="Calibri" w:eastAsia="Calibri" w:cs="Calibri"/>
          <w:noProof w:val="0"/>
          <w:sz w:val="24"/>
          <w:szCs w:val="24"/>
          <w:lang w:val="en-US"/>
        </w:rPr>
      </w:pPr>
    </w:p>
    <w:p w:rsidR="66393FDB" w:rsidP="66393FDB" w:rsidRDefault="66393FDB" w14:paraId="2EA0A658" w14:textId="02922911">
      <w:pPr>
        <w:pStyle w:val="Normal"/>
        <w:rPr>
          <w:rFonts w:ascii="Calibri" w:hAnsi="Calibri" w:eastAsia="Calibri" w:cs="Calibri"/>
          <w:noProof w:val="0"/>
          <w:sz w:val="24"/>
          <w:szCs w:val="24"/>
          <w:lang w:val="en-US"/>
        </w:rPr>
      </w:pPr>
    </w:p>
    <w:p w:rsidR="66393FDB" w:rsidP="66393FDB" w:rsidRDefault="66393FDB" w14:paraId="5FE8A6FD" w14:textId="2D5CC2EC">
      <w:pPr>
        <w:pStyle w:val="Normal"/>
        <w:rPr>
          <w:rFonts w:ascii="Calibri" w:hAnsi="Calibri" w:eastAsia="Calibri" w:cs="Calibri"/>
          <w:noProof w:val="0"/>
          <w:sz w:val="24"/>
          <w:szCs w:val="24"/>
          <w:lang w:val="en-US"/>
        </w:rPr>
      </w:pPr>
    </w:p>
    <w:p w:rsidR="66393FDB" w:rsidP="66393FDB" w:rsidRDefault="66393FDB" w14:paraId="3D47600F" w14:textId="1136F847">
      <w:pPr>
        <w:pStyle w:val="Normal"/>
        <w:rPr>
          <w:rFonts w:ascii="Calibri" w:hAnsi="Calibri" w:eastAsia="Calibri" w:cs="Calibri"/>
          <w:noProof w:val="0"/>
          <w:sz w:val="24"/>
          <w:szCs w:val="24"/>
          <w:lang w:val="en-US"/>
        </w:rPr>
      </w:pPr>
    </w:p>
    <w:p w:rsidR="66393FDB" w:rsidP="66393FDB" w:rsidRDefault="66393FDB" w14:paraId="58338F96" w14:textId="6E5019E8">
      <w:pPr>
        <w:pStyle w:val="Normal"/>
        <w:rPr>
          <w:rFonts w:ascii="Calibri" w:hAnsi="Calibri" w:eastAsia="Calibri" w:cs="Calibri"/>
          <w:noProof w:val="0"/>
          <w:sz w:val="24"/>
          <w:szCs w:val="24"/>
          <w:lang w:val="en-US"/>
        </w:rPr>
      </w:pPr>
    </w:p>
    <w:p w:rsidR="66393FDB" w:rsidP="66393FDB" w:rsidRDefault="66393FDB" w14:paraId="0FE60D40" w14:textId="2AA474C5">
      <w:pPr>
        <w:pStyle w:val="Normal"/>
        <w:rPr>
          <w:rFonts w:ascii="Calibri" w:hAnsi="Calibri" w:eastAsia="Calibri" w:cs="Calibri"/>
          <w:noProof w:val="0"/>
          <w:sz w:val="24"/>
          <w:szCs w:val="24"/>
          <w:lang w:val="en-US"/>
        </w:rPr>
      </w:pPr>
    </w:p>
    <w:p w:rsidR="66393FDB" w:rsidP="66393FDB" w:rsidRDefault="66393FDB" w14:paraId="7E802C64" w14:textId="33193226">
      <w:pPr>
        <w:pStyle w:val="Normal"/>
        <w:rPr>
          <w:rFonts w:ascii="Calibri" w:hAnsi="Calibri" w:eastAsia="Calibri" w:cs="Calibri"/>
          <w:noProof w:val="0"/>
          <w:sz w:val="24"/>
          <w:szCs w:val="24"/>
          <w:lang w:val="en-US"/>
        </w:rPr>
      </w:pPr>
    </w:p>
    <w:p w:rsidR="66393FDB" w:rsidP="66393FDB" w:rsidRDefault="66393FDB" w14:paraId="51A7259B" w14:textId="28E48719">
      <w:pPr>
        <w:pStyle w:val="Normal"/>
        <w:rPr>
          <w:rFonts w:ascii="Calibri" w:hAnsi="Calibri" w:eastAsia="Calibri" w:cs="Calibri"/>
          <w:noProof w:val="0"/>
          <w:sz w:val="24"/>
          <w:szCs w:val="24"/>
          <w:lang w:val="en-US"/>
        </w:rPr>
      </w:pPr>
    </w:p>
    <w:p w:rsidR="66393FDB" w:rsidP="66393FDB" w:rsidRDefault="66393FDB" w14:paraId="7EA290CC" w14:textId="65991926">
      <w:pPr>
        <w:pStyle w:val="Normal"/>
        <w:rPr>
          <w:rFonts w:ascii="Calibri" w:hAnsi="Calibri" w:eastAsia="Calibri" w:cs="Calibri"/>
          <w:noProof w:val="0"/>
          <w:sz w:val="24"/>
          <w:szCs w:val="24"/>
          <w:lang w:val="en-US"/>
        </w:rPr>
      </w:pPr>
    </w:p>
    <w:p w:rsidR="66393FDB" w:rsidP="66393FDB" w:rsidRDefault="66393FDB" w14:paraId="22A7C0AE" w14:textId="0508C689">
      <w:pPr>
        <w:pStyle w:val="Normal"/>
        <w:rPr>
          <w:rFonts w:ascii="Calibri" w:hAnsi="Calibri" w:eastAsia="Calibri" w:cs="Calibri"/>
          <w:noProof w:val="0"/>
          <w:sz w:val="24"/>
          <w:szCs w:val="24"/>
          <w:lang w:val="en-US"/>
        </w:rPr>
      </w:pPr>
    </w:p>
    <w:p w:rsidR="66393FDB" w:rsidP="66393FDB" w:rsidRDefault="66393FDB" w14:paraId="306E3AE5" w14:textId="1960589E">
      <w:pPr>
        <w:pStyle w:val="Normal"/>
        <w:rPr>
          <w:rFonts w:ascii="Calibri" w:hAnsi="Calibri" w:eastAsia="Calibri" w:cs="Calibri"/>
          <w:noProof w:val="0"/>
          <w:sz w:val="24"/>
          <w:szCs w:val="24"/>
          <w:lang w:val="en-US"/>
        </w:rPr>
      </w:pPr>
    </w:p>
    <w:p w:rsidR="5BA91478" w:rsidP="66393FDB" w:rsidRDefault="5BA91478" w14:paraId="2F84706D" w14:textId="1017AA77">
      <w:pPr>
        <w:pStyle w:val="Heading1"/>
        <w:rPr>
          <w:rFonts w:ascii="Calibri" w:hAnsi="Calibri" w:eastAsia="Calibri" w:cs="Calibri" w:asciiTheme="minorAscii" w:hAnsiTheme="minorAscii" w:eastAsiaTheme="minorAscii" w:cstheme="minorAscii"/>
          <w:b w:val="1"/>
          <w:bCs w:val="1"/>
          <w:noProof w:val="0"/>
          <w:color w:val="auto"/>
          <w:sz w:val="24"/>
          <w:szCs w:val="24"/>
          <w:lang w:val="en-US"/>
        </w:rPr>
      </w:pPr>
      <w:r w:rsidRPr="66393FDB" w:rsidR="5BA91478">
        <w:rPr>
          <w:rFonts w:ascii="Calibri" w:hAnsi="Calibri" w:eastAsia="Calibri" w:cs="Calibri" w:asciiTheme="minorAscii" w:hAnsiTheme="minorAscii" w:eastAsiaTheme="minorAscii" w:cstheme="minorAscii"/>
          <w:b w:val="1"/>
          <w:bCs w:val="1"/>
          <w:noProof w:val="0"/>
          <w:color w:val="auto"/>
          <w:sz w:val="24"/>
          <w:szCs w:val="24"/>
          <w:lang w:val="en-US"/>
        </w:rPr>
        <w:t>8. Giotrif</w:t>
      </w:r>
    </w:p>
    <w:p w:rsidR="5BA91478" w:rsidP="66393FDB" w:rsidRDefault="5BA91478" w14:paraId="68B9215E" w14:textId="4FBAF452">
      <w:pPr>
        <w:pStyle w:val="Normal"/>
      </w:pPr>
      <w:r w:rsidRPr="779F9BF5" w:rsidR="3BAC54F5">
        <w:rPr>
          <w:rFonts w:ascii="Calibri" w:hAnsi="Calibri" w:eastAsia="Calibri" w:cs="Calibri"/>
          <w:noProof w:val="0"/>
          <w:sz w:val="24"/>
          <w:szCs w:val="24"/>
          <w:lang w:val="en-US"/>
        </w:rPr>
        <w:t>More recent evidence of the benefits of afatinib (</w:t>
      </w:r>
      <w:r w:rsidRPr="779F9BF5" w:rsidR="3BAC54F5">
        <w:rPr>
          <w:rFonts w:ascii="Calibri" w:hAnsi="Calibri" w:eastAsia="Calibri" w:cs="Calibri"/>
          <w:noProof w:val="0"/>
          <w:sz w:val="24"/>
          <w:szCs w:val="24"/>
          <w:lang w:val="en-US"/>
        </w:rPr>
        <w:t>Giotrif</w:t>
      </w:r>
      <w:r w:rsidRPr="779F9BF5" w:rsidR="3BAC54F5">
        <w:rPr>
          <w:rFonts w:ascii="Calibri" w:hAnsi="Calibri" w:eastAsia="Calibri" w:cs="Calibri"/>
          <w:noProof w:val="0"/>
          <w:sz w:val="24"/>
          <w:szCs w:val="24"/>
          <w:lang w:val="en-US"/>
        </w:rPr>
        <w:t xml:space="preserve">®) versus chemotherapy in EGFR TKI-naïve </w:t>
      </w:r>
      <w:r w:rsidRPr="779F9BF5" w:rsidR="3BAC54F5">
        <w:rPr>
          <w:rFonts w:ascii="Calibri" w:hAnsi="Calibri" w:eastAsia="Calibri" w:cs="Calibri"/>
          <w:noProof w:val="0"/>
          <w:sz w:val="24"/>
          <w:szCs w:val="24"/>
          <w:lang w:val="en-US"/>
        </w:rPr>
        <w:t>asian</w:t>
      </w:r>
      <w:r w:rsidRPr="779F9BF5" w:rsidR="3BAC54F5">
        <w:rPr>
          <w:rFonts w:ascii="Calibri" w:hAnsi="Calibri" w:eastAsia="Calibri" w:cs="Calibri"/>
          <w:noProof w:val="0"/>
          <w:sz w:val="24"/>
          <w:szCs w:val="24"/>
          <w:lang w:val="en-US"/>
        </w:rPr>
        <w:t xml:space="preserve"> patients with NSCLC was obtained in trial 1200.34, an open-label, randomized, Phase III trial of afatinib (</w:t>
      </w:r>
      <w:r w:rsidRPr="779F9BF5" w:rsidR="3BAC54F5">
        <w:rPr>
          <w:rFonts w:ascii="Calibri" w:hAnsi="Calibri" w:eastAsia="Calibri" w:cs="Calibri"/>
          <w:noProof w:val="0"/>
          <w:sz w:val="24"/>
          <w:szCs w:val="24"/>
          <w:lang w:val="en-US"/>
        </w:rPr>
        <w:t>Giotrif</w:t>
      </w:r>
      <w:r w:rsidRPr="779F9BF5" w:rsidR="3BAC54F5">
        <w:rPr>
          <w:rFonts w:ascii="Calibri" w:hAnsi="Calibri" w:eastAsia="Calibri" w:cs="Calibri"/>
          <w:noProof w:val="0"/>
          <w:sz w:val="24"/>
          <w:szCs w:val="24"/>
          <w:lang w:val="en-US"/>
        </w:rPr>
        <w:t>®) versus chemotherapy as first-line treatment for patients with Stage IIIB or IV adenocarcinoma of the lung harboring an EGFR activating mutation who had received no prior chemotherapy or EGFR-targeting drugs for advanced NSCLC</w:t>
      </w:r>
      <w:r w:rsidRPr="779F9BF5" w:rsidR="4CB1E99F">
        <w:rPr>
          <w:rFonts w:ascii="Calibri" w:hAnsi="Calibri" w:eastAsia="Calibri" w:cs="Calibri"/>
          <w:noProof w:val="0"/>
          <w:sz w:val="24"/>
          <w:szCs w:val="24"/>
          <w:lang w:val="en-US"/>
        </w:rPr>
        <w:t xml:space="preserve"> see </w:t>
      </w:r>
      <w:r w:rsidRPr="779F9BF5" w:rsidR="3BAC54F5">
        <w:rPr>
          <w:rFonts w:ascii="Calibri" w:hAnsi="Calibri" w:eastAsia="Calibri" w:cs="Calibri"/>
          <w:noProof w:val="0"/>
          <w:sz w:val="24"/>
          <w:szCs w:val="24"/>
          <w:lang w:val="en-US"/>
        </w:rPr>
        <w:t xml:space="preserve">. The primary </w:t>
      </w:r>
      <w:r w:rsidRPr="779F9BF5" w:rsidR="3BAC54F5">
        <w:rPr>
          <w:rFonts w:ascii="Calibri" w:hAnsi="Calibri" w:eastAsia="Calibri" w:cs="Calibri"/>
          <w:noProof w:val="0"/>
          <w:sz w:val="24"/>
          <w:szCs w:val="24"/>
          <w:lang w:val="en-US"/>
        </w:rPr>
        <w:t>objective</w:t>
      </w:r>
      <w:r w:rsidRPr="779F9BF5" w:rsidR="3BAC54F5">
        <w:rPr>
          <w:rFonts w:ascii="Calibri" w:hAnsi="Calibri" w:eastAsia="Calibri" w:cs="Calibri"/>
          <w:noProof w:val="0"/>
          <w:sz w:val="24"/>
          <w:szCs w:val="24"/>
          <w:lang w:val="en-US"/>
        </w:rPr>
        <w:t xml:space="preserve"> of the study was to assess the efficacy of afatinib (</w:t>
      </w:r>
      <w:r w:rsidRPr="779F9BF5" w:rsidR="3BAC54F5">
        <w:rPr>
          <w:rFonts w:ascii="Calibri" w:hAnsi="Calibri" w:eastAsia="Calibri" w:cs="Calibri"/>
          <w:noProof w:val="0"/>
          <w:sz w:val="24"/>
          <w:szCs w:val="24"/>
          <w:lang w:val="en-US"/>
        </w:rPr>
        <w:t>Giotrif</w:t>
      </w:r>
      <w:r w:rsidRPr="779F9BF5" w:rsidR="3BAC54F5">
        <w:rPr>
          <w:rFonts w:ascii="Calibri" w:hAnsi="Calibri" w:eastAsia="Calibri" w:cs="Calibri"/>
          <w:noProof w:val="0"/>
          <w:sz w:val="24"/>
          <w:szCs w:val="24"/>
          <w:lang w:val="en-US"/>
        </w:rPr>
        <w:t xml:space="preserve">®) as defined by progression-free survival (PFS) by central independent review and </w:t>
      </w:r>
      <w:r w:rsidRPr="779F9BF5" w:rsidR="3BAC54F5">
        <w:rPr>
          <w:rFonts w:ascii="Calibri" w:hAnsi="Calibri" w:eastAsia="Calibri" w:cs="Calibri"/>
          <w:noProof w:val="0"/>
          <w:sz w:val="24"/>
          <w:szCs w:val="24"/>
          <w:lang w:val="en-US"/>
        </w:rPr>
        <w:t>determined</w:t>
      </w:r>
      <w:r w:rsidRPr="779F9BF5" w:rsidR="3BAC54F5">
        <w:rPr>
          <w:rFonts w:ascii="Calibri" w:hAnsi="Calibri" w:eastAsia="Calibri" w:cs="Calibri"/>
          <w:noProof w:val="0"/>
          <w:sz w:val="24"/>
          <w:szCs w:val="24"/>
          <w:lang w:val="en-US"/>
        </w:rPr>
        <w:t xml:space="preserve"> by Response Evaluation Criteria in Solid Tumors (RECIST). Secondary endpoints </w:t>
      </w:r>
      <w:r w:rsidRPr="779F9BF5" w:rsidR="3BAC54F5">
        <w:rPr>
          <w:rFonts w:ascii="Calibri" w:hAnsi="Calibri" w:eastAsia="Calibri" w:cs="Calibri"/>
          <w:noProof w:val="0"/>
          <w:sz w:val="24"/>
          <w:szCs w:val="24"/>
          <w:lang w:val="en-US"/>
        </w:rPr>
        <w:t>included</w:t>
      </w:r>
      <w:r w:rsidRPr="779F9BF5" w:rsidR="3BAC54F5">
        <w:rPr>
          <w:rFonts w:ascii="Calibri" w:hAnsi="Calibri" w:eastAsia="Calibri" w:cs="Calibri"/>
          <w:noProof w:val="0"/>
          <w:sz w:val="24"/>
          <w:szCs w:val="24"/>
          <w:lang w:val="en-US"/>
        </w:rPr>
        <w:t xml:space="preserve"> ORR, disease control rate (DCR), duration of response, tumor shrinkage, </w:t>
      </w:r>
      <w:r w:rsidRPr="779F9BF5" w:rsidR="3BAC54F5">
        <w:rPr>
          <w:rFonts w:ascii="Calibri" w:hAnsi="Calibri" w:eastAsia="Calibri" w:cs="Calibri"/>
          <w:noProof w:val="0"/>
          <w:sz w:val="24"/>
          <w:szCs w:val="24"/>
          <w:lang w:val="en-US"/>
        </w:rPr>
        <w:t>overal</w:t>
      </w:r>
      <w:r w:rsidRPr="779F9BF5" w:rsidR="3BAC54F5">
        <w:rPr>
          <w:rFonts w:ascii="Calibri" w:hAnsi="Calibri" w:eastAsia="Calibri" w:cs="Calibri"/>
          <w:noProof w:val="0"/>
          <w:sz w:val="24"/>
          <w:szCs w:val="24"/>
          <w:lang w:val="en-US"/>
        </w:rPr>
        <w:t xml:space="preserve"> survival (OS), patient-reported outcomes (PRO), and safety and </w:t>
      </w:r>
      <w:r w:rsidRPr="779F9BF5" w:rsidR="3BAC54F5">
        <w:rPr>
          <w:rFonts w:ascii="Calibri" w:hAnsi="Calibri" w:eastAsia="Calibri" w:cs="Calibri"/>
          <w:noProof w:val="0"/>
          <w:sz w:val="24"/>
          <w:szCs w:val="24"/>
          <w:lang w:val="en-US"/>
        </w:rPr>
        <w:t>pharmicokinetics</w:t>
      </w:r>
      <w:r w:rsidRPr="779F9BF5" w:rsidR="3BAC54F5">
        <w:rPr>
          <w:rFonts w:ascii="Calibri" w:hAnsi="Calibri" w:eastAsia="Calibri" w:cs="Calibri"/>
          <w:noProof w:val="0"/>
          <w:sz w:val="24"/>
          <w:szCs w:val="24"/>
          <w:lang w:val="en-US"/>
        </w:rPr>
        <w:t xml:space="preserve"> of afatinib (</w:t>
      </w:r>
      <w:r w:rsidRPr="779F9BF5" w:rsidR="3BAC54F5">
        <w:rPr>
          <w:rFonts w:ascii="Calibri" w:hAnsi="Calibri" w:eastAsia="Calibri" w:cs="Calibri"/>
          <w:noProof w:val="0"/>
          <w:sz w:val="24"/>
          <w:szCs w:val="24"/>
          <w:lang w:val="en-US"/>
        </w:rPr>
        <w:t>Giotrif</w:t>
      </w:r>
      <w:r w:rsidRPr="779F9BF5" w:rsidR="3BAC54F5">
        <w:rPr>
          <w:rFonts w:ascii="Calibri" w:hAnsi="Calibri" w:eastAsia="Calibri" w:cs="Calibri"/>
          <w:noProof w:val="0"/>
          <w:sz w:val="24"/>
          <w:szCs w:val="24"/>
          <w:lang w:val="en-US"/>
        </w:rPr>
        <w:t xml:space="preserve">®). A central test for EGFR mutations was carried out using the companion diagnostic </w:t>
      </w:r>
      <w:r w:rsidRPr="779F9BF5" w:rsidR="3BAC54F5">
        <w:rPr>
          <w:rFonts w:ascii="Calibri" w:hAnsi="Calibri" w:eastAsia="Calibri" w:cs="Calibri"/>
          <w:noProof w:val="0"/>
          <w:sz w:val="24"/>
          <w:szCs w:val="24"/>
          <w:lang w:val="en-US"/>
        </w:rPr>
        <w:t>TheraScreen</w:t>
      </w:r>
      <w:r w:rsidRPr="779F9BF5" w:rsidR="3BAC54F5">
        <w:rPr>
          <w:rFonts w:ascii="Calibri" w:hAnsi="Calibri" w:eastAsia="Calibri" w:cs="Calibri"/>
          <w:noProof w:val="0"/>
          <w:sz w:val="24"/>
          <w:szCs w:val="24"/>
          <w:lang w:val="en-US"/>
        </w:rPr>
        <w:t xml:space="preserve">® EGFR RGQ PCR kit. Three hundred and </w:t>
      </w:r>
      <w:r w:rsidRPr="779F9BF5" w:rsidR="3BAC54F5">
        <w:rPr>
          <w:rFonts w:ascii="Calibri" w:hAnsi="Calibri" w:eastAsia="Calibri" w:cs="Calibri"/>
          <w:noProof w:val="0"/>
          <w:sz w:val="24"/>
          <w:szCs w:val="24"/>
          <w:lang w:val="en-US"/>
        </w:rPr>
        <w:t>sixty four</w:t>
      </w:r>
      <w:r w:rsidRPr="779F9BF5" w:rsidR="3BAC54F5">
        <w:rPr>
          <w:rFonts w:ascii="Calibri" w:hAnsi="Calibri" w:eastAsia="Calibri" w:cs="Calibri"/>
          <w:noProof w:val="0"/>
          <w:sz w:val="24"/>
          <w:szCs w:val="24"/>
          <w:lang w:val="en-US"/>
        </w:rPr>
        <w:t xml:space="preserve"> (364) patients were </w:t>
      </w:r>
      <w:r w:rsidRPr="779F9BF5" w:rsidR="3BAC54F5">
        <w:rPr>
          <w:rFonts w:ascii="Calibri" w:hAnsi="Calibri" w:eastAsia="Calibri" w:cs="Calibri"/>
          <w:noProof w:val="0"/>
          <w:sz w:val="24"/>
          <w:szCs w:val="24"/>
          <w:lang w:val="en-US"/>
        </w:rPr>
        <w:t>randomised</w:t>
      </w:r>
      <w:r w:rsidRPr="779F9BF5" w:rsidR="3BAC54F5">
        <w:rPr>
          <w:rFonts w:ascii="Calibri" w:hAnsi="Calibri" w:eastAsia="Calibri" w:cs="Calibri"/>
          <w:noProof w:val="0"/>
          <w:sz w:val="24"/>
          <w:szCs w:val="24"/>
          <w:lang w:val="en-US"/>
        </w:rPr>
        <w:t xml:space="preserve"> in a 2:1 ratio to receive either afatinib (n=242) </w:t>
      </w:r>
      <w:r w:rsidRPr="779F9BF5" w:rsidR="3BAC54F5">
        <w:rPr>
          <w:rFonts w:ascii="Calibri" w:hAnsi="Calibri" w:eastAsia="Calibri" w:cs="Calibri"/>
          <w:noProof w:val="0"/>
          <w:sz w:val="24"/>
          <w:szCs w:val="24"/>
          <w:lang w:val="en-US"/>
        </w:rPr>
        <w:t>40 mg</w:t>
      </w:r>
      <w:r w:rsidRPr="779F9BF5" w:rsidR="3BAC54F5">
        <w:rPr>
          <w:rFonts w:ascii="Calibri" w:hAnsi="Calibri" w:eastAsia="Calibri" w:cs="Calibri"/>
          <w:noProof w:val="0"/>
          <w:sz w:val="24"/>
          <w:szCs w:val="24"/>
          <w:lang w:val="en-US"/>
        </w:rPr>
        <w:t xml:space="preserve"> daily continuous treatment in the absence of disease progression or adverse events, or Gemcitabine/Cisplatin (GC) (n=122), with Gemcitabine </w:t>
      </w:r>
      <w:r w:rsidRPr="779F9BF5" w:rsidR="3BAC54F5">
        <w:rPr>
          <w:rFonts w:ascii="Calibri" w:hAnsi="Calibri" w:eastAsia="Calibri" w:cs="Calibri"/>
          <w:noProof w:val="0"/>
          <w:sz w:val="24"/>
          <w:szCs w:val="24"/>
          <w:lang w:val="en-US"/>
        </w:rPr>
        <w:t>1000 mg</w:t>
      </w:r>
      <w:r w:rsidRPr="779F9BF5" w:rsidR="3BAC54F5">
        <w:rPr>
          <w:rFonts w:ascii="Calibri" w:hAnsi="Calibri" w:eastAsia="Calibri" w:cs="Calibri"/>
          <w:noProof w:val="0"/>
          <w:sz w:val="24"/>
          <w:szCs w:val="24"/>
          <w:lang w:val="en-US"/>
        </w:rPr>
        <w:t xml:space="preserve">/m2 on Day 1 and Day 8, with </w:t>
      </w:r>
      <w:r w:rsidRPr="779F9BF5" w:rsidR="3BAC54F5">
        <w:rPr>
          <w:rFonts w:ascii="Calibri" w:hAnsi="Calibri" w:eastAsia="Calibri" w:cs="Calibri"/>
          <w:noProof w:val="0"/>
          <w:sz w:val="24"/>
          <w:szCs w:val="24"/>
          <w:lang w:val="en-US"/>
        </w:rPr>
        <w:t>cycplatin</w:t>
      </w:r>
      <w:r w:rsidRPr="779F9BF5" w:rsidR="3BAC54F5">
        <w:rPr>
          <w:rFonts w:ascii="Calibri" w:hAnsi="Calibri" w:eastAsia="Calibri" w:cs="Calibri"/>
          <w:noProof w:val="0"/>
          <w:sz w:val="24"/>
          <w:szCs w:val="24"/>
          <w:lang w:val="en-US"/>
        </w:rPr>
        <w:t xml:space="preserve"> 75 mg/m2 every </w:t>
      </w:r>
      <w:r w:rsidRPr="779F9BF5" w:rsidR="3BAC54F5">
        <w:rPr>
          <w:rFonts w:ascii="Calibri" w:hAnsi="Calibri" w:eastAsia="Calibri" w:cs="Calibri"/>
          <w:noProof w:val="0"/>
          <w:sz w:val="24"/>
          <w:szCs w:val="24"/>
          <w:lang w:val="en-US"/>
        </w:rPr>
        <w:t>21 days</w:t>
      </w:r>
      <w:r w:rsidRPr="779F9BF5" w:rsidR="3BAC54F5">
        <w:rPr>
          <w:rFonts w:ascii="Calibri" w:hAnsi="Calibri" w:eastAsia="Calibri" w:cs="Calibri"/>
          <w:noProof w:val="0"/>
          <w:sz w:val="24"/>
          <w:szCs w:val="24"/>
          <w:lang w:val="en-US"/>
        </w:rPr>
        <w:t xml:space="preserve"> up to 6 cycles. Baseline characteristics were well balanced between arms: overall the median age was 58 years, 65% of patients were female, 77% were never-smokers and 94% had Stage IV disease. </w:t>
      </w:r>
      <w:r w:rsidRPr="779F9BF5" w:rsidR="3BAC54F5">
        <w:rPr>
          <w:rFonts w:ascii="Calibri" w:hAnsi="Calibri" w:eastAsia="Calibri" w:cs="Calibri"/>
          <w:noProof w:val="0"/>
          <w:sz w:val="24"/>
          <w:szCs w:val="24"/>
          <w:lang w:val="en-US"/>
        </w:rPr>
        <w:t>Regarding</w:t>
      </w:r>
      <w:r w:rsidRPr="779F9BF5" w:rsidR="3BAC54F5">
        <w:rPr>
          <w:rFonts w:ascii="Calibri" w:hAnsi="Calibri" w:eastAsia="Calibri" w:cs="Calibri"/>
          <w:noProof w:val="0"/>
          <w:sz w:val="24"/>
          <w:szCs w:val="24"/>
          <w:lang w:val="en-US"/>
        </w:rPr>
        <w:t xml:space="preserve"> EGFR mutation status, 51% had deletions in exon 19 (Del19), 38% had the L858R </w:t>
      </w:r>
      <w:r w:rsidRPr="779F9BF5" w:rsidR="3BAC54F5">
        <w:rPr>
          <w:rFonts w:ascii="Calibri" w:hAnsi="Calibri" w:eastAsia="Calibri" w:cs="Calibri"/>
          <w:noProof w:val="0"/>
          <w:sz w:val="24"/>
          <w:szCs w:val="24"/>
          <w:lang w:val="en-US"/>
        </w:rPr>
        <w:t>mutation</w:t>
      </w:r>
      <w:r w:rsidRPr="779F9BF5" w:rsidR="3BAC54F5">
        <w:rPr>
          <w:rFonts w:ascii="Calibri" w:hAnsi="Calibri" w:eastAsia="Calibri" w:cs="Calibri"/>
          <w:noProof w:val="0"/>
          <w:sz w:val="24"/>
          <w:szCs w:val="24"/>
          <w:lang w:val="en-US"/>
        </w:rPr>
        <w:t xml:space="preserve"> and 11% had a variety of other less common mutations. As assessed by central independent review, treatment with </w:t>
      </w:r>
      <w:r w:rsidRPr="779F9BF5" w:rsidR="3BAC54F5">
        <w:rPr>
          <w:rFonts w:ascii="Calibri" w:hAnsi="Calibri" w:eastAsia="Calibri" w:cs="Calibri"/>
          <w:noProof w:val="0"/>
          <w:sz w:val="24"/>
          <w:szCs w:val="24"/>
          <w:lang w:val="en-US"/>
        </w:rPr>
        <w:t>afatinib(</w:t>
      </w:r>
      <w:r w:rsidRPr="779F9BF5" w:rsidR="3BAC54F5">
        <w:rPr>
          <w:rFonts w:ascii="Calibri" w:hAnsi="Calibri" w:eastAsia="Calibri" w:cs="Calibri"/>
          <w:noProof w:val="0"/>
          <w:sz w:val="24"/>
          <w:szCs w:val="24"/>
          <w:lang w:val="en-US"/>
        </w:rPr>
        <w:t>Giotrif</w:t>
      </w:r>
      <w:r w:rsidRPr="779F9BF5" w:rsidR="3BAC54F5">
        <w:rPr>
          <w:rFonts w:ascii="Calibri" w:hAnsi="Calibri" w:eastAsia="Calibri" w:cs="Calibri"/>
          <w:noProof w:val="0"/>
          <w:sz w:val="24"/>
          <w:szCs w:val="24"/>
          <w:lang w:val="en-US"/>
        </w:rPr>
        <w:t>®) resulted in a significantly prolonged PFS as compared to treatment with GC (median 11.0 vs. 5.6 months, HR 0.28, p&lt;0.0001). The ORR for patients treated with afatinib (66.9%) was significantly higher than that for patients treated with GC (23%) (p&lt;0.0001). The prolonged PFS and higher ORR observed in patients treated with afatinib (</w:t>
      </w:r>
      <w:r w:rsidRPr="779F9BF5" w:rsidR="3BAC54F5">
        <w:rPr>
          <w:rFonts w:ascii="Calibri" w:hAnsi="Calibri" w:eastAsia="Calibri" w:cs="Calibri"/>
          <w:noProof w:val="0"/>
          <w:sz w:val="24"/>
          <w:szCs w:val="24"/>
          <w:lang w:val="en-US"/>
        </w:rPr>
        <w:t>Giotrif</w:t>
      </w:r>
      <w:r w:rsidRPr="779F9BF5" w:rsidR="3BAC54F5">
        <w:rPr>
          <w:rFonts w:ascii="Calibri" w:hAnsi="Calibri" w:eastAsia="Calibri" w:cs="Calibri"/>
          <w:noProof w:val="0"/>
          <w:sz w:val="24"/>
          <w:szCs w:val="24"/>
          <w:lang w:val="en-US"/>
        </w:rPr>
        <w:t xml:space="preserve">®) were accompanied by significant delays (as compared to patients treated with GC) in time to deterioration of the cancer-related symptoms of cough (HR=0.45, p=0.0001) and </w:t>
      </w:r>
      <w:r w:rsidRPr="779F9BF5" w:rsidR="3BAC54F5">
        <w:rPr>
          <w:rFonts w:ascii="Calibri" w:hAnsi="Calibri" w:eastAsia="Calibri" w:cs="Calibri"/>
          <w:noProof w:val="0"/>
          <w:sz w:val="24"/>
          <w:szCs w:val="24"/>
          <w:lang w:val="en-US"/>
        </w:rPr>
        <w:t>dyspnoea</w:t>
      </w:r>
      <w:r w:rsidRPr="779F9BF5" w:rsidR="3BAC54F5">
        <w:rPr>
          <w:rFonts w:ascii="Calibri" w:hAnsi="Calibri" w:eastAsia="Calibri" w:cs="Calibri"/>
          <w:noProof w:val="0"/>
          <w:sz w:val="24"/>
          <w:szCs w:val="24"/>
          <w:lang w:val="en-US"/>
        </w:rPr>
        <w:t xml:space="preserve"> (HR=0.54, p&lt;0.0001). The pre-specified number of events necessary </w:t>
      </w:r>
      <w:r w:rsidRPr="779F9BF5" w:rsidR="3BAC54F5">
        <w:rPr>
          <w:rFonts w:ascii="Calibri" w:hAnsi="Calibri" w:eastAsia="Calibri" w:cs="Calibri"/>
          <w:noProof w:val="0"/>
          <w:sz w:val="24"/>
          <w:szCs w:val="24"/>
          <w:lang w:val="en-US"/>
        </w:rPr>
        <w:t>to</w:t>
      </w:r>
      <w:r w:rsidRPr="779F9BF5" w:rsidR="3BAC54F5">
        <w:rPr>
          <w:rFonts w:ascii="Calibri" w:hAnsi="Calibri" w:eastAsia="Calibri" w:cs="Calibri"/>
          <w:noProof w:val="0"/>
          <w:sz w:val="24"/>
          <w:szCs w:val="24"/>
          <w:lang w:val="en-US"/>
        </w:rPr>
        <w:t xml:space="preserve"> Overall Survival (OS) has not yet been reached. The incidence of patients with AEs leading to dose reduction was 32.2% in the afatinib (</w:t>
      </w:r>
      <w:r w:rsidRPr="779F9BF5" w:rsidR="3BAC54F5">
        <w:rPr>
          <w:rFonts w:ascii="Calibri" w:hAnsi="Calibri" w:eastAsia="Calibri" w:cs="Calibri"/>
          <w:noProof w:val="0"/>
          <w:sz w:val="24"/>
          <w:szCs w:val="24"/>
          <w:lang w:val="en-US"/>
        </w:rPr>
        <w:t>Giotrif</w:t>
      </w:r>
      <w:r w:rsidRPr="779F9BF5" w:rsidR="3BAC54F5">
        <w:rPr>
          <w:rFonts w:ascii="Calibri" w:hAnsi="Calibri" w:eastAsia="Calibri" w:cs="Calibri"/>
          <w:noProof w:val="0"/>
          <w:sz w:val="24"/>
          <w:szCs w:val="24"/>
          <w:lang w:val="en-US"/>
        </w:rPr>
        <w:t>®) arm and 26.5% in the chemotherapy arm. In the afatinib (</w:t>
      </w:r>
      <w:r w:rsidRPr="779F9BF5" w:rsidR="3BAC54F5">
        <w:rPr>
          <w:rFonts w:ascii="Calibri" w:hAnsi="Calibri" w:eastAsia="Calibri" w:cs="Calibri"/>
          <w:noProof w:val="0"/>
          <w:sz w:val="24"/>
          <w:szCs w:val="24"/>
          <w:lang w:val="en-US"/>
        </w:rPr>
        <w:t>Giotrif</w:t>
      </w:r>
      <w:r w:rsidRPr="779F9BF5" w:rsidR="3BAC54F5">
        <w:rPr>
          <w:rFonts w:ascii="Calibri" w:hAnsi="Calibri" w:eastAsia="Calibri" w:cs="Calibri"/>
          <w:noProof w:val="0"/>
          <w:sz w:val="24"/>
          <w:szCs w:val="24"/>
          <w:lang w:val="en-US"/>
        </w:rPr>
        <w:t xml:space="preserve">®) arm, drug related AEs leading to treatment discontinuation were experienced by 5.9% of the patients as compared to 39.8% of the patients in the chemotherapy arm. The most </w:t>
      </w:r>
      <w:r w:rsidRPr="779F9BF5" w:rsidR="3BAC54F5">
        <w:rPr>
          <w:rFonts w:ascii="Calibri" w:hAnsi="Calibri" w:eastAsia="Calibri" w:cs="Calibri"/>
          <w:noProof w:val="0"/>
          <w:sz w:val="24"/>
          <w:szCs w:val="24"/>
          <w:lang w:val="en-US"/>
        </w:rPr>
        <w:t>frequent</w:t>
      </w:r>
      <w:r w:rsidRPr="779F9BF5" w:rsidR="3BAC54F5">
        <w:rPr>
          <w:rFonts w:ascii="Calibri" w:hAnsi="Calibri" w:eastAsia="Calibri" w:cs="Calibri"/>
          <w:noProof w:val="0"/>
          <w:sz w:val="24"/>
          <w:szCs w:val="24"/>
          <w:lang w:val="en-US"/>
        </w:rPr>
        <w:t xml:space="preserve"> reported afatinib-related AEs were </w:t>
      </w:r>
      <w:r w:rsidRPr="779F9BF5" w:rsidR="3BAC54F5">
        <w:rPr>
          <w:rFonts w:ascii="Calibri" w:hAnsi="Calibri" w:eastAsia="Calibri" w:cs="Calibri"/>
          <w:noProof w:val="0"/>
          <w:sz w:val="24"/>
          <w:szCs w:val="24"/>
          <w:lang w:val="en-US"/>
        </w:rPr>
        <w:t>diarrhoea</w:t>
      </w:r>
      <w:r w:rsidRPr="779F9BF5" w:rsidR="3BAC54F5">
        <w:rPr>
          <w:rFonts w:ascii="Calibri" w:hAnsi="Calibri" w:eastAsia="Calibri" w:cs="Calibri"/>
          <w:noProof w:val="0"/>
          <w:sz w:val="24"/>
          <w:szCs w:val="24"/>
          <w:lang w:val="en-US"/>
        </w:rPr>
        <w:t>, rash/</w:t>
      </w:r>
      <w:r w:rsidRPr="779F9BF5" w:rsidR="3BAC54F5">
        <w:rPr>
          <w:rFonts w:ascii="Calibri" w:hAnsi="Calibri" w:eastAsia="Calibri" w:cs="Calibri"/>
          <w:noProof w:val="0"/>
          <w:sz w:val="24"/>
          <w:szCs w:val="24"/>
          <w:lang w:val="en-US"/>
        </w:rPr>
        <w:t>acne</w:t>
      </w:r>
      <w:r w:rsidRPr="779F9BF5" w:rsidR="3BAC54F5">
        <w:rPr>
          <w:rFonts w:ascii="Calibri" w:hAnsi="Calibri" w:eastAsia="Calibri" w:cs="Calibri"/>
          <w:noProof w:val="0"/>
          <w:sz w:val="24"/>
          <w:szCs w:val="24"/>
          <w:lang w:val="en-US"/>
        </w:rPr>
        <w:t xml:space="preserve"> and stomatitis. The most </w:t>
      </w:r>
      <w:r w:rsidRPr="779F9BF5" w:rsidR="3BAC54F5">
        <w:rPr>
          <w:rFonts w:ascii="Calibri" w:hAnsi="Calibri" w:eastAsia="Calibri" w:cs="Calibri"/>
          <w:noProof w:val="0"/>
          <w:sz w:val="24"/>
          <w:szCs w:val="24"/>
          <w:lang w:val="en-US"/>
        </w:rPr>
        <w:t>frequent</w:t>
      </w:r>
      <w:r w:rsidRPr="779F9BF5" w:rsidR="3BAC54F5">
        <w:rPr>
          <w:rFonts w:ascii="Calibri" w:hAnsi="Calibri" w:eastAsia="Calibri" w:cs="Calibri"/>
          <w:noProof w:val="0"/>
          <w:sz w:val="24"/>
          <w:szCs w:val="24"/>
          <w:lang w:val="en-US"/>
        </w:rPr>
        <w:t xml:space="preserve"> reported chemotherapy-related AEs were nausea/</w:t>
      </w:r>
      <w:r w:rsidRPr="779F9BF5" w:rsidR="3BAC54F5">
        <w:rPr>
          <w:rFonts w:ascii="Calibri" w:hAnsi="Calibri" w:eastAsia="Calibri" w:cs="Calibri"/>
          <w:noProof w:val="0"/>
          <w:sz w:val="24"/>
          <w:szCs w:val="24"/>
          <w:lang w:val="en-US"/>
        </w:rPr>
        <w:t>vomiting ,</w:t>
      </w:r>
      <w:r w:rsidRPr="779F9BF5" w:rsidR="3BAC54F5">
        <w:rPr>
          <w:rFonts w:ascii="Calibri" w:hAnsi="Calibri" w:eastAsia="Calibri" w:cs="Calibri"/>
          <w:noProof w:val="0"/>
          <w:sz w:val="24"/>
          <w:szCs w:val="24"/>
          <w:lang w:val="en-US"/>
        </w:rPr>
        <w:t xml:space="preserve"> fatigue, and bone-marrow </w:t>
      </w:r>
      <w:r w:rsidRPr="779F9BF5" w:rsidR="3BAC54F5">
        <w:rPr>
          <w:rFonts w:ascii="Calibri" w:hAnsi="Calibri" w:eastAsia="Calibri" w:cs="Calibri"/>
          <w:noProof w:val="0"/>
          <w:sz w:val="24"/>
          <w:szCs w:val="24"/>
          <w:lang w:val="en-US"/>
        </w:rPr>
        <w:t>suppresion</w:t>
      </w:r>
      <w:r w:rsidRPr="779F9BF5" w:rsidR="3BAC54F5">
        <w:rPr>
          <w:rFonts w:ascii="Calibri" w:hAnsi="Calibri" w:eastAsia="Calibri" w:cs="Calibri"/>
          <w:noProof w:val="0"/>
          <w:sz w:val="24"/>
          <w:szCs w:val="24"/>
          <w:lang w:val="en-US"/>
        </w:rPr>
        <w:t>. There were 14 deaths (5.9%) reported due to on-treatment AEs in the afatinib (</w:t>
      </w:r>
      <w:r w:rsidRPr="779F9BF5" w:rsidR="3BAC54F5">
        <w:rPr>
          <w:rFonts w:ascii="Calibri" w:hAnsi="Calibri" w:eastAsia="Calibri" w:cs="Calibri"/>
          <w:noProof w:val="0"/>
          <w:sz w:val="24"/>
          <w:szCs w:val="24"/>
          <w:lang w:val="en-US"/>
        </w:rPr>
        <w:t>Giotrif</w:t>
      </w:r>
      <w:r w:rsidRPr="779F9BF5" w:rsidR="3BAC54F5">
        <w:rPr>
          <w:rFonts w:ascii="Calibri" w:hAnsi="Calibri" w:eastAsia="Calibri" w:cs="Calibri"/>
          <w:noProof w:val="0"/>
          <w:sz w:val="24"/>
          <w:szCs w:val="24"/>
          <w:lang w:val="en-US"/>
        </w:rPr>
        <w:t xml:space="preserve">®) arm, and three deaths (2.7%) were reported due to on-treatment AEs in the chemotherapy group. Significant differences between the proportion of patients with improvements in lung cancer symptoms of cough, </w:t>
      </w:r>
      <w:r w:rsidRPr="779F9BF5" w:rsidR="3BAC54F5">
        <w:rPr>
          <w:rFonts w:ascii="Calibri" w:hAnsi="Calibri" w:eastAsia="Calibri" w:cs="Calibri"/>
          <w:noProof w:val="0"/>
          <w:sz w:val="24"/>
          <w:szCs w:val="24"/>
          <w:lang w:val="en-US"/>
        </w:rPr>
        <w:t>dyspnoea</w:t>
      </w:r>
      <w:r w:rsidRPr="779F9BF5" w:rsidR="3BAC54F5">
        <w:rPr>
          <w:rFonts w:ascii="Calibri" w:hAnsi="Calibri" w:eastAsia="Calibri" w:cs="Calibri"/>
          <w:noProof w:val="0"/>
          <w:sz w:val="24"/>
          <w:szCs w:val="24"/>
          <w:lang w:val="en-US"/>
        </w:rPr>
        <w:t xml:space="preserve">, and pain were </w:t>
      </w:r>
      <w:r w:rsidRPr="779F9BF5" w:rsidR="3BAC54F5">
        <w:rPr>
          <w:rFonts w:ascii="Calibri" w:hAnsi="Calibri" w:eastAsia="Calibri" w:cs="Calibri"/>
          <w:noProof w:val="0"/>
          <w:sz w:val="24"/>
          <w:szCs w:val="24"/>
          <w:lang w:val="en-US"/>
        </w:rPr>
        <w:t>observed</w:t>
      </w:r>
      <w:r w:rsidRPr="779F9BF5" w:rsidR="3BAC54F5">
        <w:rPr>
          <w:rFonts w:ascii="Calibri" w:hAnsi="Calibri" w:eastAsia="Calibri" w:cs="Calibri"/>
          <w:noProof w:val="0"/>
          <w:sz w:val="24"/>
          <w:szCs w:val="24"/>
          <w:lang w:val="en-US"/>
        </w:rPr>
        <w:t xml:space="preserve"> with patient in afatinib (</w:t>
      </w:r>
      <w:r w:rsidRPr="779F9BF5" w:rsidR="3BAC54F5">
        <w:rPr>
          <w:rFonts w:ascii="Calibri" w:hAnsi="Calibri" w:eastAsia="Calibri" w:cs="Calibri"/>
          <w:noProof w:val="0"/>
          <w:sz w:val="24"/>
          <w:szCs w:val="24"/>
          <w:lang w:val="en-US"/>
        </w:rPr>
        <w:t>Giotrif</w:t>
      </w:r>
      <w:r w:rsidRPr="779F9BF5" w:rsidR="3BAC54F5">
        <w:rPr>
          <w:rFonts w:ascii="Calibri" w:hAnsi="Calibri" w:eastAsia="Calibri" w:cs="Calibri"/>
          <w:noProof w:val="0"/>
          <w:sz w:val="24"/>
          <w:szCs w:val="24"/>
          <w:lang w:val="en-US"/>
        </w:rPr>
        <w:t>®)</w:t>
      </w:r>
    </w:p>
    <w:p w:rsidR="5BA91478" w:rsidP="66393FDB" w:rsidRDefault="5BA91478" w14:paraId="79CE92A7" w14:textId="1BBF2267">
      <w:pPr>
        <w:pStyle w:val="Heading1"/>
        <w:rPr>
          <w:rFonts w:ascii="Calibri" w:hAnsi="Calibri" w:eastAsia="Calibri" w:cs="Calibri" w:asciiTheme="minorAscii" w:hAnsiTheme="minorAscii" w:eastAsiaTheme="minorAscii" w:cstheme="minorAscii"/>
          <w:b w:val="1"/>
          <w:bCs w:val="1"/>
          <w:noProof w:val="0"/>
          <w:color w:val="auto"/>
          <w:sz w:val="24"/>
          <w:szCs w:val="24"/>
          <w:lang w:val="en-US"/>
        </w:rPr>
      </w:pPr>
      <w:r w:rsidRPr="66393FDB" w:rsidR="5BA91478">
        <w:rPr>
          <w:rFonts w:ascii="Calibri" w:hAnsi="Calibri" w:eastAsia="Calibri" w:cs="Calibri" w:asciiTheme="minorAscii" w:hAnsiTheme="minorAscii" w:eastAsiaTheme="minorAscii" w:cstheme="minorAscii"/>
          <w:b w:val="1"/>
          <w:bCs w:val="1"/>
          <w:noProof w:val="0"/>
          <w:color w:val="auto"/>
          <w:sz w:val="24"/>
          <w:szCs w:val="24"/>
          <w:lang w:val="en-US"/>
        </w:rPr>
        <w:t>9.  (LUX-Lung 6)</w:t>
      </w:r>
    </w:p>
    <w:p w:rsidR="5BA91478" w:rsidP="66393FDB" w:rsidRDefault="5BA91478" w14:paraId="6230F87E" w14:textId="110EA364">
      <w:pPr>
        <w:pStyle w:val="Normal"/>
      </w:pPr>
      <w:r w:rsidRPr="66393FDB" w:rsidR="5BA91478">
        <w:rPr>
          <w:rFonts w:ascii="Calibri" w:hAnsi="Calibri" w:eastAsia="Calibri" w:cs="Calibri"/>
          <w:noProof w:val="0"/>
          <w:sz w:val="24"/>
          <w:szCs w:val="24"/>
          <w:lang w:val="en-US"/>
        </w:rPr>
        <w:t>More recent evidence of the benefits of afatinib (Giotrif®) versus chemotherapy in EGFR TKI-naïve asian patients with NSCLC was obtained in trial 1200.34, an open-label, randomized, Phase III trial of afatinib (Giotrif®) versus chemotherapy as first-line treatment for patients with Stage IIIB or IV adenocarcinoma of the lung harboring an EGFR activating mutation who had received no prior chemotherapy or EGFR-targeting drugs for advanced NSCLC. The primary objective of the study was to assess the efficacy of afatinib (Giotrif®) as defined by progression-free survival (PFS) by central independent review and determined by Response Evaluation Criteria in Solid Tumors (RECIST). Secondary endpoints included ORR, disease control rate (DCR), duration of response, tumor shrinkage, overal survival (OS), patient-reported outcomes (PRO), and safety and pharmicokinetics of afatinib (Giotrif®). A central test for EGFR mutations was carried out using the companion diagnostic TheraScreen® EGFR RGQ PCR kit. Three hundred and sixty four (364) patients were randomised in a 2:1 ratio to receive either afatinib (n=242) 40 mg daily continuous treatment in the absence of disease progression or adverse events, or Gemcitabine/Cisplatin (GC) (n=122), with Gemcitabine 1000 mg/m2 on Day 1 and Day 8, with cycplatin 75 mg/m2 every 21 days up to 6 cycles. Baseline characteristics were well balanced between arms: overall the median age was 58 years, 65% of patients were female, 77% were never-smokers and 94% had Stage IV disease. Regarding EGFR mutation status, 51% had deletions in exon 19 (Del19), 38% had the L858R mutation and 11% had a variety of other less common mutations. As assessed by central independent review, treatment with afatinib(Giotrif®) resulted in a significantly prolonged PFS as compared to treatment with GC (median 11.0 vs. 5.6 months, HR 0.28, p&lt;0.0001). The ORR for patients treated with afatinib (66.9%) was significantly higher than that for patients treated with GC (23%) (p&lt;0.0001). The prolonged PFS and higher ORR observed in patients treated with afatinib (Giotrif®) were accompanied by significant delays (as compared to patients treated with GC) in time to deterioration of the cancer-related symptoms of cough (HR=0.45, p=0.0001) and dyspnoea (HR=0.54, p&lt;0.0001). The pre-specified number of events necessary to Overall Survival (OS) has not yet been reached. The incidence of patients with AEs leading to dose reduction was 32.2% in the afatinib (Giotrif®) arm and 26.5% in the chemotherapy arm. In the afatinib (Giotrif®) arm, drug related AEs leading to treatment discontinuation were experienced by 5.9% of the patients as compared to 39.8% of the patients in the chemotherapy arm. The most frequent reported afatinib-related AEs were diarrhoea, rash/acne and stomatitis. The most frequent reported chemotherapy-related AEs were nausea/vomiting , fatigue, and bone-marrow suppresion. There were 14 deaths (5.9%) reported due to on-treatment AEs in the afatinib (Giotrif®) arm, and three deaths (2.7%) were reported due to on-treatment AEs in the chemotherapy group. Significant differences between the proportion of patients with improvements in lung cancer symptoms of cough, dyspnoea, and pain were observed with patient in afatinib (Giotrif®)</w:t>
      </w:r>
    </w:p>
    <w:p w:rsidR="5BA91478" w:rsidP="66393FDB" w:rsidRDefault="5BA91478" w14:paraId="5D16D09F" w14:textId="681D1F39">
      <w:pPr>
        <w:pStyle w:val="Heading1"/>
        <w:rPr>
          <w:rFonts w:ascii="Calibri" w:hAnsi="Calibri" w:eastAsia="Calibri" w:cs="Calibri" w:asciiTheme="minorAscii" w:hAnsiTheme="minorAscii" w:eastAsiaTheme="minorAscii" w:cstheme="minorAscii"/>
          <w:b w:val="1"/>
          <w:bCs w:val="1"/>
          <w:noProof w:val="0"/>
          <w:color w:val="auto"/>
          <w:sz w:val="24"/>
          <w:szCs w:val="24"/>
          <w:lang w:val="en-US"/>
        </w:rPr>
      </w:pPr>
      <w:r w:rsidRPr="66393FDB" w:rsidR="5BA91478">
        <w:rPr>
          <w:rFonts w:ascii="Calibri" w:hAnsi="Calibri" w:eastAsia="Calibri" w:cs="Calibri" w:asciiTheme="minorAscii" w:hAnsiTheme="minorAscii" w:eastAsiaTheme="minorAscii" w:cstheme="minorAscii"/>
          <w:b w:val="1"/>
          <w:bCs w:val="1"/>
          <w:noProof w:val="0"/>
          <w:color w:val="auto"/>
          <w:sz w:val="24"/>
          <w:szCs w:val="24"/>
          <w:lang w:val="en-US"/>
        </w:rPr>
        <w:t>10 Benefit - Risk Assessment In Context Of Covid-19 Infection</w:t>
      </w:r>
    </w:p>
    <w:p w:rsidR="5BA91478" w:rsidP="66393FDB" w:rsidRDefault="5BA91478" w14:paraId="3512B410" w14:textId="0756E139">
      <w:pPr>
        <w:pStyle w:val="Normal"/>
      </w:pPr>
      <w:r w:rsidRPr="66393FDB" w:rsidR="5BA91478">
        <w:rPr>
          <w:rFonts w:ascii="Calibri" w:hAnsi="Calibri" w:eastAsia="Calibri" w:cs="Calibri"/>
          <w:noProof w:val="0"/>
          <w:sz w:val="24"/>
          <w:szCs w:val="24"/>
          <w:lang w:val="en-US"/>
        </w:rPr>
        <w:t xml:space="preserve"> Relevant information on the product in relationship to COVID-19 Relevant mechanism of action, clinical pharmacology aspects, relevant non-clinical and clinical data are described in the current afatinib Investigator’s Brochure [c01617169-11] and the current afatinib drug label. There is no non-clinical nor clinical data on how afatinib may affect COVID-19 viral infections. Gastrointestinal effects of afatinib like stomatitis or diarrhea or skin toxicities may enhance susceptibility for viral infections thus effective management of these side effects is important. There is no non-clinical nor clinical data to suggest that afatinib may directly alleviate nor exacerbate viral infections like COVID-19, and based on the mechanism of action (specific inhibition of the tyrosine kinases of the ErbB family), there would be no expectation of such direct interaction to affect COVID-19 disease. Recent afatinib trials have implemented mitigations in order to reduce the patient risk of contracting COVID-19 due to the local COVID situation. Depending on the local COVID situation, protocol-defined trial procedures requiring travel to the study site may impose a potential COVID risk and therefore should be appropriately mitigated with measures, if these are deemed necessary by investigator.</w:t>
      </w:r>
    </w:p>
    <w:p w:rsidR="66393FDB" w:rsidP="66393FDB" w:rsidRDefault="66393FDB" w14:paraId="7BFDAF5C" w14:textId="5F965AF8">
      <w:pPr>
        <w:pStyle w:val="Normal"/>
        <w:rPr>
          <w:rFonts w:ascii="Calibri" w:hAnsi="Calibri" w:eastAsia="Calibri" w:cs="Calibri"/>
          <w:noProof w:val="0"/>
          <w:sz w:val="24"/>
          <w:szCs w:val="24"/>
          <w:lang w:val="en-US"/>
        </w:rPr>
      </w:pPr>
    </w:p>
    <w:p w:rsidR="66393FDB" w:rsidP="66393FDB" w:rsidRDefault="66393FDB" w14:paraId="68F6E8DD" w14:textId="556931E3">
      <w:pPr>
        <w:pStyle w:val="Normal"/>
        <w:rPr>
          <w:rFonts w:ascii="Calibri" w:hAnsi="Calibri" w:eastAsia="Calibri" w:cs="Calibri"/>
          <w:noProof w:val="0"/>
          <w:sz w:val="24"/>
          <w:szCs w:val="24"/>
          <w:lang w:val="en-US"/>
        </w:rPr>
      </w:pPr>
    </w:p>
    <w:p w:rsidR="66393FDB" w:rsidP="66393FDB" w:rsidRDefault="66393FDB" w14:paraId="0C32BF43" w14:textId="2ABA5128">
      <w:pPr>
        <w:pStyle w:val="Normal"/>
        <w:rPr>
          <w:rFonts w:ascii="Calibri" w:hAnsi="Calibri" w:eastAsia="Calibri" w:cs="Calibri"/>
          <w:noProof w:val="0"/>
          <w:sz w:val="24"/>
          <w:szCs w:val="24"/>
          <w:lang w:val="en-US"/>
        </w:rPr>
      </w:pPr>
    </w:p>
    <w:p w:rsidR="66393FDB" w:rsidP="66393FDB" w:rsidRDefault="66393FDB" w14:paraId="68BF76DA" w14:textId="42EF2122">
      <w:pPr>
        <w:pStyle w:val="Normal"/>
        <w:rPr>
          <w:rFonts w:ascii="Calibri" w:hAnsi="Calibri" w:eastAsia="Calibri" w:cs="Calibri"/>
          <w:noProof w:val="0"/>
          <w:sz w:val="24"/>
          <w:szCs w:val="24"/>
          <w:lang w:val="en-US"/>
        </w:rPr>
      </w:pPr>
    </w:p>
    <w:p w:rsidR="66393FDB" w:rsidP="66393FDB" w:rsidRDefault="66393FDB" w14:paraId="2E853D8C" w14:textId="6C4AADD6">
      <w:pPr>
        <w:pStyle w:val="Normal"/>
        <w:rPr>
          <w:rFonts w:ascii="Calibri" w:hAnsi="Calibri" w:eastAsia="Calibri" w:cs="Calibri"/>
          <w:noProof w:val="0"/>
          <w:sz w:val="24"/>
          <w:szCs w:val="24"/>
          <w:lang w:val="en-US"/>
        </w:rPr>
      </w:pPr>
    </w:p>
    <w:p w:rsidR="66393FDB" w:rsidP="66393FDB" w:rsidRDefault="66393FDB" w14:paraId="71225EEA" w14:textId="1DA4E6A4">
      <w:pPr>
        <w:pStyle w:val="Normal"/>
        <w:rPr>
          <w:rFonts w:ascii="Calibri" w:hAnsi="Calibri" w:eastAsia="Calibri" w:cs="Calibri"/>
          <w:noProof w:val="0"/>
          <w:sz w:val="24"/>
          <w:szCs w:val="24"/>
          <w:lang w:val="en-US"/>
        </w:rPr>
      </w:pPr>
    </w:p>
    <w:p w:rsidR="66393FDB" w:rsidP="66393FDB" w:rsidRDefault="66393FDB" w14:paraId="33E83935" w14:textId="606322BF">
      <w:pPr>
        <w:pStyle w:val="Normal"/>
        <w:rPr>
          <w:rFonts w:ascii="Calibri" w:hAnsi="Calibri" w:eastAsia="Calibri" w:cs="Calibri"/>
          <w:noProof w:val="0"/>
          <w:sz w:val="24"/>
          <w:szCs w:val="24"/>
          <w:lang w:val="en-US"/>
        </w:rPr>
      </w:pPr>
    </w:p>
    <w:p w:rsidR="66393FDB" w:rsidP="66393FDB" w:rsidRDefault="66393FDB" w14:paraId="5A31BBEF" w14:textId="2754CEA7">
      <w:pPr>
        <w:pStyle w:val="Normal"/>
        <w:rPr>
          <w:rFonts w:ascii="Calibri" w:hAnsi="Calibri" w:eastAsia="Calibri" w:cs="Calibri"/>
          <w:noProof w:val="0"/>
          <w:sz w:val="24"/>
          <w:szCs w:val="24"/>
          <w:lang w:val="en-US"/>
        </w:rPr>
      </w:pPr>
    </w:p>
    <w:p w:rsidR="66393FDB" w:rsidP="66393FDB" w:rsidRDefault="66393FDB" w14:paraId="7B1BFD30" w14:textId="430F1DC8">
      <w:pPr>
        <w:pStyle w:val="Normal"/>
        <w:rPr>
          <w:rFonts w:ascii="Calibri" w:hAnsi="Calibri" w:eastAsia="Calibri" w:cs="Calibri"/>
          <w:noProof w:val="0"/>
          <w:sz w:val="24"/>
          <w:szCs w:val="24"/>
          <w:lang w:val="en-US"/>
        </w:rPr>
      </w:pPr>
    </w:p>
    <w:p w:rsidR="66393FDB" w:rsidP="66393FDB" w:rsidRDefault="66393FDB" w14:paraId="1E14D1CB" w14:textId="67FDCE62">
      <w:pPr>
        <w:pStyle w:val="Normal"/>
        <w:rPr>
          <w:rFonts w:ascii="Calibri" w:hAnsi="Calibri" w:eastAsia="Calibri" w:cs="Calibri"/>
          <w:noProof w:val="0"/>
          <w:sz w:val="24"/>
          <w:szCs w:val="24"/>
          <w:lang w:val="en-US"/>
        </w:rPr>
      </w:pPr>
    </w:p>
    <w:p w:rsidR="66393FDB" w:rsidP="66393FDB" w:rsidRDefault="66393FDB" w14:paraId="0573AA23" w14:textId="45EB9E24">
      <w:pPr>
        <w:pStyle w:val="Normal"/>
        <w:rPr>
          <w:rFonts w:ascii="Calibri" w:hAnsi="Calibri" w:eastAsia="Calibri" w:cs="Calibri"/>
          <w:noProof w:val="0"/>
          <w:sz w:val="24"/>
          <w:szCs w:val="24"/>
          <w:lang w:val="en-US"/>
        </w:rPr>
      </w:pPr>
    </w:p>
    <w:p w:rsidR="66393FDB" w:rsidP="66393FDB" w:rsidRDefault="66393FDB" w14:paraId="0A2D905E" w14:textId="7AE09DD0">
      <w:pPr>
        <w:pStyle w:val="Normal"/>
        <w:rPr>
          <w:rFonts w:ascii="Calibri" w:hAnsi="Calibri" w:eastAsia="Calibri" w:cs="Calibri"/>
          <w:noProof w:val="0"/>
          <w:sz w:val="24"/>
          <w:szCs w:val="24"/>
          <w:lang w:val="en-US"/>
        </w:rPr>
      </w:pPr>
    </w:p>
    <w:p w:rsidR="66393FDB" w:rsidP="66393FDB" w:rsidRDefault="66393FDB" w14:paraId="27A5D819" w14:textId="758EB261">
      <w:pPr>
        <w:pStyle w:val="Normal"/>
        <w:rPr>
          <w:rFonts w:ascii="Calibri" w:hAnsi="Calibri" w:eastAsia="Calibri" w:cs="Calibri"/>
          <w:noProof w:val="0"/>
          <w:sz w:val="24"/>
          <w:szCs w:val="24"/>
          <w:lang w:val="en-US"/>
        </w:rPr>
      </w:pPr>
    </w:p>
    <w:p w:rsidR="66393FDB" w:rsidP="66393FDB" w:rsidRDefault="66393FDB" w14:paraId="4047C70B" w14:textId="641EF657">
      <w:pPr>
        <w:pStyle w:val="Normal"/>
        <w:rPr>
          <w:rFonts w:ascii="Calibri" w:hAnsi="Calibri" w:eastAsia="Calibri" w:cs="Calibri"/>
          <w:noProof w:val="0"/>
          <w:sz w:val="24"/>
          <w:szCs w:val="24"/>
          <w:lang w:val="en-US"/>
        </w:rPr>
      </w:pPr>
    </w:p>
    <w:p w:rsidR="66393FDB" w:rsidP="66393FDB" w:rsidRDefault="66393FDB" w14:paraId="0215BA63" w14:textId="4AF55977">
      <w:pPr>
        <w:pStyle w:val="Normal"/>
        <w:rPr>
          <w:rFonts w:ascii="Calibri" w:hAnsi="Calibri" w:eastAsia="Calibri" w:cs="Calibri"/>
          <w:noProof w:val="0"/>
          <w:sz w:val="24"/>
          <w:szCs w:val="24"/>
          <w:lang w:val="en-US"/>
        </w:rPr>
      </w:pPr>
    </w:p>
    <w:p w:rsidR="5BA91478" w:rsidP="66393FDB" w:rsidRDefault="5BA91478" w14:paraId="5416B1D0" w14:textId="12530AB1">
      <w:pPr>
        <w:pStyle w:val="Heading1"/>
        <w:rPr>
          <w:rFonts w:ascii="Calibri" w:hAnsi="Calibri" w:eastAsia="Calibri" w:cs="Calibri" w:asciiTheme="minorAscii" w:hAnsiTheme="minorAscii" w:eastAsiaTheme="minorAscii" w:cstheme="minorAscii"/>
          <w:b w:val="1"/>
          <w:bCs w:val="1"/>
          <w:noProof w:val="0"/>
          <w:color w:val="auto"/>
          <w:sz w:val="24"/>
          <w:szCs w:val="24"/>
          <w:lang w:val="en-US"/>
        </w:rPr>
      </w:pPr>
      <w:r w:rsidRPr="66393FDB" w:rsidR="5BA91478">
        <w:rPr>
          <w:rFonts w:ascii="Calibri" w:hAnsi="Calibri" w:eastAsia="Calibri" w:cs="Calibri" w:asciiTheme="minorAscii" w:hAnsiTheme="minorAscii" w:eastAsiaTheme="minorAscii" w:cstheme="minorAscii"/>
          <w:b w:val="1"/>
          <w:bCs w:val="1"/>
          <w:noProof w:val="0"/>
          <w:color w:val="auto"/>
          <w:sz w:val="24"/>
          <w:szCs w:val="24"/>
          <w:lang w:val="en-US"/>
        </w:rPr>
        <w:t>11 Benefits and Risks Conclusions and Recommendations</w:t>
      </w:r>
    </w:p>
    <w:p w:rsidR="5BA91478" w:rsidP="66393FDB" w:rsidRDefault="5BA91478" w14:paraId="1C93C103" w14:textId="743A8CF3">
      <w:pPr>
        <w:pStyle w:val="Normal"/>
      </w:pPr>
      <w:r w:rsidRPr="66393FDB" w:rsidR="5BA91478">
        <w:rPr>
          <w:rFonts w:ascii="Calibri" w:hAnsi="Calibri" w:eastAsia="Calibri" w:cs="Calibri"/>
          <w:noProof w:val="0"/>
          <w:sz w:val="24"/>
          <w:szCs w:val="24"/>
          <w:lang w:val="en-US"/>
        </w:rPr>
        <w:t xml:space="preserve"> Patients in clinical trials with afatinib have advanced </w:t>
      </w:r>
      <w:r w:rsidRPr="66393FDB" w:rsidR="5BA91478">
        <w:rPr>
          <w:rFonts w:ascii="Calibri" w:hAnsi="Calibri" w:eastAsia="Calibri" w:cs="Calibri"/>
          <w:noProof w:val="0"/>
          <w:sz w:val="24"/>
          <w:szCs w:val="24"/>
          <w:lang w:val="en-US"/>
        </w:rPr>
        <w:t>late stage</w:t>
      </w:r>
      <w:r w:rsidRPr="66393FDB" w:rsidR="5BA91478">
        <w:rPr>
          <w:rFonts w:ascii="Calibri" w:hAnsi="Calibri" w:eastAsia="Calibri" w:cs="Calibri"/>
          <w:noProof w:val="0"/>
          <w:sz w:val="24"/>
          <w:szCs w:val="24"/>
          <w:lang w:val="en-US"/>
        </w:rPr>
        <w:t xml:space="preserve"> cancer with limited treatment options. Given the </w:t>
      </w:r>
      <w:r w:rsidRPr="66393FDB" w:rsidR="5BA91478">
        <w:rPr>
          <w:rFonts w:ascii="Calibri" w:hAnsi="Calibri" w:eastAsia="Calibri" w:cs="Calibri"/>
          <w:noProof w:val="0"/>
          <w:sz w:val="24"/>
          <w:szCs w:val="24"/>
          <w:lang w:val="en-US"/>
        </w:rPr>
        <w:t>life threatening</w:t>
      </w:r>
      <w:r w:rsidRPr="66393FDB" w:rsidR="5BA91478">
        <w:rPr>
          <w:rFonts w:ascii="Calibri" w:hAnsi="Calibri" w:eastAsia="Calibri" w:cs="Calibri"/>
          <w:noProof w:val="0"/>
          <w:sz w:val="24"/>
          <w:szCs w:val="24"/>
          <w:lang w:val="en-US"/>
        </w:rPr>
        <w:t xml:space="preserve"> nature of the underlying disease, the approach recommended by professional oncology organizations (</w:t>
      </w:r>
      <w:r w:rsidRPr="66393FDB" w:rsidR="5BA91478">
        <w:rPr>
          <w:rFonts w:ascii="Calibri" w:hAnsi="Calibri" w:eastAsia="Calibri" w:cs="Calibri"/>
          <w:noProof w:val="0"/>
          <w:sz w:val="24"/>
          <w:szCs w:val="24"/>
          <w:lang w:val="en-US"/>
        </w:rPr>
        <w:t>e.g.</w:t>
      </w:r>
      <w:r w:rsidRPr="66393FDB" w:rsidR="5BA91478">
        <w:rPr>
          <w:rFonts w:ascii="Calibri" w:hAnsi="Calibri" w:eastAsia="Calibri" w:cs="Calibri"/>
          <w:noProof w:val="0"/>
          <w:sz w:val="24"/>
          <w:szCs w:val="24"/>
          <w:lang w:val="en-US"/>
        </w:rPr>
        <w:t xml:space="preserve"> ASCO, ESMO) </w:t>
      </w:r>
      <w:r w:rsidRPr="66393FDB" w:rsidR="5BA91478">
        <w:rPr>
          <w:rFonts w:ascii="Calibri" w:hAnsi="Calibri" w:eastAsia="Calibri" w:cs="Calibri"/>
          <w:noProof w:val="0"/>
          <w:sz w:val="24"/>
          <w:szCs w:val="24"/>
          <w:lang w:val="en-US"/>
        </w:rPr>
        <w:t>remains</w:t>
      </w:r>
      <w:r w:rsidRPr="66393FDB" w:rsidR="5BA91478">
        <w:rPr>
          <w:rFonts w:ascii="Calibri" w:hAnsi="Calibri" w:eastAsia="Calibri" w:cs="Calibri"/>
          <w:noProof w:val="0"/>
          <w:sz w:val="24"/>
          <w:szCs w:val="24"/>
          <w:lang w:val="en-US"/>
        </w:rPr>
        <w:t xml:space="preserve"> to treat patients with </w:t>
      </w:r>
      <w:r w:rsidRPr="66393FDB" w:rsidR="5BA91478">
        <w:rPr>
          <w:rFonts w:ascii="Calibri" w:hAnsi="Calibri" w:eastAsia="Calibri" w:cs="Calibri"/>
          <w:noProof w:val="0"/>
          <w:sz w:val="24"/>
          <w:szCs w:val="24"/>
          <w:lang w:val="en-US"/>
        </w:rPr>
        <w:t>cancer as</w:t>
      </w:r>
      <w:r w:rsidRPr="66393FDB" w:rsidR="5BA91478">
        <w:rPr>
          <w:rFonts w:ascii="Calibri" w:hAnsi="Calibri" w:eastAsia="Calibri" w:cs="Calibri"/>
          <w:noProof w:val="0"/>
          <w:sz w:val="24"/>
          <w:szCs w:val="24"/>
          <w:lang w:val="en-US"/>
        </w:rPr>
        <w:t xml:space="preserve"> under normal circumstances. No consensus on recommendations </w:t>
      </w:r>
      <w:r w:rsidRPr="66393FDB" w:rsidR="5BA91478">
        <w:rPr>
          <w:rFonts w:ascii="Calibri" w:hAnsi="Calibri" w:eastAsia="Calibri" w:cs="Calibri"/>
          <w:noProof w:val="0"/>
          <w:sz w:val="24"/>
          <w:szCs w:val="24"/>
          <w:lang w:val="en-US"/>
        </w:rPr>
        <w:t>exist</w:t>
      </w:r>
      <w:r w:rsidRPr="66393FDB" w:rsidR="5BA91478">
        <w:rPr>
          <w:rFonts w:ascii="Calibri" w:hAnsi="Calibri" w:eastAsia="Calibri" w:cs="Calibri"/>
          <w:noProof w:val="0"/>
          <w:sz w:val="24"/>
          <w:szCs w:val="24"/>
          <w:lang w:val="en-US"/>
        </w:rPr>
        <w:t xml:space="preserve"> </w:t>
      </w:r>
      <w:r w:rsidRPr="66393FDB" w:rsidR="5BA91478">
        <w:rPr>
          <w:rFonts w:ascii="Calibri" w:hAnsi="Calibri" w:eastAsia="Calibri" w:cs="Calibri"/>
          <w:noProof w:val="0"/>
          <w:sz w:val="24"/>
          <w:szCs w:val="24"/>
          <w:lang w:val="en-US"/>
        </w:rPr>
        <w:t>regarding</w:t>
      </w:r>
      <w:r w:rsidRPr="66393FDB" w:rsidR="5BA91478">
        <w:rPr>
          <w:rFonts w:ascii="Calibri" w:hAnsi="Calibri" w:eastAsia="Calibri" w:cs="Calibri"/>
          <w:noProof w:val="0"/>
          <w:sz w:val="24"/>
          <w:szCs w:val="24"/>
          <w:lang w:val="en-US"/>
        </w:rPr>
        <w:t xml:space="preserve"> holding or delaying treatment in cancer patients with no signs of a COVID-19 infection. Withdrawing treatment in a cancer patient who may have few or any alternative treatment options requires </w:t>
      </w:r>
      <w:r w:rsidRPr="66393FDB" w:rsidR="5BA91478">
        <w:rPr>
          <w:rFonts w:ascii="Calibri" w:hAnsi="Calibri" w:eastAsia="Calibri" w:cs="Calibri"/>
          <w:noProof w:val="0"/>
          <w:sz w:val="24"/>
          <w:szCs w:val="24"/>
          <w:lang w:val="en-US"/>
        </w:rPr>
        <w:t>a careful</w:t>
      </w:r>
      <w:r w:rsidRPr="66393FDB" w:rsidR="5BA91478">
        <w:rPr>
          <w:rFonts w:ascii="Calibri" w:hAnsi="Calibri" w:eastAsia="Calibri" w:cs="Calibri"/>
          <w:noProof w:val="0"/>
          <w:sz w:val="24"/>
          <w:szCs w:val="24"/>
          <w:lang w:val="en-US"/>
        </w:rPr>
        <w:t>, individual evaluation. There is no evidence/</w:t>
      </w:r>
      <w:r w:rsidRPr="66393FDB" w:rsidR="5BA91478">
        <w:rPr>
          <w:rFonts w:ascii="Calibri" w:hAnsi="Calibri" w:eastAsia="Calibri" w:cs="Calibri"/>
          <w:noProof w:val="0"/>
          <w:sz w:val="24"/>
          <w:szCs w:val="24"/>
          <w:lang w:val="en-US"/>
        </w:rPr>
        <w:t>indication</w:t>
      </w:r>
      <w:r w:rsidRPr="66393FDB" w:rsidR="5BA91478">
        <w:rPr>
          <w:rFonts w:ascii="Calibri" w:hAnsi="Calibri" w:eastAsia="Calibri" w:cs="Calibri"/>
          <w:noProof w:val="0"/>
          <w:sz w:val="24"/>
          <w:szCs w:val="24"/>
          <w:lang w:val="en-US"/>
        </w:rPr>
        <w:t xml:space="preserve"> that based on the pharmacological mechanism and existing non-clinical and clinical data that afatinib may increase the risk of progression of COVID-19 infection</w:t>
      </w:r>
      <w:r w:rsidRPr="66393FDB" w:rsidR="76A755F0">
        <w:rPr>
          <w:rFonts w:ascii="Calibri" w:hAnsi="Calibri" w:eastAsia="Calibri" w:cs="Calibri"/>
          <w:noProof w:val="0"/>
          <w:sz w:val="24"/>
          <w:szCs w:val="24"/>
          <w:lang w:val="en-US"/>
        </w:rPr>
        <w:t xml:space="preserve"> see </w:t>
      </w:r>
      <w:r w:rsidRPr="66393FDB" w:rsidR="76A755F0">
        <w:rPr>
          <w:rFonts w:ascii="Calibri" w:hAnsi="Calibri" w:eastAsia="Calibri" w:cs="Calibri"/>
          <w:noProof w:val="0"/>
          <w:sz w:val="24"/>
          <w:szCs w:val="24"/>
          <w:highlight w:val="yellow"/>
          <w:lang w:val="en-US"/>
        </w:rPr>
        <w:t>Section 1</w:t>
      </w:r>
      <w:r w:rsidRPr="66393FDB" w:rsidR="76A755F0">
        <w:rPr>
          <w:rFonts w:ascii="Calibri" w:hAnsi="Calibri" w:eastAsia="Calibri" w:cs="Calibri"/>
          <w:noProof w:val="0"/>
          <w:sz w:val="24"/>
          <w:szCs w:val="24"/>
          <w:lang w:val="en-US"/>
        </w:rPr>
        <w:t>.</w:t>
      </w:r>
    </w:p>
    <w:p w:rsidR="66393FDB" w:rsidP="66393FDB" w:rsidRDefault="66393FDB" w14:paraId="40F5F0BF" w14:textId="5EE9D37E">
      <w:pPr>
        <w:pStyle w:val="Normal"/>
        <w:rPr>
          <w:rFonts w:ascii="Calibri" w:hAnsi="Calibri" w:eastAsia="Calibri" w:cs="Calibri"/>
          <w:noProof w:val="0"/>
          <w:sz w:val="24"/>
          <w:szCs w:val="24"/>
          <w:lang w:val="en-US"/>
        </w:rPr>
      </w:pPr>
    </w:p>
    <w:p w:rsidR="66393FDB" w:rsidP="66393FDB" w:rsidRDefault="66393FDB" w14:paraId="5D5EE361" w14:textId="36F59519">
      <w:pPr>
        <w:pStyle w:val="Normal"/>
        <w:rPr>
          <w:rFonts w:ascii="Calibri" w:hAnsi="Calibri" w:eastAsia="Calibri" w:cs="Calibri"/>
          <w:noProof w:val="0"/>
          <w:sz w:val="24"/>
          <w:szCs w:val="24"/>
          <w:lang w:val="en-US"/>
        </w:rPr>
      </w:pPr>
    </w:p>
    <w:p w:rsidR="66393FDB" w:rsidP="66393FDB" w:rsidRDefault="66393FDB" w14:paraId="1949E984" w14:textId="47D38186">
      <w:pPr>
        <w:pStyle w:val="Normal"/>
        <w:rPr>
          <w:rFonts w:ascii="Calibri" w:hAnsi="Calibri" w:eastAsia="Calibri" w:cs="Calibri"/>
          <w:noProof w:val="0"/>
          <w:sz w:val="24"/>
          <w:szCs w:val="24"/>
          <w:lang w:val="en-US"/>
        </w:rPr>
      </w:pPr>
    </w:p>
    <w:p w:rsidR="66393FDB" w:rsidP="66393FDB" w:rsidRDefault="66393FDB" w14:paraId="7F5F551E" w14:textId="10F8C685">
      <w:pPr>
        <w:pStyle w:val="Normal"/>
        <w:rPr>
          <w:rFonts w:ascii="Calibri" w:hAnsi="Calibri" w:eastAsia="Calibri" w:cs="Calibri"/>
          <w:noProof w:val="0"/>
          <w:sz w:val="24"/>
          <w:szCs w:val="24"/>
          <w:lang w:val="en-US"/>
        </w:rPr>
      </w:pPr>
    </w:p>
    <w:p w:rsidR="66393FDB" w:rsidP="66393FDB" w:rsidRDefault="66393FDB" w14:paraId="41E1C974" w14:textId="18AEADCC">
      <w:pPr>
        <w:pStyle w:val="Normal"/>
        <w:rPr>
          <w:rFonts w:ascii="Calibri" w:hAnsi="Calibri" w:eastAsia="Calibri" w:cs="Calibri"/>
          <w:noProof w:val="0"/>
          <w:sz w:val="24"/>
          <w:szCs w:val="24"/>
          <w:lang w:val="en-US"/>
        </w:rPr>
      </w:pPr>
    </w:p>
    <w:p w:rsidR="66393FDB" w:rsidP="66393FDB" w:rsidRDefault="66393FDB" w14:paraId="6253631F" w14:textId="2ABCB50B">
      <w:pPr>
        <w:pStyle w:val="Normal"/>
        <w:rPr>
          <w:rFonts w:ascii="Calibri" w:hAnsi="Calibri" w:eastAsia="Calibri" w:cs="Calibri"/>
          <w:noProof w:val="0"/>
          <w:sz w:val="24"/>
          <w:szCs w:val="24"/>
          <w:lang w:val="en-US"/>
        </w:rPr>
      </w:pPr>
    </w:p>
    <w:p w:rsidR="66393FDB" w:rsidP="66393FDB" w:rsidRDefault="66393FDB" w14:paraId="30EEED60" w14:textId="3FEC3045">
      <w:pPr>
        <w:pStyle w:val="Normal"/>
        <w:rPr>
          <w:rFonts w:ascii="Calibri" w:hAnsi="Calibri" w:eastAsia="Calibri" w:cs="Calibri"/>
          <w:noProof w:val="0"/>
          <w:sz w:val="24"/>
          <w:szCs w:val="24"/>
          <w:lang w:val="en-US"/>
        </w:rPr>
      </w:pPr>
    </w:p>
    <w:p w:rsidR="66393FDB" w:rsidP="66393FDB" w:rsidRDefault="66393FDB" w14:paraId="035A919F" w14:textId="47886587">
      <w:pPr>
        <w:pStyle w:val="Normal"/>
        <w:rPr>
          <w:rFonts w:ascii="Calibri" w:hAnsi="Calibri" w:eastAsia="Calibri" w:cs="Calibri"/>
          <w:noProof w:val="0"/>
          <w:sz w:val="24"/>
          <w:szCs w:val="24"/>
          <w:lang w:val="en-US"/>
        </w:rPr>
      </w:pPr>
    </w:p>
    <w:p w:rsidR="66393FDB" w:rsidP="66393FDB" w:rsidRDefault="66393FDB" w14:paraId="75AD0900" w14:textId="5C109BC4">
      <w:pPr>
        <w:pStyle w:val="Normal"/>
        <w:rPr>
          <w:rFonts w:ascii="Calibri" w:hAnsi="Calibri" w:eastAsia="Calibri" w:cs="Calibri"/>
          <w:noProof w:val="0"/>
          <w:sz w:val="24"/>
          <w:szCs w:val="24"/>
          <w:lang w:val="en-US"/>
        </w:rPr>
      </w:pPr>
    </w:p>
    <w:p w:rsidR="66393FDB" w:rsidP="66393FDB" w:rsidRDefault="66393FDB" w14:paraId="45A58B52" w14:textId="18D41944">
      <w:pPr>
        <w:pStyle w:val="Normal"/>
        <w:rPr>
          <w:rFonts w:ascii="Calibri" w:hAnsi="Calibri" w:eastAsia="Calibri" w:cs="Calibri"/>
          <w:noProof w:val="0"/>
          <w:sz w:val="24"/>
          <w:szCs w:val="24"/>
          <w:lang w:val="en-US"/>
        </w:rPr>
      </w:pPr>
    </w:p>
    <w:p w:rsidR="66393FDB" w:rsidP="66393FDB" w:rsidRDefault="66393FDB" w14:paraId="1541E0DF" w14:textId="4086DE3F">
      <w:pPr>
        <w:pStyle w:val="Normal"/>
        <w:rPr>
          <w:rFonts w:ascii="Calibri" w:hAnsi="Calibri" w:eastAsia="Calibri" w:cs="Calibri"/>
          <w:noProof w:val="0"/>
          <w:sz w:val="24"/>
          <w:szCs w:val="24"/>
          <w:lang w:val="en-US"/>
        </w:rPr>
      </w:pPr>
    </w:p>
    <w:p w:rsidR="66393FDB" w:rsidP="66393FDB" w:rsidRDefault="66393FDB" w14:paraId="19AF15C5" w14:textId="2D1C2C1D">
      <w:pPr>
        <w:pStyle w:val="Normal"/>
        <w:rPr>
          <w:rFonts w:ascii="Calibri" w:hAnsi="Calibri" w:eastAsia="Calibri" w:cs="Calibri"/>
          <w:noProof w:val="0"/>
          <w:sz w:val="24"/>
          <w:szCs w:val="24"/>
          <w:lang w:val="en-US"/>
        </w:rPr>
      </w:pPr>
    </w:p>
    <w:p w:rsidR="66393FDB" w:rsidP="66393FDB" w:rsidRDefault="66393FDB" w14:paraId="38AB405C" w14:textId="73747CEE">
      <w:pPr>
        <w:pStyle w:val="Normal"/>
        <w:rPr>
          <w:rFonts w:ascii="Calibri" w:hAnsi="Calibri" w:eastAsia="Calibri" w:cs="Calibri"/>
          <w:noProof w:val="0"/>
          <w:sz w:val="24"/>
          <w:szCs w:val="24"/>
          <w:lang w:val="en-US"/>
        </w:rPr>
      </w:pPr>
    </w:p>
    <w:p w:rsidR="66393FDB" w:rsidP="66393FDB" w:rsidRDefault="66393FDB" w14:paraId="19729B8B" w14:textId="0C7D6825">
      <w:pPr>
        <w:pStyle w:val="Normal"/>
        <w:rPr>
          <w:rFonts w:ascii="Calibri" w:hAnsi="Calibri" w:eastAsia="Calibri" w:cs="Calibri"/>
          <w:noProof w:val="0"/>
          <w:sz w:val="24"/>
          <w:szCs w:val="24"/>
          <w:lang w:val="en-US"/>
        </w:rPr>
      </w:pPr>
    </w:p>
    <w:p w:rsidR="66393FDB" w:rsidP="66393FDB" w:rsidRDefault="66393FDB" w14:paraId="1D182E6A" w14:textId="26A9C928">
      <w:pPr>
        <w:pStyle w:val="Normal"/>
        <w:rPr>
          <w:rFonts w:ascii="Calibri" w:hAnsi="Calibri" w:eastAsia="Calibri" w:cs="Calibri"/>
          <w:noProof w:val="0"/>
          <w:sz w:val="24"/>
          <w:szCs w:val="24"/>
          <w:lang w:val="en-US"/>
        </w:rPr>
      </w:pPr>
    </w:p>
    <w:p w:rsidR="66393FDB" w:rsidP="66393FDB" w:rsidRDefault="66393FDB" w14:paraId="76791949" w14:textId="0545BA56">
      <w:pPr>
        <w:pStyle w:val="Normal"/>
        <w:rPr>
          <w:rFonts w:ascii="Calibri" w:hAnsi="Calibri" w:eastAsia="Calibri" w:cs="Calibri"/>
          <w:noProof w:val="0"/>
          <w:sz w:val="24"/>
          <w:szCs w:val="24"/>
          <w:lang w:val="en-US"/>
        </w:rPr>
      </w:pPr>
    </w:p>
    <w:p w:rsidR="66393FDB" w:rsidP="66393FDB" w:rsidRDefault="66393FDB" w14:paraId="340DFE41" w14:textId="7BB27756">
      <w:pPr>
        <w:pStyle w:val="Normal"/>
        <w:rPr>
          <w:rFonts w:ascii="Calibri" w:hAnsi="Calibri" w:eastAsia="Calibri" w:cs="Calibri"/>
          <w:noProof w:val="0"/>
          <w:sz w:val="24"/>
          <w:szCs w:val="24"/>
          <w:lang w:val="en-US"/>
        </w:rPr>
      </w:pPr>
    </w:p>
    <w:p w:rsidR="66393FDB" w:rsidP="66393FDB" w:rsidRDefault="66393FDB" w14:paraId="12352CF3" w14:textId="734AA01A">
      <w:pPr>
        <w:pStyle w:val="Normal"/>
        <w:rPr>
          <w:rFonts w:ascii="Calibri" w:hAnsi="Calibri" w:eastAsia="Calibri" w:cs="Calibri"/>
          <w:noProof w:val="0"/>
          <w:sz w:val="24"/>
          <w:szCs w:val="24"/>
          <w:lang w:val="en-US"/>
        </w:rPr>
      </w:pPr>
    </w:p>
    <w:p w:rsidR="6B4605EB" w:rsidP="66393FDB" w:rsidRDefault="6B4605EB" w14:paraId="290629CA" w14:textId="2D7F44B7">
      <w:pPr>
        <w:pStyle w:val="Heading1"/>
      </w:pPr>
      <w:r w:rsidRPr="66393FDB" w:rsidR="6B4605EB">
        <w:rPr>
          <w:rFonts w:ascii="Calibri" w:hAnsi="Calibri" w:eastAsia="Calibri" w:cs="Calibri" w:asciiTheme="minorAscii" w:hAnsiTheme="minorAscii" w:eastAsiaTheme="minorAscii" w:cstheme="minorAscii"/>
          <w:b w:val="1"/>
          <w:bCs w:val="1"/>
          <w:noProof w:val="0"/>
          <w:color w:val="auto"/>
          <w:sz w:val="24"/>
          <w:szCs w:val="24"/>
          <w:lang w:val="en-US"/>
        </w:rPr>
        <w:t>12 Afatinib is an oral, irreversible tyrosine kinase inhibitor</w:t>
      </w:r>
    </w:p>
    <w:p w:rsidR="66393FDB" w:rsidP="66393FDB" w:rsidRDefault="66393FDB" w14:paraId="2BE09825" w14:textId="51149564">
      <w:pPr>
        <w:pStyle w:val="Normal"/>
        <w:rPr>
          <w:noProof w:val="0"/>
          <w:lang w:val="en-US"/>
        </w:rPr>
      </w:pPr>
    </w:p>
    <w:p w:rsidR="6B4605EB" w:rsidP="66393FDB" w:rsidRDefault="6B4605EB" w14:paraId="7F367C0E" w14:textId="14B91F4E">
      <w:pPr>
        <w:spacing w:line="300" w:lineRule="auto"/>
        <w:rPr>
          <w:rFonts w:ascii="Segoe UI" w:hAnsi="Segoe UI" w:eastAsia="Segoe UI" w:cs="Segoe UI"/>
          <w:b w:val="0"/>
          <w:bCs w:val="0"/>
          <w:i w:val="0"/>
          <w:iCs w:val="0"/>
          <w:noProof w:val="0"/>
          <w:sz w:val="21"/>
          <w:szCs w:val="21"/>
          <w:lang w:val="en-US"/>
        </w:rPr>
      </w:pPr>
      <w:r w:rsidRPr="66393FDB" w:rsidR="6B4605EB">
        <w:rPr>
          <w:rFonts w:ascii="Segoe UI" w:hAnsi="Segoe UI" w:eastAsia="Segoe UI" w:cs="Segoe UI"/>
          <w:b w:val="0"/>
          <w:bCs w:val="0"/>
          <w:i w:val="0"/>
          <w:iCs w:val="0"/>
          <w:noProof w:val="0"/>
          <w:sz w:val="21"/>
          <w:szCs w:val="21"/>
          <w:lang w:val="en-US"/>
        </w:rPr>
        <w:t xml:space="preserve">Afatinib is an oral, irreversible tyrosine kinase inhibitor (TKI) used primarily in the treatment of non-small cell lung cancer (NSCLC) with specific epidermal growth factor receptor (EGFR) mutations. It belongs to the second generation of EGFR inhibitors and works by covalently binding to and inhibiting the </w:t>
      </w:r>
      <w:r w:rsidRPr="66393FDB" w:rsidR="6B4605EB">
        <w:rPr>
          <w:rFonts w:ascii="Segoe UI" w:hAnsi="Segoe UI" w:eastAsia="Segoe UI" w:cs="Segoe UI"/>
          <w:b w:val="0"/>
          <w:bCs w:val="0"/>
          <w:i w:val="0"/>
          <w:iCs w:val="0"/>
          <w:noProof w:val="0"/>
          <w:sz w:val="21"/>
          <w:szCs w:val="21"/>
          <w:lang w:val="en-US"/>
        </w:rPr>
        <w:t>ErbB</w:t>
      </w:r>
      <w:r w:rsidRPr="66393FDB" w:rsidR="6B4605EB">
        <w:rPr>
          <w:rFonts w:ascii="Segoe UI" w:hAnsi="Segoe UI" w:eastAsia="Segoe UI" w:cs="Segoe UI"/>
          <w:b w:val="0"/>
          <w:bCs w:val="0"/>
          <w:i w:val="0"/>
          <w:iCs w:val="0"/>
          <w:noProof w:val="0"/>
          <w:sz w:val="21"/>
          <w:szCs w:val="21"/>
          <w:lang w:val="en-US"/>
        </w:rPr>
        <w:t xml:space="preserve"> family of receptors, including EGFR (ErbB1), HER2 (ErbB2), and ErbB4, thereby blocking downstream signaling pathways involved in tumor cell proliferation and survival. Afatinib is commonly </w:t>
      </w:r>
      <w:r w:rsidRPr="66393FDB" w:rsidR="6B4605EB">
        <w:rPr>
          <w:rFonts w:ascii="Segoe UI" w:hAnsi="Segoe UI" w:eastAsia="Segoe UI" w:cs="Segoe UI"/>
          <w:b w:val="0"/>
          <w:bCs w:val="0"/>
          <w:i w:val="0"/>
          <w:iCs w:val="0"/>
          <w:noProof w:val="0"/>
          <w:sz w:val="21"/>
          <w:szCs w:val="21"/>
          <w:lang w:val="en-US"/>
        </w:rPr>
        <w:t>indicated</w:t>
      </w:r>
      <w:r w:rsidRPr="66393FDB" w:rsidR="6B4605EB">
        <w:rPr>
          <w:rFonts w:ascii="Segoe UI" w:hAnsi="Segoe UI" w:eastAsia="Segoe UI" w:cs="Segoe UI"/>
          <w:b w:val="0"/>
          <w:bCs w:val="0"/>
          <w:i w:val="0"/>
          <w:iCs w:val="0"/>
          <w:noProof w:val="0"/>
          <w:sz w:val="21"/>
          <w:szCs w:val="21"/>
          <w:lang w:val="en-US"/>
        </w:rPr>
        <w:t xml:space="preserve"> for first-line treatment of patients with metastatic NSCLC harboring non-resistant EGFR mutations such as exon 19 deletions or exon 21 (L858R) substitution mutations. It is administered orally once daily under fasting conditions to </w:t>
      </w:r>
      <w:r w:rsidRPr="66393FDB" w:rsidR="6B4605EB">
        <w:rPr>
          <w:rFonts w:ascii="Segoe UI" w:hAnsi="Segoe UI" w:eastAsia="Segoe UI" w:cs="Segoe UI"/>
          <w:b w:val="0"/>
          <w:bCs w:val="0"/>
          <w:i w:val="0"/>
          <w:iCs w:val="0"/>
          <w:noProof w:val="0"/>
          <w:sz w:val="21"/>
          <w:szCs w:val="21"/>
          <w:lang w:val="en-US"/>
        </w:rPr>
        <w:t>optimize</w:t>
      </w:r>
      <w:r w:rsidRPr="66393FDB" w:rsidR="6B4605EB">
        <w:rPr>
          <w:rFonts w:ascii="Segoe UI" w:hAnsi="Segoe UI" w:eastAsia="Segoe UI" w:cs="Segoe UI"/>
          <w:b w:val="0"/>
          <w:bCs w:val="0"/>
          <w:i w:val="0"/>
          <w:iCs w:val="0"/>
          <w:noProof w:val="0"/>
          <w:sz w:val="21"/>
          <w:szCs w:val="21"/>
          <w:lang w:val="en-US"/>
        </w:rPr>
        <w:t xml:space="preserve"> absorption. Clinical trials have </w:t>
      </w:r>
      <w:r w:rsidRPr="66393FDB" w:rsidR="6B4605EB">
        <w:rPr>
          <w:rFonts w:ascii="Segoe UI" w:hAnsi="Segoe UI" w:eastAsia="Segoe UI" w:cs="Segoe UI"/>
          <w:b w:val="0"/>
          <w:bCs w:val="0"/>
          <w:i w:val="0"/>
          <w:iCs w:val="0"/>
          <w:noProof w:val="0"/>
          <w:sz w:val="21"/>
          <w:szCs w:val="21"/>
          <w:lang w:val="en-US"/>
        </w:rPr>
        <w:t>demonstrated</w:t>
      </w:r>
      <w:r w:rsidRPr="66393FDB" w:rsidR="6B4605EB">
        <w:rPr>
          <w:rFonts w:ascii="Segoe UI" w:hAnsi="Segoe UI" w:eastAsia="Segoe UI" w:cs="Segoe UI"/>
          <w:b w:val="0"/>
          <w:bCs w:val="0"/>
          <w:i w:val="0"/>
          <w:iCs w:val="0"/>
          <w:noProof w:val="0"/>
          <w:sz w:val="21"/>
          <w:szCs w:val="21"/>
          <w:lang w:val="en-US"/>
        </w:rPr>
        <w:t xml:space="preserve"> that afatinib improves progression-free survival compared to chemotherapy in EGFR mutation-positive patients. However, its use is associated with adverse effects, most notably diarrhea, rash/acneiform dermatitis, stomatitis, and paronychia, which may require dose modification or supportive care. Dose adjustments are often necessary based on tolerability and patient-specific factors. Resistance to afatinib can develop, often due to secondary mutations such as T790M, for which third-generation inhibitors like osimertinib may be preferred. Overall, afatinib plays a key role in targeted therapy for EGFR-mutant NSCLC, offering a personalized treatment approach with improved clinical outcomes compared to conventional chemotherapy</w:t>
      </w:r>
      <w:r w:rsidRPr="66393FDB" w:rsidR="366D7A4D">
        <w:rPr>
          <w:rFonts w:ascii="Segoe UI" w:hAnsi="Segoe UI" w:eastAsia="Segoe UI" w:cs="Segoe UI"/>
          <w:b w:val="0"/>
          <w:bCs w:val="0"/>
          <w:i w:val="0"/>
          <w:iCs w:val="0"/>
          <w:noProof w:val="0"/>
          <w:sz w:val="21"/>
          <w:szCs w:val="21"/>
          <w:lang w:val="en-US"/>
        </w:rPr>
        <w:t xml:space="preserve"> see </w:t>
      </w:r>
      <w:r w:rsidRPr="66393FDB" w:rsidR="366D7A4D">
        <w:rPr>
          <w:rFonts w:ascii="Segoe UI" w:hAnsi="Segoe UI" w:eastAsia="Segoe UI" w:cs="Segoe UI"/>
          <w:b w:val="0"/>
          <w:bCs w:val="0"/>
          <w:i w:val="0"/>
          <w:iCs w:val="0"/>
          <w:noProof w:val="0"/>
          <w:sz w:val="21"/>
          <w:szCs w:val="21"/>
          <w:highlight w:val="yellow"/>
          <w:lang w:val="en-US"/>
        </w:rPr>
        <w:t>Figure 1</w:t>
      </w:r>
      <w:r w:rsidRPr="66393FDB" w:rsidR="366D7A4D">
        <w:rPr>
          <w:rFonts w:ascii="Segoe UI" w:hAnsi="Segoe UI" w:eastAsia="Segoe UI" w:cs="Segoe UI"/>
          <w:b w:val="0"/>
          <w:bCs w:val="0"/>
          <w:i w:val="0"/>
          <w:iCs w:val="0"/>
          <w:noProof w:val="0"/>
          <w:sz w:val="21"/>
          <w:szCs w:val="21"/>
          <w:lang w:val="en-US"/>
        </w:rPr>
        <w:t>.</w:t>
      </w:r>
    </w:p>
    <w:p w:rsidR="66393FDB" w:rsidP="66393FDB" w:rsidRDefault="66393FDB" w14:paraId="517785E0" w14:textId="71828A57">
      <w:pPr>
        <w:pStyle w:val="Normal"/>
        <w:rPr>
          <w:noProof w:val="0"/>
          <w:lang w:val="en-US"/>
        </w:rPr>
      </w:pPr>
    </w:p>
    <w:p w:rsidR="66393FDB" w:rsidP="66393FDB" w:rsidRDefault="66393FDB" w14:paraId="71DDBA88" w14:textId="6364EE50">
      <w:pPr>
        <w:pStyle w:val="Normal"/>
        <w:rPr>
          <w:rFonts w:ascii="Calibri" w:hAnsi="Calibri" w:eastAsia="Calibri" w:cs="Calibri"/>
          <w:noProof w:val="0"/>
          <w:sz w:val="24"/>
          <w:szCs w:val="24"/>
          <w:lang w:val="en-US"/>
        </w:rPr>
      </w:pPr>
    </w:p>
    <w:p w:rsidR="66393FDB" w:rsidP="66393FDB" w:rsidRDefault="66393FDB" w14:paraId="69248622" w14:textId="163EA719">
      <w:pPr>
        <w:pStyle w:val="Normal"/>
        <w:rPr>
          <w:rFonts w:ascii="Calibri" w:hAnsi="Calibri" w:eastAsia="Calibri" w:cs="Calibri"/>
          <w:noProof w:val="0"/>
          <w:sz w:val="24"/>
          <w:szCs w:val="24"/>
          <w:lang w:val="en-US"/>
        </w:rPr>
      </w:pPr>
    </w:p>
    <w:p w:rsidR="66393FDB" w:rsidP="66393FDB" w:rsidRDefault="66393FDB" w14:paraId="03AEF2F2" w14:textId="300FAF56">
      <w:pPr>
        <w:pStyle w:val="Normal"/>
        <w:rPr>
          <w:rFonts w:ascii="Calibri" w:hAnsi="Calibri" w:eastAsia="Calibri" w:cs="Calibri"/>
          <w:noProof w:val="0"/>
          <w:sz w:val="24"/>
          <w:szCs w:val="24"/>
          <w:lang w:val="en-US"/>
        </w:rPr>
      </w:pPr>
    </w:p>
    <w:p w:rsidR="66393FDB" w:rsidP="66393FDB" w:rsidRDefault="66393FDB" w14:paraId="4974E0F6" w14:textId="461B5EEB">
      <w:pPr>
        <w:pStyle w:val="Normal"/>
        <w:rPr>
          <w:rFonts w:ascii="Calibri" w:hAnsi="Calibri" w:eastAsia="Calibri" w:cs="Calibri"/>
          <w:noProof w:val="0"/>
          <w:sz w:val="24"/>
          <w:szCs w:val="24"/>
          <w:lang w:val="en-US"/>
        </w:rPr>
      </w:pPr>
    </w:p>
    <w:p w:rsidR="66393FDB" w:rsidP="66393FDB" w:rsidRDefault="66393FDB" w14:paraId="7DB64ED9" w14:textId="5D881500">
      <w:pPr>
        <w:pStyle w:val="Normal"/>
        <w:rPr>
          <w:rFonts w:ascii="Calibri" w:hAnsi="Calibri" w:eastAsia="Calibri" w:cs="Calibri"/>
          <w:noProof w:val="0"/>
          <w:sz w:val="24"/>
          <w:szCs w:val="24"/>
          <w:lang w:val="en-US"/>
        </w:rPr>
      </w:pPr>
    </w:p>
    <w:p w:rsidR="66393FDB" w:rsidP="66393FDB" w:rsidRDefault="66393FDB" w14:paraId="05885686" w14:textId="1531F426">
      <w:pPr>
        <w:pStyle w:val="Normal"/>
        <w:rPr>
          <w:rFonts w:ascii="Calibri" w:hAnsi="Calibri" w:eastAsia="Calibri" w:cs="Calibri"/>
          <w:noProof w:val="0"/>
          <w:sz w:val="24"/>
          <w:szCs w:val="24"/>
          <w:lang w:val="en-US"/>
        </w:rPr>
      </w:pPr>
    </w:p>
    <w:p w:rsidR="66393FDB" w:rsidP="66393FDB" w:rsidRDefault="66393FDB" w14:paraId="23A183AB" w14:textId="1902E998">
      <w:pPr>
        <w:pStyle w:val="Normal"/>
        <w:rPr>
          <w:rFonts w:ascii="Calibri" w:hAnsi="Calibri" w:eastAsia="Calibri" w:cs="Calibri"/>
          <w:noProof w:val="0"/>
          <w:sz w:val="24"/>
          <w:szCs w:val="24"/>
          <w:lang w:val="en-US"/>
        </w:rPr>
      </w:pPr>
    </w:p>
    <w:p w:rsidR="66393FDB" w:rsidP="66393FDB" w:rsidRDefault="66393FDB" w14:paraId="6B4A41DE" w14:textId="7373228C">
      <w:pPr>
        <w:pStyle w:val="Normal"/>
        <w:rPr>
          <w:rFonts w:ascii="Calibri" w:hAnsi="Calibri" w:eastAsia="Calibri" w:cs="Calibri"/>
          <w:noProof w:val="0"/>
          <w:sz w:val="24"/>
          <w:szCs w:val="24"/>
          <w:lang w:val="en-US"/>
        </w:rPr>
      </w:pPr>
    </w:p>
    <w:p w:rsidR="66393FDB" w:rsidP="66393FDB" w:rsidRDefault="66393FDB" w14:paraId="7ECED473" w14:textId="61736CFC">
      <w:pPr>
        <w:pStyle w:val="Normal"/>
        <w:rPr>
          <w:rFonts w:ascii="Calibri" w:hAnsi="Calibri" w:eastAsia="Calibri" w:cs="Calibri"/>
          <w:noProof w:val="0"/>
          <w:sz w:val="24"/>
          <w:szCs w:val="24"/>
          <w:lang w:val="en-US"/>
        </w:rPr>
      </w:pPr>
    </w:p>
    <w:p w:rsidR="66393FDB" w:rsidP="66393FDB" w:rsidRDefault="66393FDB" w14:paraId="6FB5193B" w14:textId="12F3DBF7">
      <w:pPr>
        <w:pStyle w:val="Normal"/>
        <w:rPr>
          <w:rFonts w:ascii="Calibri" w:hAnsi="Calibri" w:eastAsia="Calibri" w:cs="Calibri"/>
          <w:noProof w:val="0"/>
          <w:sz w:val="24"/>
          <w:szCs w:val="24"/>
          <w:lang w:val="en-US"/>
        </w:rPr>
      </w:pPr>
    </w:p>
    <w:p w:rsidR="66393FDB" w:rsidP="66393FDB" w:rsidRDefault="66393FDB" w14:paraId="76449330" w14:textId="5D2A7479">
      <w:pPr>
        <w:pStyle w:val="Normal"/>
        <w:rPr>
          <w:rFonts w:ascii="Calibri" w:hAnsi="Calibri" w:eastAsia="Calibri" w:cs="Calibri"/>
          <w:noProof w:val="0"/>
          <w:sz w:val="24"/>
          <w:szCs w:val="24"/>
          <w:lang w:val="en-US"/>
        </w:rPr>
      </w:pPr>
    </w:p>
    <w:p w:rsidR="6B4605EB" w:rsidP="66393FDB" w:rsidRDefault="6B4605EB" w14:paraId="280E6564" w14:textId="193E9787">
      <w:pPr>
        <w:pStyle w:val="Heading1"/>
        <w:rPr>
          <w:b w:val="1"/>
          <w:bCs w:val="1"/>
          <w:noProof w:val="0"/>
          <w:color w:val="auto"/>
          <w:sz w:val="24"/>
          <w:szCs w:val="24"/>
          <w:lang w:val="en-US"/>
        </w:rPr>
      </w:pPr>
      <w:r w:rsidRPr="66393FDB" w:rsidR="6B4605EB">
        <w:rPr>
          <w:b w:val="1"/>
          <w:bCs w:val="1"/>
          <w:noProof w:val="0"/>
          <w:color w:val="auto"/>
          <w:sz w:val="24"/>
          <w:szCs w:val="24"/>
          <w:lang w:val="en-US"/>
        </w:rPr>
        <w:t>1</w:t>
      </w:r>
      <w:r w:rsidRPr="66393FDB" w:rsidR="2C00D43F">
        <w:rPr>
          <w:b w:val="1"/>
          <w:bCs w:val="1"/>
          <w:noProof w:val="0"/>
          <w:color w:val="auto"/>
          <w:sz w:val="24"/>
          <w:szCs w:val="24"/>
          <w:lang w:val="en-US"/>
        </w:rPr>
        <w:t>3</w:t>
      </w:r>
      <w:r w:rsidRPr="66393FDB" w:rsidR="6B4605EB">
        <w:rPr>
          <w:b w:val="1"/>
          <w:bCs w:val="1"/>
          <w:noProof w:val="0"/>
          <w:color w:val="auto"/>
          <w:sz w:val="24"/>
          <w:szCs w:val="24"/>
          <w:lang w:val="en-US"/>
        </w:rPr>
        <w:t xml:space="preserve"> Figures</w:t>
      </w:r>
    </w:p>
    <w:p w:rsidR="66393FDB" w:rsidP="66393FDB" w:rsidRDefault="66393FDB" w14:paraId="7E369EEE" w14:textId="50E0590D">
      <w:pPr>
        <w:pStyle w:val="Normal"/>
        <w:rPr>
          <w:noProof w:val="0"/>
          <w:lang w:val="en-US"/>
        </w:rPr>
      </w:pPr>
    </w:p>
    <w:p w:rsidR="5FFF6806" w:rsidP="66393FDB" w:rsidRDefault="5FFF6806" w14:paraId="14AE369E" w14:textId="12CA2B29">
      <w:pPr>
        <w:pStyle w:val="Normal"/>
      </w:pPr>
      <w:r w:rsidRPr="66393FDB" w:rsidR="5FFF6806">
        <w:rPr>
          <w:noProof w:val="0"/>
          <w:lang w:val="en-US"/>
        </w:rPr>
        <w:t>Figure 1 Afatinib Structure</w:t>
      </w:r>
    </w:p>
    <w:p w:rsidR="66393FDB" w:rsidP="66393FDB" w:rsidRDefault="66393FDB" w14:paraId="1D3AB127" w14:textId="45FD635E">
      <w:pPr>
        <w:pStyle w:val="Normal"/>
        <w:rPr>
          <w:noProof w:val="0"/>
          <w:lang w:val="en-US"/>
        </w:rPr>
      </w:pPr>
    </w:p>
    <w:p w:rsidR="5FFF6806" w:rsidP="66393FDB" w:rsidRDefault="5FFF6806" w14:paraId="520428D5" w14:textId="22C77E5A">
      <w:pPr>
        <w:pStyle w:val="Normal"/>
      </w:pPr>
      <w:r w:rsidR="5FFF6806">
        <w:drawing>
          <wp:inline wp14:editId="65CA3034" wp14:anchorId="4ED098EE">
            <wp:extent cx="4420217" cy="2038635"/>
            <wp:effectExtent l="0" t="0" r="0" b="0"/>
            <wp:docPr id="13770469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7046993" name="Picture 1377046993"/>
                    <pic:cNvPicPr/>
                  </pic:nvPicPr>
                  <pic:blipFill>
                    <a:blip xmlns:r="http://schemas.openxmlformats.org/officeDocument/2006/relationships" r:embed="rId588192271">
                      <a:extLst>
                        <a:ext uri="{28A0092B-C50C-407E-A947-70E740481C1C}">
                          <a14:useLocalDpi xmlns:a14="http://schemas.microsoft.com/office/drawing/2010/main"/>
                        </a:ext>
                      </a:extLst>
                    </a:blip>
                    <a:stretch>
                      <a:fillRect/>
                    </a:stretch>
                  </pic:blipFill>
                  <pic:spPr>
                    <a:xfrm>
                      <a:off x="0" y="0"/>
                      <a:ext cx="4420217" cy="2038635"/>
                    </a:xfrm>
                    <a:prstGeom prst="rect">
                      <a:avLst/>
                    </a:prstGeom>
                  </pic:spPr>
                </pic:pic>
              </a:graphicData>
            </a:graphic>
          </wp:inline>
        </w:drawing>
      </w:r>
    </w:p>
    <w:p w:rsidR="66393FDB" w:rsidP="66393FDB" w:rsidRDefault="66393FDB" w14:paraId="386F0F06" w14:textId="3D5F34D3">
      <w:pPr>
        <w:pStyle w:val="Normal"/>
        <w:rPr>
          <w:rFonts w:ascii="Calibri" w:hAnsi="Calibri" w:eastAsia="Calibri" w:cs="Calibri"/>
          <w:noProof w:val="0"/>
          <w:sz w:val="24"/>
          <w:szCs w:val="24"/>
          <w:lang w:val="en-US"/>
        </w:rPr>
      </w:pPr>
    </w:p>
    <w:p w:rsidR="66393FDB" w:rsidP="66393FDB" w:rsidRDefault="66393FDB" w14:paraId="47C9C429" w14:textId="091CEFB0">
      <w:pPr>
        <w:pStyle w:val="Normal"/>
        <w:rPr>
          <w:rFonts w:ascii="Calibri" w:hAnsi="Calibri" w:eastAsia="Calibri" w:cs="Calibri"/>
          <w:noProof w:val="0"/>
          <w:sz w:val="24"/>
          <w:szCs w:val="24"/>
          <w:lang w:val="en-US"/>
        </w:rPr>
      </w:pPr>
    </w:p>
    <w:p w:rsidR="66393FDB" w:rsidP="66393FDB" w:rsidRDefault="66393FDB" w14:paraId="7840451C" w14:textId="4D93141D">
      <w:pPr>
        <w:pStyle w:val="Normal"/>
        <w:rPr>
          <w:rFonts w:ascii="Calibri" w:hAnsi="Calibri" w:eastAsia="Calibri" w:cs="Calibri"/>
          <w:noProof w:val="0"/>
          <w:sz w:val="24"/>
          <w:szCs w:val="24"/>
          <w:lang w:val="en-US"/>
        </w:rPr>
      </w:pPr>
    </w:p>
    <w:p w:rsidR="66393FDB" w:rsidP="66393FDB" w:rsidRDefault="66393FDB" w14:paraId="2774C8F8" w14:textId="64D47CA7">
      <w:pPr>
        <w:pStyle w:val="Normal"/>
        <w:rPr>
          <w:rFonts w:ascii="Calibri" w:hAnsi="Calibri" w:eastAsia="Calibri" w:cs="Calibri"/>
          <w:noProof w:val="0"/>
          <w:sz w:val="24"/>
          <w:szCs w:val="24"/>
          <w:lang w:val="en-US"/>
        </w:rPr>
      </w:pPr>
    </w:p>
    <w:p w:rsidR="66393FDB" w:rsidP="66393FDB" w:rsidRDefault="66393FDB" w14:paraId="269F6796" w14:textId="11D778F8">
      <w:pPr>
        <w:pStyle w:val="Normal"/>
        <w:rPr>
          <w:rFonts w:ascii="Calibri" w:hAnsi="Calibri" w:eastAsia="Calibri" w:cs="Calibri"/>
          <w:noProof w:val="0"/>
          <w:sz w:val="24"/>
          <w:szCs w:val="24"/>
          <w:lang w:val="en-US"/>
        </w:rPr>
      </w:pPr>
    </w:p>
    <w:p w:rsidR="66393FDB" w:rsidP="66393FDB" w:rsidRDefault="66393FDB" w14:paraId="6DA9F2AE" w14:textId="3869CE31">
      <w:pPr>
        <w:pStyle w:val="Normal"/>
        <w:rPr>
          <w:rFonts w:ascii="Calibri" w:hAnsi="Calibri" w:eastAsia="Calibri" w:cs="Calibri"/>
          <w:noProof w:val="0"/>
          <w:sz w:val="24"/>
          <w:szCs w:val="24"/>
          <w:lang w:val="en-US"/>
        </w:rPr>
      </w:pPr>
    </w:p>
    <w:p w:rsidR="66393FDB" w:rsidP="66393FDB" w:rsidRDefault="66393FDB" w14:paraId="7D37F3D2" w14:textId="524C1AFB">
      <w:pPr>
        <w:pStyle w:val="Normal"/>
        <w:rPr>
          <w:rFonts w:ascii="Calibri" w:hAnsi="Calibri" w:eastAsia="Calibri" w:cs="Calibri"/>
          <w:noProof w:val="0"/>
          <w:sz w:val="24"/>
          <w:szCs w:val="24"/>
          <w:lang w:val="en-US"/>
        </w:rPr>
      </w:pPr>
    </w:p>
    <w:p w:rsidR="66393FDB" w:rsidP="66393FDB" w:rsidRDefault="66393FDB" w14:paraId="6787132A" w14:textId="74DFC2F2">
      <w:pPr>
        <w:pStyle w:val="Normal"/>
        <w:rPr>
          <w:rFonts w:ascii="Calibri" w:hAnsi="Calibri" w:eastAsia="Calibri" w:cs="Calibri"/>
          <w:noProof w:val="0"/>
          <w:sz w:val="24"/>
          <w:szCs w:val="24"/>
          <w:lang w:val="en-US"/>
        </w:rPr>
      </w:pPr>
    </w:p>
    <w:p w:rsidR="66393FDB" w:rsidP="66393FDB" w:rsidRDefault="66393FDB" w14:paraId="451FEED0" w14:textId="6EB441EE">
      <w:pPr>
        <w:pStyle w:val="Normal"/>
        <w:rPr>
          <w:rFonts w:ascii="Calibri" w:hAnsi="Calibri" w:eastAsia="Calibri" w:cs="Calibri"/>
          <w:noProof w:val="0"/>
          <w:sz w:val="24"/>
          <w:szCs w:val="24"/>
          <w:lang w:val="en-US"/>
        </w:rPr>
      </w:pPr>
    </w:p>
    <w:p w:rsidR="66393FDB" w:rsidP="66393FDB" w:rsidRDefault="66393FDB" w14:paraId="16291A2F" w14:textId="23CCE8EF">
      <w:pPr>
        <w:pStyle w:val="Normal"/>
        <w:rPr>
          <w:rFonts w:ascii="Calibri" w:hAnsi="Calibri" w:eastAsia="Calibri" w:cs="Calibri"/>
          <w:noProof w:val="0"/>
          <w:sz w:val="24"/>
          <w:szCs w:val="24"/>
          <w:lang w:val="en-US"/>
        </w:rPr>
      </w:pPr>
    </w:p>
    <w:p w:rsidR="66393FDB" w:rsidP="66393FDB" w:rsidRDefault="66393FDB" w14:paraId="10102A84" w14:textId="104781C3">
      <w:pPr>
        <w:pStyle w:val="Normal"/>
        <w:rPr>
          <w:rFonts w:ascii="Calibri" w:hAnsi="Calibri" w:eastAsia="Calibri" w:cs="Calibri"/>
          <w:noProof w:val="0"/>
          <w:sz w:val="24"/>
          <w:szCs w:val="24"/>
          <w:lang w:val="en-US"/>
        </w:rPr>
      </w:pPr>
    </w:p>
    <w:p w:rsidR="66393FDB" w:rsidP="66393FDB" w:rsidRDefault="66393FDB" w14:paraId="20E0C06E" w14:textId="5A24877C">
      <w:pPr>
        <w:pStyle w:val="Normal"/>
        <w:rPr>
          <w:rFonts w:ascii="Calibri" w:hAnsi="Calibri" w:eastAsia="Calibri" w:cs="Calibri"/>
          <w:noProof w:val="0"/>
          <w:sz w:val="24"/>
          <w:szCs w:val="24"/>
          <w:lang w:val="en-US"/>
        </w:rPr>
      </w:pPr>
    </w:p>
    <w:p w:rsidR="66393FDB" w:rsidP="66393FDB" w:rsidRDefault="66393FDB" w14:paraId="03950059" w14:textId="5AD535C4">
      <w:pPr>
        <w:pStyle w:val="Normal"/>
        <w:rPr>
          <w:rFonts w:ascii="Calibri" w:hAnsi="Calibri" w:eastAsia="Calibri" w:cs="Calibri"/>
          <w:noProof w:val="0"/>
          <w:sz w:val="24"/>
          <w:szCs w:val="24"/>
          <w:lang w:val="en-US"/>
        </w:rPr>
      </w:pPr>
    </w:p>
    <w:p w:rsidR="66393FDB" w:rsidP="66393FDB" w:rsidRDefault="66393FDB" w14:paraId="4295BE8B" w14:textId="0251994F">
      <w:pPr>
        <w:pStyle w:val="Normal"/>
        <w:rPr>
          <w:rFonts w:ascii="Calibri" w:hAnsi="Calibri" w:eastAsia="Calibri" w:cs="Calibri"/>
          <w:noProof w:val="0"/>
          <w:sz w:val="24"/>
          <w:szCs w:val="24"/>
          <w:lang w:val="en-US"/>
        </w:rPr>
      </w:pPr>
    </w:p>
    <w:p w:rsidR="66393FDB" w:rsidP="66393FDB" w:rsidRDefault="66393FDB" w14:paraId="2163EF4E" w14:textId="4ACCBD87">
      <w:pPr>
        <w:pStyle w:val="Normal"/>
        <w:rPr>
          <w:rFonts w:ascii="Calibri" w:hAnsi="Calibri" w:eastAsia="Calibri" w:cs="Calibri"/>
          <w:noProof w:val="0"/>
          <w:sz w:val="24"/>
          <w:szCs w:val="24"/>
          <w:lang w:val="en-US"/>
        </w:rPr>
      </w:pPr>
    </w:p>
    <w:p w:rsidR="0A6A6A6B" w:rsidP="66393FDB" w:rsidRDefault="0A6A6A6B" w14:paraId="66C1A5A8" w14:textId="1D577608">
      <w:pPr>
        <w:pStyle w:val="Heading1"/>
        <w:rPr>
          <w:rFonts w:ascii="Calibri" w:hAnsi="Calibri" w:eastAsia="Calibri" w:cs="Calibri" w:asciiTheme="minorAscii" w:hAnsiTheme="minorAscii" w:eastAsiaTheme="minorAscii" w:cstheme="minorAscii"/>
          <w:b w:val="1"/>
          <w:bCs w:val="1"/>
          <w:noProof w:val="0"/>
          <w:color w:val="auto"/>
          <w:sz w:val="24"/>
          <w:szCs w:val="24"/>
          <w:lang w:val="en-US"/>
        </w:rPr>
      </w:pPr>
      <w:r w:rsidRPr="66393FDB" w:rsidR="0A6A6A6B">
        <w:rPr>
          <w:rFonts w:ascii="Calibri" w:hAnsi="Calibri" w:eastAsia="Calibri" w:cs="Calibri" w:asciiTheme="minorAscii" w:hAnsiTheme="minorAscii" w:eastAsiaTheme="minorAscii" w:cstheme="minorAscii"/>
          <w:b w:val="1"/>
          <w:bCs w:val="1"/>
          <w:noProof w:val="0"/>
          <w:color w:val="auto"/>
          <w:sz w:val="24"/>
          <w:szCs w:val="24"/>
          <w:lang w:val="en-US"/>
        </w:rPr>
        <w:t>14 Tables</w:t>
      </w:r>
    </w:p>
    <w:p w:rsidR="66393FDB" w:rsidP="66393FDB" w:rsidRDefault="66393FDB" w14:paraId="565583F5" w14:textId="0F54D06E">
      <w:pPr>
        <w:pStyle w:val="Normal"/>
        <w:rPr>
          <w:noProof w:val="0"/>
          <w:lang w:val="en-US"/>
        </w:rPr>
      </w:pPr>
    </w:p>
    <w:p w:rsidR="56D0BF00" w:rsidP="66393FDB" w:rsidRDefault="56D0BF00" w14:paraId="62AF788D" w14:textId="7EB7C64F">
      <w:pPr>
        <w:pStyle w:val="Normal"/>
      </w:pPr>
      <w:r w:rsidRPr="66393FDB" w:rsidR="56D0BF00">
        <w:rPr>
          <w:noProof w:val="0"/>
          <w:lang w:val="en-US"/>
        </w:rPr>
        <w:t>Table 1 Dose Table</w:t>
      </w:r>
    </w:p>
    <w:p w:rsidR="66393FDB" w:rsidP="66393FDB" w:rsidRDefault="66393FDB" w14:paraId="5AF42D0F" w14:textId="124CFEAB">
      <w:pPr>
        <w:pStyle w:val="Normal"/>
        <w:rPr>
          <w:noProof w:val="0"/>
          <w:lang w:val="en-US"/>
        </w:rPr>
      </w:pPr>
    </w:p>
    <w:p w:rsidR="56D0BF00" w:rsidP="66393FDB" w:rsidRDefault="56D0BF00" w14:paraId="3D152692" w14:textId="55B229BD">
      <w:pPr>
        <w:pStyle w:val="Normal"/>
      </w:pPr>
      <w:r w:rsidR="56D0BF00">
        <w:drawing>
          <wp:inline wp14:editId="4269E280" wp14:anchorId="62CF549B">
            <wp:extent cx="5943600" cy="3648075"/>
            <wp:effectExtent l="0" t="0" r="0" b="0"/>
            <wp:docPr id="1868586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8586914" name="Picture 1868586914"/>
                    <pic:cNvPicPr/>
                  </pic:nvPicPr>
                  <pic:blipFill>
                    <a:blip xmlns:r="http://schemas.openxmlformats.org/officeDocument/2006/relationships" r:embed="rId111311177">
                      <a:extLst>
                        <a:ext uri="{28A0092B-C50C-407E-A947-70E740481C1C}">
                          <a14:useLocalDpi xmlns:a14="http://schemas.microsoft.com/office/drawing/2010/main"/>
                        </a:ext>
                      </a:extLst>
                    </a:blip>
                    <a:stretch>
                      <a:fillRect/>
                    </a:stretch>
                  </pic:blipFill>
                  <pic:spPr>
                    <a:xfrm>
                      <a:off x="0" y="0"/>
                      <a:ext cx="5943600" cy="3648075"/>
                    </a:xfrm>
                    <a:prstGeom prst="rect">
                      <a:avLst/>
                    </a:prstGeom>
                  </pic:spPr>
                </pic:pic>
              </a:graphicData>
            </a:graphic>
          </wp:inline>
        </w:drawing>
      </w:r>
    </w:p>
    <w:p w:rsidR="66393FDB" w:rsidP="66393FDB" w:rsidRDefault="66393FDB" w14:paraId="470CFB9A" w14:textId="14470174">
      <w:pPr>
        <w:pStyle w:val="Normal"/>
        <w:rPr>
          <w:rFonts w:ascii="Calibri" w:hAnsi="Calibri" w:eastAsia="Calibri" w:cs="Calibri"/>
          <w:noProof w:val="0"/>
          <w:sz w:val="24"/>
          <w:szCs w:val="24"/>
          <w:lang w:val="en-US"/>
        </w:rPr>
      </w:pPr>
    </w:p>
    <w:p w:rsidR="66393FDB" w:rsidP="66393FDB" w:rsidRDefault="66393FDB" w14:paraId="05605755" w14:textId="2C97C9E9">
      <w:pPr>
        <w:pStyle w:val="Normal"/>
        <w:rPr>
          <w:rFonts w:ascii="Calibri" w:hAnsi="Calibri" w:eastAsia="Calibri" w:cs="Calibri"/>
          <w:noProof w:val="0"/>
          <w:sz w:val="24"/>
          <w:szCs w:val="24"/>
          <w:lang w:val="en-US"/>
        </w:rPr>
      </w:pPr>
    </w:p>
    <w:p w:rsidR="66393FDB" w:rsidP="66393FDB" w:rsidRDefault="66393FDB" w14:paraId="033DC775" w14:textId="60DFE8D2">
      <w:pPr>
        <w:pStyle w:val="Normal"/>
        <w:rPr>
          <w:rFonts w:ascii="Calibri" w:hAnsi="Calibri" w:eastAsia="Calibri" w:cs="Calibri"/>
          <w:noProof w:val="0"/>
          <w:sz w:val="24"/>
          <w:szCs w:val="24"/>
          <w:lang w:val="en-US"/>
        </w:rPr>
      </w:pPr>
    </w:p>
    <w:p w:rsidR="66393FDB" w:rsidP="66393FDB" w:rsidRDefault="66393FDB" w14:paraId="35137976" w14:textId="2342F66A">
      <w:pPr>
        <w:pStyle w:val="Normal"/>
        <w:rPr>
          <w:rFonts w:ascii="Calibri" w:hAnsi="Calibri" w:eastAsia="Calibri" w:cs="Calibri"/>
          <w:noProof w:val="0"/>
          <w:sz w:val="24"/>
          <w:szCs w:val="24"/>
          <w:lang w:val="en-US"/>
        </w:rPr>
      </w:pPr>
    </w:p>
    <w:p w:rsidR="66393FDB" w:rsidP="66393FDB" w:rsidRDefault="66393FDB" w14:paraId="369BB517" w14:textId="29E02B8A">
      <w:pPr>
        <w:pStyle w:val="Normal"/>
        <w:rPr>
          <w:rFonts w:ascii="Calibri" w:hAnsi="Calibri" w:eastAsia="Calibri" w:cs="Calibri"/>
          <w:noProof w:val="0"/>
          <w:sz w:val="24"/>
          <w:szCs w:val="24"/>
          <w:lang w:val="en-US"/>
        </w:rPr>
      </w:pPr>
    </w:p>
    <w:p w:rsidR="66393FDB" w:rsidP="66393FDB" w:rsidRDefault="66393FDB" w14:paraId="71543D28" w14:textId="11A6EF56">
      <w:pPr>
        <w:pStyle w:val="Normal"/>
        <w:rPr>
          <w:rFonts w:ascii="Calibri" w:hAnsi="Calibri" w:eastAsia="Calibri" w:cs="Calibri"/>
          <w:noProof w:val="0"/>
          <w:sz w:val="24"/>
          <w:szCs w:val="24"/>
          <w:lang w:val="en-US"/>
        </w:rPr>
      </w:pPr>
    </w:p>
    <w:p w:rsidR="66393FDB" w:rsidP="66393FDB" w:rsidRDefault="66393FDB" w14:paraId="1A5FE56D" w14:textId="47A45C0C">
      <w:pPr>
        <w:pStyle w:val="Normal"/>
        <w:rPr>
          <w:rFonts w:ascii="Calibri" w:hAnsi="Calibri" w:eastAsia="Calibri" w:cs="Calibri"/>
          <w:noProof w:val="0"/>
          <w:sz w:val="24"/>
          <w:szCs w:val="24"/>
          <w:lang w:val="en-US"/>
        </w:rPr>
      </w:pPr>
    </w:p>
    <w:p w:rsidR="66393FDB" w:rsidP="66393FDB" w:rsidRDefault="66393FDB" w14:paraId="42C13CFA" w14:textId="4CEB673A">
      <w:pPr>
        <w:pStyle w:val="Normal"/>
        <w:rPr>
          <w:rFonts w:ascii="Calibri" w:hAnsi="Calibri" w:eastAsia="Calibri" w:cs="Calibri"/>
          <w:noProof w:val="0"/>
          <w:sz w:val="24"/>
          <w:szCs w:val="24"/>
          <w:lang w:val="en-US"/>
        </w:rPr>
      </w:pPr>
    </w:p>
    <w:p w:rsidR="66393FDB" w:rsidP="66393FDB" w:rsidRDefault="66393FDB" w14:paraId="038C9E66" w14:textId="0ED01E47">
      <w:pPr>
        <w:pStyle w:val="Normal"/>
        <w:rPr>
          <w:rFonts w:ascii="Calibri" w:hAnsi="Calibri" w:eastAsia="Calibri" w:cs="Calibri"/>
          <w:noProof w:val="0"/>
          <w:sz w:val="24"/>
          <w:szCs w:val="24"/>
          <w:lang w:val="en-US"/>
        </w:rPr>
      </w:pPr>
    </w:p>
    <w:p w:rsidR="0029FE08" w:rsidP="66393FDB" w:rsidRDefault="0029FE08" w14:paraId="08F494CA" w14:textId="2F9D05B9">
      <w:pPr>
        <w:pStyle w:val="Heading1"/>
      </w:pPr>
      <w:r w:rsidRPr="66393FDB" w:rsidR="0029FE08">
        <w:rPr>
          <w:rFonts w:ascii="Calibri" w:hAnsi="Calibri" w:eastAsia="Calibri" w:cs="Calibri" w:asciiTheme="minorAscii" w:hAnsiTheme="minorAscii" w:eastAsiaTheme="minorAscii" w:cstheme="minorAscii"/>
          <w:b w:val="1"/>
          <w:bCs w:val="1"/>
          <w:noProof w:val="0"/>
          <w:color w:val="auto"/>
          <w:sz w:val="24"/>
          <w:szCs w:val="24"/>
          <w:lang w:val="en-US"/>
        </w:rPr>
        <w:t>1</w:t>
      </w:r>
      <w:r w:rsidRPr="66393FDB" w:rsidR="48B525EA">
        <w:rPr>
          <w:rFonts w:ascii="Calibri" w:hAnsi="Calibri" w:eastAsia="Calibri" w:cs="Calibri" w:asciiTheme="minorAscii" w:hAnsiTheme="minorAscii" w:eastAsiaTheme="minorAscii" w:cstheme="minorAscii"/>
          <w:b w:val="1"/>
          <w:bCs w:val="1"/>
          <w:noProof w:val="0"/>
          <w:color w:val="auto"/>
          <w:sz w:val="24"/>
          <w:szCs w:val="24"/>
          <w:lang w:val="en-US"/>
        </w:rPr>
        <w:t>5</w:t>
      </w:r>
      <w:r w:rsidRPr="66393FDB" w:rsidR="0029FE08">
        <w:rPr>
          <w:rFonts w:ascii="Calibri" w:hAnsi="Calibri" w:eastAsia="Calibri" w:cs="Calibri" w:asciiTheme="minorAscii" w:hAnsiTheme="minorAscii" w:eastAsiaTheme="minorAscii" w:cstheme="minorAscii"/>
          <w:b w:val="1"/>
          <w:bCs w:val="1"/>
          <w:noProof w:val="0"/>
          <w:color w:val="auto"/>
          <w:sz w:val="24"/>
          <w:szCs w:val="24"/>
          <w:lang w:val="en-US"/>
        </w:rPr>
        <w:t xml:space="preserve"> Attachments</w:t>
      </w:r>
    </w:p>
    <w:p w:rsidR="5AF578A5" w:rsidP="66393FDB" w:rsidRDefault="5AF578A5" w14:paraId="628D4C04" w14:textId="3EA0BB18">
      <w:pPr>
        <w:pStyle w:val="Normal"/>
      </w:pPr>
      <w:r w:rsidRPr="66393FDB" w:rsidR="5AF578A5">
        <w:rPr>
          <w:noProof w:val="0"/>
          <w:lang w:val="en-US"/>
        </w:rPr>
        <w:t xml:space="preserve">Attachment 1 Afatinib </w:t>
      </w:r>
    </w:p>
    <w:p w:rsidR="66393FDB" w:rsidP="66393FDB" w:rsidRDefault="66393FDB" w14:paraId="61D2843B" w14:textId="488E64D9">
      <w:pPr>
        <w:pStyle w:val="Normal"/>
        <w:rPr>
          <w:noProof w:val="0"/>
          <w:lang w:val="en-US"/>
        </w:rPr>
      </w:pPr>
    </w:p>
    <w:p w:rsidR="5AF578A5" w:rsidP="66393FDB" w:rsidRDefault="5AF578A5" w14:paraId="6E87B917" w14:textId="14AA6CF0">
      <w:pPr>
        <w:pStyle w:val="Normal"/>
      </w:pPr>
      <w:r w:rsidR="5AF578A5">
        <w:drawing>
          <wp:inline wp14:editId="6A0295DD" wp14:anchorId="22E381C6">
            <wp:extent cx="5250180" cy="4038600"/>
            <wp:effectExtent l="0" t="0" r="0" b="0"/>
            <wp:docPr id="20762913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6291357" name="Picture 2076291357"/>
                    <pic:cNvPicPr/>
                  </pic:nvPicPr>
                  <pic:blipFill>
                    <a:blip xmlns:r="http://schemas.openxmlformats.org/officeDocument/2006/relationships" r:embed="rId524144059">
                      <a:extLst>
                        <a:ext uri="{28A0092B-C50C-407E-A947-70E740481C1C}">
                          <a14:useLocalDpi xmlns:a14="http://schemas.microsoft.com/office/drawing/2010/main"/>
                        </a:ext>
                      </a:extLst>
                    </a:blip>
                    <a:stretch>
                      <a:fillRect/>
                    </a:stretch>
                  </pic:blipFill>
                  <pic:spPr>
                    <a:xfrm rot="0">
                      <a:off x="0" y="0"/>
                      <a:ext cx="5250180" cy="4038600"/>
                    </a:xfrm>
                    <a:prstGeom prst="rect">
                      <a:avLst/>
                    </a:prstGeom>
                  </pic:spPr>
                </pic:pic>
              </a:graphicData>
            </a:graphic>
          </wp:inline>
        </w:drawing>
      </w:r>
    </w:p>
    <w:p w:rsidR="66393FDB" w:rsidP="66393FDB" w:rsidRDefault="66393FDB" w14:paraId="3DBD8F11" w14:textId="60FDBE10">
      <w:pPr>
        <w:pStyle w:val="Normal"/>
        <w:rPr>
          <w:rFonts w:ascii="Calibri" w:hAnsi="Calibri" w:eastAsia="Calibri" w:cs="Calibri"/>
          <w:noProof w:val="0"/>
          <w:sz w:val="24"/>
          <w:szCs w:val="24"/>
          <w:lang w:val="en-US"/>
        </w:rPr>
      </w:pPr>
    </w:p>
    <w:p w:rsidR="66393FDB" w:rsidP="66393FDB" w:rsidRDefault="66393FDB" w14:paraId="5BE586BC" w14:textId="1EF4FCCA">
      <w:pPr>
        <w:pStyle w:val="Normal"/>
        <w:rPr>
          <w:rFonts w:ascii="Calibri" w:hAnsi="Calibri" w:eastAsia="Calibri" w:cs="Calibri"/>
          <w:noProof w:val="0"/>
          <w:sz w:val="24"/>
          <w:szCs w:val="24"/>
          <w:lang w:val="en-US"/>
        </w:rPr>
      </w:pPr>
    </w:p>
    <w:p w:rsidR="66393FDB" w:rsidP="66393FDB" w:rsidRDefault="66393FDB" w14:paraId="75BBDB24" w14:textId="53697D87">
      <w:pPr>
        <w:pStyle w:val="Normal"/>
        <w:rPr>
          <w:rFonts w:ascii="Calibri" w:hAnsi="Calibri" w:eastAsia="Calibri" w:cs="Calibri"/>
          <w:noProof w:val="0"/>
          <w:sz w:val="24"/>
          <w:szCs w:val="24"/>
          <w:lang w:val="en-US"/>
        </w:rPr>
      </w:pPr>
    </w:p>
    <w:p w:rsidR="66393FDB" w:rsidP="66393FDB" w:rsidRDefault="66393FDB" w14:paraId="4224C655" w14:textId="42A8C204">
      <w:pPr>
        <w:pStyle w:val="Normal"/>
        <w:rPr>
          <w:rFonts w:ascii="Calibri" w:hAnsi="Calibri" w:eastAsia="Calibri" w:cs="Calibri"/>
          <w:noProof w:val="0"/>
          <w:sz w:val="24"/>
          <w:szCs w:val="24"/>
          <w:lang w:val="en-US"/>
        </w:rPr>
      </w:pPr>
    </w:p>
    <w:p w:rsidR="66393FDB" w:rsidP="66393FDB" w:rsidRDefault="66393FDB" w14:paraId="5E6A441A" w14:textId="45BA17D2">
      <w:pPr>
        <w:pStyle w:val="Normal"/>
        <w:rPr>
          <w:rFonts w:ascii="Calibri" w:hAnsi="Calibri" w:eastAsia="Calibri" w:cs="Calibri"/>
          <w:noProof w:val="0"/>
          <w:sz w:val="24"/>
          <w:szCs w:val="24"/>
          <w:lang w:val="en-US"/>
        </w:rPr>
      </w:pPr>
    </w:p>
    <w:p w:rsidR="66393FDB" w:rsidP="66393FDB" w:rsidRDefault="66393FDB" w14:paraId="425B4A77" w14:textId="40A06384">
      <w:pPr>
        <w:pStyle w:val="Normal"/>
        <w:rPr>
          <w:rFonts w:ascii="Calibri" w:hAnsi="Calibri" w:eastAsia="Calibri" w:cs="Calibri"/>
          <w:noProof w:val="0"/>
          <w:sz w:val="24"/>
          <w:szCs w:val="24"/>
          <w:lang w:val="en-US"/>
        </w:rPr>
      </w:pPr>
    </w:p>
    <w:p w:rsidR="66393FDB" w:rsidP="66393FDB" w:rsidRDefault="66393FDB" w14:paraId="49DAA5A5" w14:textId="4A9FF409">
      <w:pPr>
        <w:pStyle w:val="Normal"/>
        <w:rPr>
          <w:rFonts w:ascii="Calibri" w:hAnsi="Calibri" w:eastAsia="Calibri" w:cs="Calibri"/>
          <w:noProof w:val="0"/>
          <w:sz w:val="24"/>
          <w:szCs w:val="24"/>
          <w:lang w:val="en-US"/>
        </w:rPr>
      </w:pPr>
    </w:p>
    <w:p w:rsidR="66393FDB" w:rsidP="66393FDB" w:rsidRDefault="66393FDB" w14:paraId="44B8E002" w14:textId="43EF476E">
      <w:pPr>
        <w:pStyle w:val="Normal"/>
        <w:rPr>
          <w:rFonts w:ascii="Calibri" w:hAnsi="Calibri" w:eastAsia="Calibri" w:cs="Calibri"/>
          <w:noProof w:val="0"/>
          <w:sz w:val="24"/>
          <w:szCs w:val="24"/>
          <w:lang w:val="en-US"/>
        </w:rPr>
      </w:pPr>
    </w:p>
    <w:p w:rsidR="66393FDB" w:rsidP="66393FDB" w:rsidRDefault="66393FDB" w14:paraId="74AD5FCD" w14:textId="678E30D1">
      <w:pPr>
        <w:pStyle w:val="Normal"/>
        <w:rPr>
          <w:rFonts w:ascii="Calibri" w:hAnsi="Calibri" w:eastAsia="Calibri" w:cs="Calibri"/>
          <w:noProof w:val="0"/>
          <w:sz w:val="24"/>
          <w:szCs w:val="24"/>
          <w:lang w:val="en-US"/>
        </w:rPr>
      </w:pPr>
    </w:p>
    <w:p w:rsidR="66393FDB" w:rsidP="66393FDB" w:rsidRDefault="66393FDB" w14:paraId="1F49DB28" w14:textId="7BC0745C">
      <w:pPr>
        <w:pStyle w:val="Normal"/>
        <w:rPr>
          <w:rFonts w:ascii="Calibri" w:hAnsi="Calibri" w:eastAsia="Calibri" w:cs="Calibri"/>
          <w:noProof w:val="0"/>
          <w:sz w:val="24"/>
          <w:szCs w:val="24"/>
          <w:lang w:val="en-US"/>
        </w:rPr>
      </w:pPr>
    </w:p>
    <w:p w:rsidR="5AF578A5" w:rsidP="66393FDB" w:rsidRDefault="5AF578A5" w14:paraId="699B48BE" w14:textId="4CCCFE69">
      <w:pPr>
        <w:pStyle w:val="Normal"/>
      </w:pPr>
      <w:r w:rsidRPr="66393FDB" w:rsidR="5AF578A5">
        <w:rPr>
          <w:rFonts w:ascii="Calibri" w:hAnsi="Calibri" w:eastAsia="Calibri" w:cs="Calibri"/>
          <w:noProof w:val="0"/>
          <w:sz w:val="24"/>
          <w:szCs w:val="24"/>
          <w:lang w:val="en-US"/>
        </w:rPr>
        <w:t xml:space="preserve">Attachment 2 Clinical Data </w:t>
      </w:r>
    </w:p>
    <w:p w:rsidR="66393FDB" w:rsidP="66393FDB" w:rsidRDefault="66393FDB" w14:paraId="3B180C1A" w14:textId="6543FE56">
      <w:pPr>
        <w:pStyle w:val="Normal"/>
        <w:rPr>
          <w:rFonts w:ascii="Calibri" w:hAnsi="Calibri" w:eastAsia="Calibri" w:cs="Calibri"/>
          <w:noProof w:val="0"/>
          <w:sz w:val="24"/>
          <w:szCs w:val="24"/>
          <w:lang w:val="en-US"/>
        </w:rPr>
      </w:pPr>
    </w:p>
    <w:p w:rsidR="5AF578A5" w:rsidP="66393FDB" w:rsidRDefault="5AF578A5" w14:paraId="4604C330" w14:textId="61B3DEE6">
      <w:pPr>
        <w:pStyle w:val="Normal"/>
      </w:pPr>
      <w:r w:rsidR="5AF578A5">
        <w:drawing>
          <wp:inline wp14:editId="0B1C00E5" wp14:anchorId="1ACD762D">
            <wp:extent cx="3057525" cy="5943600"/>
            <wp:effectExtent l="0" t="0" r="0" b="0"/>
            <wp:docPr id="681425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142500" name="Picture 68142500"/>
                    <pic:cNvPicPr/>
                  </pic:nvPicPr>
                  <pic:blipFill>
                    <a:blip xmlns:r="http://schemas.openxmlformats.org/officeDocument/2006/relationships" r:embed="rId499918615">
                      <a:extLst>
                        <a:ext uri="{28A0092B-C50C-407E-A947-70E740481C1C}">
                          <a14:useLocalDpi xmlns:a14="http://schemas.microsoft.com/office/drawing/2010/main"/>
                        </a:ext>
                      </a:extLst>
                    </a:blip>
                    <a:stretch>
                      <a:fillRect/>
                    </a:stretch>
                  </pic:blipFill>
                  <pic:spPr>
                    <a:xfrm>
                      <a:off x="0" y="0"/>
                      <a:ext cx="3057525" cy="5943600"/>
                    </a:xfrm>
                    <a:prstGeom prst="rect">
                      <a:avLst/>
                    </a:prstGeom>
                  </pic:spPr>
                </pic:pic>
              </a:graphicData>
            </a:graphic>
          </wp:inline>
        </w:drawing>
      </w:r>
    </w:p>
    <w:p w:rsidR="66393FDB" w:rsidP="66393FDB" w:rsidRDefault="66393FDB" w14:paraId="05A0F419" w14:textId="111DCABF">
      <w:pPr>
        <w:pStyle w:val="Normal"/>
      </w:pPr>
    </w:p>
    <w:p w:rsidR="66393FDB" w:rsidP="66393FDB" w:rsidRDefault="66393FDB" w14:paraId="181BE5FF" w14:textId="3BAD2551">
      <w:pPr>
        <w:pStyle w:val="Normal"/>
      </w:pPr>
    </w:p>
    <w:p w:rsidR="66393FDB" w:rsidP="66393FDB" w:rsidRDefault="66393FDB" w14:paraId="68513675" w14:textId="0E3D1BD8">
      <w:pPr>
        <w:pStyle w:val="Normal"/>
      </w:pPr>
    </w:p>
    <w:p w:rsidR="66393FDB" w:rsidP="66393FDB" w:rsidRDefault="66393FDB" w14:paraId="7E393AF6" w14:textId="4F2F0FE9">
      <w:pPr>
        <w:pStyle w:val="Normal"/>
      </w:pPr>
    </w:p>
    <w:p w:rsidR="66393FDB" w:rsidP="66393FDB" w:rsidRDefault="66393FDB" w14:paraId="38F952DF" w14:textId="46DED845">
      <w:pPr>
        <w:pStyle w:val="Normal"/>
      </w:pPr>
    </w:p>
    <w:p w:rsidR="5AF578A5" w:rsidP="66393FDB" w:rsidRDefault="5AF578A5" w14:paraId="2A83E714" w14:textId="2D6F6D73">
      <w:pPr>
        <w:pStyle w:val="Normal"/>
      </w:pPr>
      <w:r w:rsidR="5AF578A5">
        <w:rPr/>
        <w:t>Attachment 3 Chemical and Physical Data</w:t>
      </w:r>
    </w:p>
    <w:p w:rsidR="66393FDB" w:rsidP="66393FDB" w:rsidRDefault="66393FDB" w14:paraId="3E77EB0C" w14:textId="454214A4">
      <w:pPr>
        <w:pStyle w:val="Normal"/>
      </w:pPr>
    </w:p>
    <w:p w:rsidR="5AF578A5" w:rsidP="66393FDB" w:rsidRDefault="5AF578A5" w14:paraId="1DD0D4D9" w14:textId="612B553A">
      <w:pPr>
        <w:pStyle w:val="Normal"/>
      </w:pPr>
      <w:r w:rsidR="5AF578A5">
        <w:drawing>
          <wp:inline wp14:editId="752EE25A" wp14:anchorId="07EE854D">
            <wp:extent cx="4258269" cy="2191056"/>
            <wp:effectExtent l="0" t="0" r="0" b="0"/>
            <wp:docPr id="10588182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8818227" name="Picture 1058818227"/>
                    <pic:cNvPicPr/>
                  </pic:nvPicPr>
                  <pic:blipFill>
                    <a:blip xmlns:r="http://schemas.openxmlformats.org/officeDocument/2006/relationships" r:embed="rId1566434815">
                      <a:extLst>
                        <a:ext uri="{28A0092B-C50C-407E-A947-70E740481C1C}">
                          <a14:useLocalDpi xmlns:a14="http://schemas.microsoft.com/office/drawing/2010/main"/>
                        </a:ext>
                      </a:extLst>
                    </a:blip>
                    <a:stretch>
                      <a:fillRect/>
                    </a:stretch>
                  </pic:blipFill>
                  <pic:spPr>
                    <a:xfrm>
                      <a:off x="0" y="0"/>
                      <a:ext cx="4258269" cy="2191056"/>
                    </a:xfrm>
                    <a:prstGeom prst="rect">
                      <a:avLst/>
                    </a:prstGeom>
                  </pic:spPr>
                </pic:pic>
              </a:graphicData>
            </a:graphic>
          </wp:inline>
        </w:drawing>
      </w:r>
    </w:p>
    <w:p w:rsidR="66393FDB" w:rsidP="66393FDB" w:rsidRDefault="66393FDB" w14:paraId="021F32FD" w14:textId="74A0816D">
      <w:pPr>
        <w:pStyle w:val="Normal"/>
        <w:rPr>
          <w:rFonts w:ascii="Calibri" w:hAnsi="Calibri" w:eastAsia="Calibri" w:cs="Calibri"/>
          <w:noProof w:val="0"/>
          <w:sz w:val="24"/>
          <w:szCs w:val="24"/>
          <w:lang w:val="en-US"/>
        </w:rPr>
      </w:pPr>
    </w:p>
    <w:p w:rsidR="66393FDB" w:rsidP="66393FDB" w:rsidRDefault="66393FDB" w14:paraId="09E17191" w14:textId="32AF0CBB">
      <w:pPr>
        <w:pStyle w:val="Normal"/>
        <w:rPr>
          <w:rFonts w:ascii="Calibri" w:hAnsi="Calibri" w:eastAsia="Calibri" w:cs="Calibri"/>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19bf66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568a5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2a62e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50435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467b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900c2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4c00f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ac57f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225d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c39e2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A70B64"/>
    <w:rsid w:val="0029FE08"/>
    <w:rsid w:val="01A47C47"/>
    <w:rsid w:val="01A8B6FB"/>
    <w:rsid w:val="02B1F974"/>
    <w:rsid w:val="04424888"/>
    <w:rsid w:val="0484480A"/>
    <w:rsid w:val="066D5AA6"/>
    <w:rsid w:val="0691634A"/>
    <w:rsid w:val="0741140A"/>
    <w:rsid w:val="07BD29E6"/>
    <w:rsid w:val="0A6A6A6B"/>
    <w:rsid w:val="0AE60A4B"/>
    <w:rsid w:val="0C61295F"/>
    <w:rsid w:val="0CD96777"/>
    <w:rsid w:val="10FB9650"/>
    <w:rsid w:val="14258635"/>
    <w:rsid w:val="15387E20"/>
    <w:rsid w:val="1674D1E7"/>
    <w:rsid w:val="16C70D1D"/>
    <w:rsid w:val="17BDCC5C"/>
    <w:rsid w:val="182060CB"/>
    <w:rsid w:val="183285AF"/>
    <w:rsid w:val="191B8292"/>
    <w:rsid w:val="1A2ED786"/>
    <w:rsid w:val="1A3A4EF3"/>
    <w:rsid w:val="1B0AE010"/>
    <w:rsid w:val="1C039BCF"/>
    <w:rsid w:val="1DDA3BCE"/>
    <w:rsid w:val="1E6FF13F"/>
    <w:rsid w:val="238A9035"/>
    <w:rsid w:val="23D078B2"/>
    <w:rsid w:val="240B084F"/>
    <w:rsid w:val="261BC64B"/>
    <w:rsid w:val="26580367"/>
    <w:rsid w:val="2C00D43F"/>
    <w:rsid w:val="2C1D2926"/>
    <w:rsid w:val="2C47811D"/>
    <w:rsid w:val="329D37A1"/>
    <w:rsid w:val="3500E588"/>
    <w:rsid w:val="36618734"/>
    <w:rsid w:val="366D7A4D"/>
    <w:rsid w:val="398797E9"/>
    <w:rsid w:val="3BAC54F5"/>
    <w:rsid w:val="3C832143"/>
    <w:rsid w:val="3EA70B64"/>
    <w:rsid w:val="3F62ED59"/>
    <w:rsid w:val="41304656"/>
    <w:rsid w:val="41318A0B"/>
    <w:rsid w:val="41BD0461"/>
    <w:rsid w:val="424437BB"/>
    <w:rsid w:val="42A25DA8"/>
    <w:rsid w:val="4306F493"/>
    <w:rsid w:val="463C6823"/>
    <w:rsid w:val="48049771"/>
    <w:rsid w:val="48369673"/>
    <w:rsid w:val="4857E396"/>
    <w:rsid w:val="48B525EA"/>
    <w:rsid w:val="4928A93D"/>
    <w:rsid w:val="4CB1E99F"/>
    <w:rsid w:val="4F0D4B27"/>
    <w:rsid w:val="52642306"/>
    <w:rsid w:val="54DC9160"/>
    <w:rsid w:val="56D0BF00"/>
    <w:rsid w:val="59420B7E"/>
    <w:rsid w:val="596D3049"/>
    <w:rsid w:val="59764A69"/>
    <w:rsid w:val="5AEC4DAB"/>
    <w:rsid w:val="5AF578A5"/>
    <w:rsid w:val="5BA91478"/>
    <w:rsid w:val="5BC8CF14"/>
    <w:rsid w:val="5FAD8AB7"/>
    <w:rsid w:val="5FFF6806"/>
    <w:rsid w:val="600CDE2D"/>
    <w:rsid w:val="6061694C"/>
    <w:rsid w:val="622E171C"/>
    <w:rsid w:val="66393FDB"/>
    <w:rsid w:val="66810E9A"/>
    <w:rsid w:val="676AD091"/>
    <w:rsid w:val="686BBFB7"/>
    <w:rsid w:val="6A3BB41C"/>
    <w:rsid w:val="6B11D77C"/>
    <w:rsid w:val="6B4605EB"/>
    <w:rsid w:val="6C68FFDC"/>
    <w:rsid w:val="6E312E8D"/>
    <w:rsid w:val="6E5200A1"/>
    <w:rsid w:val="6E8DBFF5"/>
    <w:rsid w:val="6F3CBE54"/>
    <w:rsid w:val="705A0E2F"/>
    <w:rsid w:val="707CF7A4"/>
    <w:rsid w:val="70A0A2C9"/>
    <w:rsid w:val="71A3EA5E"/>
    <w:rsid w:val="7490D577"/>
    <w:rsid w:val="7492A7FD"/>
    <w:rsid w:val="76729F93"/>
    <w:rsid w:val="767AD70D"/>
    <w:rsid w:val="76A755F0"/>
    <w:rsid w:val="77321C16"/>
    <w:rsid w:val="779F9BF5"/>
    <w:rsid w:val="7A089D97"/>
    <w:rsid w:val="7F578A87"/>
    <w:rsid w:val="7F86C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3E5AB"/>
  <w15:chartTrackingRefBased/>
  <w15:docId w15:val="{44F48206-4C62-4FB9-A31E-ECC1FCC966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6393FD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66393FD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66393FDB"/>
    <w:pPr>
      <w:spacing/>
      <w:ind w:left="720"/>
      <w:contextualSpacing/>
    </w:pPr>
  </w:style>
  <w:style w:type="character" w:styleId="Hyperlink">
    <w:uiPriority w:val="99"/>
    <w:name w:val="Hyperlink"/>
    <w:basedOn w:val="DefaultParagraphFont"/>
    <w:unhideWhenUsed/>
    <w:rsid w:val="66393FDB"/>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88192271" /><Relationship Type="http://schemas.openxmlformats.org/officeDocument/2006/relationships/image" Target="/media/image2.png" Id="rId111311177" /><Relationship Type="http://schemas.openxmlformats.org/officeDocument/2006/relationships/image" Target="/media/image3.png" Id="rId524144059" /><Relationship Type="http://schemas.openxmlformats.org/officeDocument/2006/relationships/image" Target="/media/image4.png" Id="rId499918615" /><Relationship Type="http://schemas.openxmlformats.org/officeDocument/2006/relationships/image" Target="/media/image5.png" Id="rId1566434815" /><Relationship Type="http://schemas.openxmlformats.org/officeDocument/2006/relationships/numbering" Target="numbering.xml" Id="R827af72c176945d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2026-06-23T06:45:24.4985830Z</dcterms:created>
  <dcterms:modified xsi:type="dcterms:W3CDTF">2026-06-24T06:15:19.8198668Z</dcterms:modified>
  <dc:creator>Pooja Milan Gursale</dc:creator>
  <lastModifiedBy>Pooja Milan Gursale</lastModifiedBy>
</coreProperties>
</file>