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D12F8A" wp14:paraId="1B557597" wp14:textId="6CECDD32">
      <w:pPr>
        <w:spacing w:line="300" w:lineRule="auto"/>
        <w:rPr>
          <w:rFonts w:ascii="Calibri" w:hAnsi="Calibri" w:eastAsia="Calibri" w:cs="Calibri" w:asciiTheme="minorAscii" w:hAnsiTheme="minorAscii" w:eastAsiaTheme="minorAscii" w:cstheme="minorAscii"/>
          <w:b w:val="1"/>
          <w:bCs w:val="1"/>
          <w:i w:val="0"/>
          <w:iCs w:val="0"/>
          <w:noProof w:val="0"/>
          <w:sz w:val="28"/>
          <w:szCs w:val="28"/>
          <w:lang w:val="en-US"/>
        </w:rPr>
      </w:pPr>
      <w:r w:rsidRPr="7BD12F8A" w:rsidR="43C17BEF">
        <w:rPr>
          <w:rFonts w:ascii="Calibri" w:hAnsi="Calibri" w:eastAsia="Calibri" w:cs="Calibri" w:asciiTheme="minorAscii" w:hAnsiTheme="minorAscii" w:eastAsiaTheme="minorAscii" w:cstheme="minorAscii"/>
          <w:b w:val="1"/>
          <w:bCs w:val="1"/>
          <w:i w:val="0"/>
          <w:iCs w:val="0"/>
          <w:noProof w:val="0"/>
          <w:sz w:val="28"/>
          <w:szCs w:val="28"/>
          <w:lang w:val="en-US"/>
        </w:rPr>
        <w:t xml:space="preserve">(Statistical Analysis Plan) </w:t>
      </w:r>
    </w:p>
    <w:p xmlns:wp14="http://schemas.microsoft.com/office/word/2010/wordml" w:rsidP="7BD12F8A" wp14:paraId="11482B46" wp14:textId="4FCDDF61">
      <w:pPr>
        <w:spacing w:line="300" w:lineRule="auto"/>
      </w:pPr>
      <w:r w:rsidRPr="7BD12F8A" w:rsidR="43C17BEF">
        <w:rPr>
          <w:rFonts w:ascii="Segoe UI" w:hAnsi="Segoe UI" w:eastAsia="Segoe UI" w:cs="Segoe UI"/>
          <w:b w:val="0"/>
          <w:bCs w:val="0"/>
          <w:i w:val="0"/>
          <w:iCs w:val="0"/>
          <w:noProof w:val="0"/>
          <w:sz w:val="21"/>
          <w:szCs w:val="21"/>
          <w:lang w:val="en-US"/>
        </w:rPr>
        <w:t>summary for Afatinib studies</w:t>
      </w:r>
    </w:p>
    <w:p xmlns:wp14="http://schemas.microsoft.com/office/word/2010/wordml" wp14:paraId="2C078E63" wp14:textId="0C74E334"/>
    <w:p w:rsidR="43C17BEF" w:rsidP="7BD12F8A" w:rsidRDefault="43C17BEF" w14:paraId="7F920CCB" w14:textId="7ECE21A9">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r w:rsidRPr="7BD12F8A" w:rsidR="43C17BEF">
        <w:rPr>
          <w:rFonts w:ascii="Calibri" w:hAnsi="Calibri" w:eastAsia="Calibri" w:cs="Calibri" w:asciiTheme="minorAscii" w:hAnsiTheme="minorAscii" w:eastAsiaTheme="minorAscii" w:cstheme="minorAscii"/>
          <w:b w:val="1"/>
          <w:bCs w:val="1"/>
          <w:noProof w:val="0"/>
          <w:color w:val="auto"/>
          <w:sz w:val="24"/>
          <w:szCs w:val="24"/>
          <w:lang w:val="en-US"/>
        </w:rPr>
        <w:t>1 Statistical Analysis Plan (SAP) – Afatinib</w:t>
      </w:r>
    </w:p>
    <w:p w:rsidR="43C17BEF" w:rsidP="7BD12F8A" w:rsidRDefault="43C17BEF" w14:paraId="23C97005" w14:textId="44570070">
      <w:pPr>
        <w:spacing w:line="300" w:lineRule="auto"/>
        <w:rPr>
          <w:b w:val="0"/>
          <w:bCs w:val="0"/>
          <w:i w:val="0"/>
          <w:iCs w:val="0"/>
          <w:strike w:val="0"/>
          <w:dstrike w:val="0"/>
          <w:noProof w:val="0"/>
          <w:color w:val="464FEB"/>
          <w:u w:val="none"/>
          <w:lang w:val="en-US"/>
        </w:rPr>
      </w:pPr>
      <w:r w:rsidRPr="7BD12F8A" w:rsidR="43C17BEF">
        <w:rPr>
          <w:rFonts w:ascii="Segoe UI" w:hAnsi="Segoe UI" w:eastAsia="Segoe UI" w:cs="Segoe UI"/>
          <w:b w:val="0"/>
          <w:bCs w:val="0"/>
          <w:i w:val="0"/>
          <w:iCs w:val="0"/>
          <w:noProof w:val="0"/>
          <w:sz w:val="21"/>
          <w:szCs w:val="21"/>
          <w:lang w:val="en-US"/>
        </w:rPr>
        <w:t xml:space="preserve">The statistical analysis plan (SAP) for afatinib clinical trials is designed to evaluate the efficacy and safety of afatinib in patients with EGFR mutation-positive non-small cell lung cancer (NSCLC). The primary efficacy endpoint in pivotal studies such as LUX-Lung 3 is progression-free survival (PFS), assessed by independent central review using RECIST criteria, while key secondary endpoints include objective response rate (ORR), overall survival (OS), duration of response, and patient-reported outcomes. </w:t>
      </w:r>
      <w:r w:rsidRPr="7BD12F8A" w:rsidR="6883E038">
        <w:rPr>
          <w:rFonts w:ascii="Segoe UI" w:hAnsi="Segoe UI" w:eastAsia="Segoe UI" w:cs="Segoe UI"/>
          <w:b w:val="0"/>
          <w:bCs w:val="0"/>
          <w:i w:val="0"/>
          <w:iCs w:val="0"/>
          <w:noProof w:val="0"/>
          <w:sz w:val="21"/>
          <w:szCs w:val="21"/>
          <w:lang w:val="en-US"/>
        </w:rPr>
        <w:t xml:space="preserve">See </w:t>
      </w:r>
      <w:r w:rsidRPr="7BD12F8A" w:rsidR="6883E038">
        <w:rPr>
          <w:rFonts w:ascii="Segoe UI" w:hAnsi="Segoe UI" w:eastAsia="Segoe UI" w:cs="Segoe UI"/>
          <w:b w:val="0"/>
          <w:bCs w:val="0"/>
          <w:i w:val="0"/>
          <w:iCs w:val="0"/>
          <w:noProof w:val="0"/>
          <w:sz w:val="21"/>
          <w:szCs w:val="21"/>
          <w:highlight w:val="yellow"/>
          <w:lang w:val="en-US"/>
        </w:rPr>
        <w:t>section 2</w:t>
      </w:r>
      <w:r w:rsidRPr="7BD12F8A" w:rsidR="6883E038">
        <w:rPr>
          <w:rFonts w:ascii="Segoe UI" w:hAnsi="Segoe UI" w:eastAsia="Segoe UI" w:cs="Segoe UI"/>
          <w:b w:val="0"/>
          <w:bCs w:val="0"/>
          <w:i w:val="0"/>
          <w:iCs w:val="0"/>
          <w:noProof w:val="0"/>
          <w:sz w:val="21"/>
          <w:szCs w:val="21"/>
          <w:lang w:val="en-US"/>
        </w:rPr>
        <w:t>.</w:t>
      </w:r>
    </w:p>
    <w:p w:rsidR="43C17BEF" w:rsidP="7BD12F8A" w:rsidRDefault="43C17BEF" w14:paraId="26E151C5" w14:textId="4F58A3A9">
      <w:pPr>
        <w:spacing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 xml:space="preserve">Efficacy analyses are typically conducted on the intention-to-treat (ITT) population, with supportive analyses in per-protocol populations. Time-to-event endpoints such as PFS and OS are estimated using the Kaplan–Meier method, and treatment comparisons are performed using stratified log-rank tests and Cox proportional hazards models to estimate hazard ratios and 95% confidence intervals. Binary endpoints such as ORR and disease control rate are summarized using response proportions with corresponding confidence intervals. Tumor assessments are conducted at predefined intervals (e.g., every 6–8 weeks) according to RECIST </w:t>
      </w:r>
      <w:r w:rsidRPr="7BD12F8A" w:rsidR="4900BAF4">
        <w:rPr>
          <w:rFonts w:ascii="Segoe UI" w:hAnsi="Segoe UI" w:eastAsia="Segoe UI" w:cs="Segoe UI"/>
          <w:b w:val="0"/>
          <w:bCs w:val="0"/>
          <w:i w:val="0"/>
          <w:iCs w:val="0"/>
          <w:noProof w:val="0"/>
          <w:sz w:val="21"/>
          <w:szCs w:val="21"/>
          <w:lang w:val="en-US"/>
        </w:rPr>
        <w:t xml:space="preserve">See </w:t>
      </w:r>
      <w:r w:rsidRPr="7BD12F8A" w:rsidR="4900BAF4">
        <w:rPr>
          <w:rFonts w:ascii="Segoe UI" w:hAnsi="Segoe UI" w:eastAsia="Segoe UI" w:cs="Segoe UI"/>
          <w:b w:val="0"/>
          <w:bCs w:val="0"/>
          <w:i w:val="0"/>
          <w:iCs w:val="0"/>
          <w:noProof w:val="0"/>
          <w:sz w:val="21"/>
          <w:szCs w:val="21"/>
          <w:highlight w:val="yellow"/>
          <w:lang w:val="en-US"/>
        </w:rPr>
        <w:t>Section 3.</w:t>
      </w:r>
    </w:p>
    <w:p w:rsidR="43C17BEF" w:rsidP="7BD12F8A" w:rsidRDefault="43C17BEF" w14:paraId="0B2E05D3" w14:textId="55296D56">
      <w:pPr>
        <w:spacing w:line="300" w:lineRule="auto"/>
        <w:rPr>
          <w:b w:val="0"/>
          <w:bCs w:val="0"/>
          <w:i w:val="0"/>
          <w:iCs w:val="0"/>
          <w:strike w:val="0"/>
          <w:dstrike w:val="0"/>
          <w:noProof w:val="0"/>
          <w:color w:val="464FEB"/>
          <w:u w:val="none"/>
          <w:lang w:val="en-US"/>
        </w:rPr>
      </w:pPr>
      <w:r w:rsidRPr="7BD12F8A" w:rsidR="43C17BEF">
        <w:rPr>
          <w:rFonts w:ascii="Segoe UI" w:hAnsi="Segoe UI" w:eastAsia="Segoe UI" w:cs="Segoe UI"/>
          <w:b w:val="0"/>
          <w:bCs w:val="0"/>
          <w:i w:val="0"/>
          <w:iCs w:val="0"/>
          <w:noProof w:val="0"/>
          <w:sz w:val="21"/>
          <w:szCs w:val="21"/>
          <w:lang w:val="en-US"/>
        </w:rPr>
        <w:t>Safety analyses are performed on the treated population and include summaries of treatment-emergent adverse events (TEAEs), graded according to CTCAE criteria, laboratory abnormalities, and dose modifications. Missing data are handled using censoring rules for time-to-event endpoints, and sensitivity analyses are conducted to ensure robustness of results. Subgroup analyses are pre-specified based on factors such as EGFR mutation type (exon 19 deletion, L858R), baseline performance status, and presence of brain metastases</w:t>
      </w:r>
      <w:r w:rsidRPr="7BD12F8A" w:rsidR="03D1E0C2">
        <w:rPr>
          <w:rFonts w:ascii="Segoe UI" w:hAnsi="Segoe UI" w:eastAsia="Segoe UI" w:cs="Segoe UI"/>
          <w:b w:val="0"/>
          <w:bCs w:val="0"/>
          <w:i w:val="0"/>
          <w:iCs w:val="0"/>
          <w:noProof w:val="0"/>
          <w:sz w:val="21"/>
          <w:szCs w:val="21"/>
          <w:lang w:val="en-US"/>
        </w:rPr>
        <w:t xml:space="preserve"> see </w:t>
      </w:r>
      <w:r w:rsidRPr="7BD12F8A" w:rsidR="03D1E0C2">
        <w:rPr>
          <w:rFonts w:ascii="Segoe UI" w:hAnsi="Segoe UI" w:eastAsia="Segoe UI" w:cs="Segoe UI"/>
          <w:b w:val="0"/>
          <w:bCs w:val="0"/>
          <w:i w:val="0"/>
          <w:iCs w:val="0"/>
          <w:noProof w:val="0"/>
          <w:sz w:val="21"/>
          <w:szCs w:val="21"/>
          <w:highlight w:val="yellow"/>
          <w:lang w:val="en-US"/>
        </w:rPr>
        <w:t xml:space="preserve">section 2.1 </w:t>
      </w:r>
      <w:r w:rsidRPr="7BD12F8A" w:rsidR="03D1E0C2">
        <w:rPr>
          <w:rFonts w:ascii="Segoe UI" w:hAnsi="Segoe UI" w:eastAsia="Segoe UI" w:cs="Segoe UI"/>
          <w:b w:val="0"/>
          <w:bCs w:val="0"/>
          <w:i w:val="0"/>
          <w:iCs w:val="0"/>
          <w:noProof w:val="0"/>
          <w:sz w:val="21"/>
          <w:szCs w:val="21"/>
          <w:lang w:val="en-US"/>
        </w:rPr>
        <w:t xml:space="preserve">and </w:t>
      </w:r>
      <w:r w:rsidRPr="7BD12F8A" w:rsidR="03D1E0C2">
        <w:rPr>
          <w:rFonts w:ascii="Segoe UI" w:hAnsi="Segoe UI" w:eastAsia="Segoe UI" w:cs="Segoe UI"/>
          <w:b w:val="0"/>
          <w:bCs w:val="0"/>
          <w:i w:val="0"/>
          <w:iCs w:val="0"/>
          <w:noProof w:val="0"/>
          <w:sz w:val="21"/>
          <w:szCs w:val="21"/>
          <w:highlight w:val="yellow"/>
          <w:lang w:val="en-US"/>
        </w:rPr>
        <w:t>Protocol</w:t>
      </w:r>
      <w:r w:rsidRPr="7BD12F8A" w:rsidR="03D1E0C2">
        <w:rPr>
          <w:rFonts w:ascii="Segoe UI" w:hAnsi="Segoe UI" w:eastAsia="Segoe UI" w:cs="Segoe UI"/>
          <w:b w:val="0"/>
          <w:bCs w:val="0"/>
          <w:i w:val="0"/>
          <w:iCs w:val="0"/>
          <w:noProof w:val="0"/>
          <w:sz w:val="21"/>
          <w:szCs w:val="21"/>
          <w:lang w:val="en-US"/>
        </w:rPr>
        <w:t>.</w:t>
      </w:r>
    </w:p>
    <w:p w:rsidR="43C17BEF" w:rsidP="7BD12F8A" w:rsidRDefault="43C17BEF" w14:paraId="31D2E8A8" w14:textId="33707F14">
      <w:pPr>
        <w:spacing w:line="300" w:lineRule="auto"/>
      </w:pPr>
      <w:r w:rsidRPr="7BD12F8A" w:rsidR="43C17BEF">
        <w:rPr>
          <w:rFonts w:ascii="Segoe UI" w:hAnsi="Segoe UI" w:eastAsia="Segoe UI" w:cs="Segoe UI"/>
          <w:b w:val="0"/>
          <w:bCs w:val="0"/>
          <w:i w:val="0"/>
          <w:iCs w:val="0"/>
          <w:noProof w:val="0"/>
          <w:sz w:val="21"/>
          <w:szCs w:val="21"/>
          <w:lang w:val="en-US"/>
        </w:rPr>
        <w:t xml:space="preserve">Overall, the SAP ensures predefined, transparent, and regulatory-compliant statistical methodologies, aligning with ICH E9 guidelines and supporting reproducibility, regulatory submission, and inclusion in the </w:t>
      </w:r>
      <w:r w:rsidRPr="7BD12F8A" w:rsidR="43C17BEF">
        <w:rPr>
          <w:rFonts w:ascii="Segoe UI" w:hAnsi="Segoe UI" w:eastAsia="Segoe UI" w:cs="Segoe UI"/>
          <w:b w:val="0"/>
          <w:bCs w:val="0"/>
          <w:i w:val="0"/>
          <w:iCs w:val="0"/>
          <w:noProof w:val="0"/>
          <w:sz w:val="21"/>
          <w:szCs w:val="21"/>
          <w:highlight w:val="yellow"/>
          <w:lang w:val="en-US"/>
        </w:rPr>
        <w:t>clinical study report (CSR)</w:t>
      </w:r>
    </w:p>
    <w:p w:rsidR="7BD12F8A" w:rsidP="7BD12F8A" w:rsidRDefault="7BD12F8A" w14:paraId="662A1DFC" w14:textId="0E49DCC0">
      <w:pPr>
        <w:pStyle w:val="Heading1"/>
        <w:rPr>
          <w:noProof w:val="0"/>
          <w:highlight w:val="yellow"/>
          <w:lang w:val="en-US"/>
        </w:rPr>
      </w:pPr>
    </w:p>
    <w:p w:rsidR="7BD12F8A" w:rsidP="7BD12F8A" w:rsidRDefault="7BD12F8A" w14:paraId="3BC4AA9A" w14:textId="1BDC10DD">
      <w:pPr>
        <w:pStyle w:val="Normal"/>
        <w:rPr>
          <w:noProof w:val="0"/>
          <w:highlight w:val="yellow"/>
          <w:lang w:val="en-US"/>
        </w:rPr>
      </w:pPr>
    </w:p>
    <w:p w:rsidR="43C17BEF" w:rsidP="7BD12F8A" w:rsidRDefault="43C17BEF" w14:paraId="4027DBD5" w14:textId="0AE588E7">
      <w:pPr>
        <w:pStyle w:val="Heading1"/>
        <w:bidi w:val="0"/>
        <w:rPr>
          <w:rFonts w:ascii="Calibri" w:hAnsi="Calibri" w:eastAsia="Calibri" w:cs="Calibri" w:asciiTheme="minorAscii" w:hAnsiTheme="minorAscii" w:eastAsiaTheme="minorAscii" w:cstheme="minorAscii"/>
          <w:b w:val="1"/>
          <w:bCs w:val="1"/>
          <w:noProof w:val="0"/>
          <w:color w:val="auto"/>
          <w:sz w:val="24"/>
          <w:szCs w:val="24"/>
          <w:lang w:val="en-US"/>
        </w:rPr>
      </w:pPr>
      <w:r w:rsidRPr="7BD12F8A" w:rsidR="43C17BEF">
        <w:rPr>
          <w:rFonts w:ascii="Calibri" w:hAnsi="Calibri" w:eastAsia="Calibri" w:cs="Calibri" w:asciiTheme="minorAscii" w:hAnsiTheme="minorAscii" w:eastAsiaTheme="minorAscii" w:cstheme="minorAscii"/>
          <w:b w:val="1"/>
          <w:bCs w:val="1"/>
          <w:noProof w:val="0"/>
          <w:color w:val="auto"/>
          <w:sz w:val="24"/>
          <w:szCs w:val="24"/>
          <w:lang w:val="en-US"/>
        </w:rPr>
        <w:t>2 Overview</w:t>
      </w:r>
    </w:p>
    <w:p w:rsidR="43C17BEF" w:rsidP="7BD12F8A" w:rsidRDefault="43C17BEF" w14:paraId="782F261D" w14:textId="357C7C24">
      <w:pPr>
        <w:spacing w:line="300" w:lineRule="auto"/>
      </w:pPr>
      <w:r w:rsidRPr="7BD12F8A" w:rsidR="43C17BEF">
        <w:rPr>
          <w:rFonts w:ascii="Segoe UI" w:hAnsi="Segoe UI" w:eastAsia="Segoe UI" w:cs="Segoe UI"/>
          <w:b w:val="0"/>
          <w:bCs w:val="0"/>
          <w:i w:val="0"/>
          <w:iCs w:val="0"/>
          <w:noProof w:val="0"/>
          <w:sz w:val="21"/>
          <w:szCs w:val="21"/>
          <w:lang w:val="en-US"/>
        </w:rPr>
        <w:t xml:space="preserve">The planned Tables, Figures, and Listings (TFLs) will summarize efficacy, safety, and baseline characteristics of afatinib in patients with EGFR mutation-positive NSCLC. All outputs will be based on predefined </w:t>
      </w:r>
      <w:r w:rsidRPr="7BD12F8A" w:rsidR="43C17BEF">
        <w:rPr>
          <w:rFonts w:ascii="Segoe UI" w:hAnsi="Segoe UI" w:eastAsia="Segoe UI" w:cs="Segoe UI"/>
          <w:b w:val="0"/>
          <w:bCs w:val="0"/>
          <w:i w:val="0"/>
          <w:iCs w:val="0"/>
          <w:noProof w:val="0"/>
          <w:sz w:val="21"/>
          <w:szCs w:val="21"/>
          <w:lang w:val="en-US"/>
        </w:rPr>
        <w:t>analysis</w:t>
      </w:r>
      <w:r w:rsidRPr="7BD12F8A" w:rsidR="43C17BEF">
        <w:rPr>
          <w:rFonts w:ascii="Segoe UI" w:hAnsi="Segoe UI" w:eastAsia="Segoe UI" w:cs="Segoe UI"/>
          <w:b w:val="0"/>
          <w:bCs w:val="0"/>
          <w:i w:val="0"/>
          <w:iCs w:val="0"/>
          <w:noProof w:val="0"/>
          <w:sz w:val="21"/>
          <w:szCs w:val="21"/>
          <w:lang w:val="en-US"/>
        </w:rPr>
        <w:t xml:space="preserve"> populations and aligned with study endpoints, primarily PFS, ORR, and OS.</w:t>
      </w:r>
      <w:r w:rsidRPr="7BD12F8A" w:rsidR="397961B6">
        <w:rPr>
          <w:rFonts w:ascii="Segoe UI" w:hAnsi="Segoe UI" w:eastAsia="Segoe UI" w:cs="Segoe UI"/>
          <w:b w:val="0"/>
          <w:bCs w:val="0"/>
          <w:i w:val="0"/>
          <w:iCs w:val="0"/>
          <w:noProof w:val="0"/>
          <w:sz w:val="21"/>
          <w:szCs w:val="21"/>
          <w:lang w:val="en-US"/>
        </w:rPr>
        <w:t xml:space="preserve"> See </w:t>
      </w:r>
      <w:r w:rsidRPr="7BD12F8A" w:rsidR="397961B6">
        <w:rPr>
          <w:rFonts w:ascii="Segoe UI" w:hAnsi="Segoe UI" w:eastAsia="Segoe UI" w:cs="Segoe UI"/>
          <w:b w:val="0"/>
          <w:bCs w:val="0"/>
          <w:i w:val="0"/>
          <w:iCs w:val="0"/>
          <w:noProof w:val="0"/>
          <w:sz w:val="21"/>
          <w:szCs w:val="21"/>
          <w:highlight w:val="yellow"/>
          <w:lang w:val="en-US"/>
        </w:rPr>
        <w:t>Clinical Summary</w:t>
      </w:r>
      <w:r w:rsidRPr="7BD12F8A" w:rsidR="397961B6">
        <w:rPr>
          <w:rFonts w:ascii="Segoe UI" w:hAnsi="Segoe UI" w:eastAsia="Segoe UI" w:cs="Segoe UI"/>
          <w:b w:val="0"/>
          <w:bCs w:val="0"/>
          <w:i w:val="0"/>
          <w:iCs w:val="0"/>
          <w:noProof w:val="0"/>
          <w:sz w:val="21"/>
          <w:szCs w:val="21"/>
          <w:lang w:val="en-US"/>
        </w:rPr>
        <w:t>.</w:t>
      </w:r>
    </w:p>
    <w:p w:rsidR="7BD12F8A" w:rsidP="7BD12F8A" w:rsidRDefault="7BD12F8A" w14:paraId="3C986031" w14:textId="42CFE01B">
      <w:pPr>
        <w:spacing w:line="300" w:lineRule="auto"/>
        <w:rPr>
          <w:rFonts w:ascii="Segoe UI" w:hAnsi="Segoe UI" w:eastAsia="Segoe UI" w:cs="Segoe UI"/>
          <w:b w:val="0"/>
          <w:bCs w:val="0"/>
          <w:i w:val="0"/>
          <w:iCs w:val="0"/>
          <w:noProof w:val="0"/>
          <w:sz w:val="21"/>
          <w:szCs w:val="21"/>
          <w:lang w:val="en-US"/>
        </w:rPr>
      </w:pPr>
    </w:p>
    <w:p w:rsidR="7BD12F8A" w:rsidP="7BD12F8A" w:rsidRDefault="7BD12F8A" w14:paraId="2065C77F" w14:textId="1B3A5B4C">
      <w:pPr>
        <w:spacing w:line="300" w:lineRule="auto"/>
        <w:rPr>
          <w:rFonts w:ascii="Segoe UI" w:hAnsi="Segoe UI" w:eastAsia="Segoe UI" w:cs="Segoe UI"/>
          <w:b w:val="0"/>
          <w:bCs w:val="0"/>
          <w:i w:val="0"/>
          <w:iCs w:val="0"/>
          <w:noProof w:val="0"/>
          <w:sz w:val="21"/>
          <w:szCs w:val="21"/>
          <w:lang w:val="en-US"/>
        </w:rPr>
      </w:pPr>
    </w:p>
    <w:p w:rsidR="43C17BEF" w:rsidP="7BD12F8A" w:rsidRDefault="43C17BEF" w14:paraId="08575E26" w14:textId="791FC419">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BD12F8A" w:rsidR="43C17BEF">
        <w:rPr>
          <w:rFonts w:ascii="Calibri" w:hAnsi="Calibri" w:eastAsia="Calibri" w:cs="Calibri" w:asciiTheme="minorAscii" w:hAnsiTheme="minorAscii" w:eastAsiaTheme="minorAscii" w:cstheme="minorAscii"/>
          <w:b w:val="1"/>
          <w:bCs w:val="1"/>
          <w:noProof w:val="0"/>
          <w:color w:val="auto"/>
          <w:sz w:val="24"/>
          <w:szCs w:val="24"/>
          <w:lang w:val="en-US"/>
        </w:rPr>
        <w:t>2.1 Demographics and Baseline Characteristics</w:t>
      </w:r>
    </w:p>
    <w:p w:rsidR="43C17BEF" w:rsidP="7BD12F8A" w:rsidRDefault="43C17BEF" w14:paraId="0280EC3D" w14:textId="0239929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 xml:space="preserve"> Patient disposition</w:t>
      </w:r>
    </w:p>
    <w:p w:rsidR="43C17BEF" w:rsidP="7BD12F8A" w:rsidRDefault="43C17BEF" w14:paraId="7FD1E02E" w14:textId="7457685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 xml:space="preserve"> Demographic characteristics (age, sex, race)</w:t>
      </w:r>
    </w:p>
    <w:p w:rsidR="43C17BEF" w:rsidP="7BD12F8A" w:rsidRDefault="43C17BEF" w14:paraId="2D2CA7DE" w14:textId="657B7DC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Baseline disease characteristics (EGFR mutation type, ECOG PS)</w:t>
      </w:r>
    </w:p>
    <w:p w:rsidR="7BD12F8A" w:rsidP="7BD12F8A" w:rsidRDefault="7BD12F8A" w14:paraId="5C077BA2" w14:textId="5640FD33">
      <w:pPr>
        <w:spacing w:line="300" w:lineRule="auto"/>
        <w:rPr>
          <w:rFonts w:ascii="Segoe UI" w:hAnsi="Segoe UI" w:eastAsia="Segoe UI" w:cs="Segoe UI"/>
          <w:b w:val="0"/>
          <w:bCs w:val="0"/>
          <w:i w:val="0"/>
          <w:iCs w:val="0"/>
          <w:noProof w:val="0"/>
          <w:sz w:val="21"/>
          <w:szCs w:val="21"/>
          <w:lang w:val="en-US"/>
        </w:rPr>
      </w:pPr>
    </w:p>
    <w:p w:rsidR="7BD12F8A" w:rsidP="7BD12F8A" w:rsidRDefault="7BD12F8A" w14:paraId="6885D12C" w14:textId="43C12BD3">
      <w:pPr>
        <w:spacing w:line="300" w:lineRule="auto"/>
        <w:rPr>
          <w:rFonts w:ascii="Segoe UI" w:hAnsi="Segoe UI" w:eastAsia="Segoe UI" w:cs="Segoe UI"/>
          <w:b w:val="0"/>
          <w:bCs w:val="0"/>
          <w:i w:val="0"/>
          <w:iCs w:val="0"/>
          <w:noProof w:val="0"/>
          <w:sz w:val="21"/>
          <w:szCs w:val="21"/>
          <w:highlight w:val="yellow"/>
          <w:lang w:val="en-US"/>
        </w:rPr>
      </w:pPr>
    </w:p>
    <w:p w:rsidR="7BD12F8A" w:rsidP="7BD12F8A" w:rsidRDefault="7BD12F8A" w14:paraId="495F6C4C" w14:textId="3AC58DF3">
      <w:pPr>
        <w:spacing w:line="300" w:lineRule="auto"/>
        <w:rPr>
          <w:rFonts w:ascii="Segoe UI" w:hAnsi="Segoe UI" w:eastAsia="Segoe UI" w:cs="Segoe UI"/>
          <w:b w:val="0"/>
          <w:bCs w:val="0"/>
          <w:i w:val="0"/>
          <w:iCs w:val="0"/>
          <w:noProof w:val="0"/>
          <w:sz w:val="21"/>
          <w:szCs w:val="21"/>
          <w:lang w:val="en-US"/>
        </w:rPr>
      </w:pPr>
    </w:p>
    <w:p w:rsidR="43C17BEF" w:rsidP="7BD12F8A" w:rsidRDefault="43C17BEF" w14:paraId="227F96AA" w14:textId="65F30E08">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BD12F8A" w:rsidR="43C17BEF">
        <w:rPr>
          <w:rFonts w:ascii="Calibri" w:hAnsi="Calibri" w:eastAsia="Calibri" w:cs="Calibri" w:asciiTheme="minorAscii" w:hAnsiTheme="minorAscii" w:eastAsiaTheme="minorAscii" w:cstheme="minorAscii"/>
          <w:b w:val="1"/>
          <w:bCs w:val="1"/>
          <w:noProof w:val="0"/>
          <w:color w:val="auto"/>
          <w:sz w:val="24"/>
          <w:szCs w:val="24"/>
          <w:lang w:val="en-US"/>
        </w:rPr>
        <w:t>2.2 Exposure and Treatment Compliance</w:t>
      </w:r>
    </w:p>
    <w:p w:rsidR="43C17BEF" w:rsidP="7BD12F8A" w:rsidRDefault="43C17BEF" w14:paraId="11F2F27B" w14:textId="4F90FBF0">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 xml:space="preserve"> Treatment exposure (dose, duration)</w:t>
      </w:r>
    </w:p>
    <w:p w:rsidR="43C17BEF" w:rsidP="7BD12F8A" w:rsidRDefault="43C17BEF" w14:paraId="52007F6A" w14:textId="4D8F0CC3">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Dose modifications (interruptions, reductions)</w:t>
      </w:r>
    </w:p>
    <w:p w:rsidR="7BD12F8A" w:rsidP="7BD12F8A" w:rsidRDefault="7BD12F8A" w14:paraId="18A23343" w14:textId="770E937F">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43C17BEF" w:rsidP="7BD12F8A" w:rsidRDefault="43C17BEF" w14:paraId="3DFB1BBC" w14:textId="46C00005">
      <w:pPr>
        <w:pStyle w:val="Heading2"/>
        <w:rPr>
          <w:rFonts w:ascii="Calibri" w:hAnsi="Calibri" w:eastAsia="Calibri" w:cs="Calibri" w:asciiTheme="minorAscii" w:hAnsiTheme="minorAscii" w:eastAsiaTheme="minorAscii" w:cstheme="minorAscii"/>
          <w:b w:val="1"/>
          <w:bCs w:val="1"/>
          <w:noProof w:val="0"/>
          <w:color w:val="auto"/>
          <w:sz w:val="24"/>
          <w:szCs w:val="24"/>
          <w:lang w:val="en-US"/>
        </w:rPr>
      </w:pPr>
      <w:r w:rsidRPr="7BD12F8A" w:rsidR="43C17BEF">
        <w:rPr>
          <w:rFonts w:ascii="Calibri" w:hAnsi="Calibri" w:eastAsia="Calibri" w:cs="Calibri" w:asciiTheme="minorAscii" w:hAnsiTheme="minorAscii" w:eastAsiaTheme="minorAscii" w:cstheme="minorAscii"/>
          <w:b w:val="1"/>
          <w:bCs w:val="1"/>
          <w:noProof w:val="0"/>
          <w:color w:val="auto"/>
          <w:sz w:val="24"/>
          <w:szCs w:val="24"/>
          <w:lang w:val="en-US"/>
        </w:rPr>
        <w:t>2.3 Safety Figures</w:t>
      </w:r>
    </w:p>
    <w:p w:rsidR="43C17BEF" w:rsidP="7BD12F8A" w:rsidRDefault="43C17BEF" w14:paraId="0205B082" w14:textId="44B40F1D">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Incidence of TEAEs (bar chart)</w:t>
      </w:r>
    </w:p>
    <w:p w:rsidR="43C17BEF" w:rsidP="7BD12F8A" w:rsidRDefault="43C17BEF" w14:paraId="7B88D826" w14:textId="3F7DFA48">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D12F8A" w:rsidR="43C17BEF">
        <w:rPr>
          <w:rFonts w:ascii="Segoe UI" w:hAnsi="Segoe UI" w:eastAsia="Segoe UI" w:cs="Segoe UI"/>
          <w:b w:val="0"/>
          <w:bCs w:val="0"/>
          <w:i w:val="0"/>
          <w:iCs w:val="0"/>
          <w:noProof w:val="0"/>
          <w:sz w:val="21"/>
          <w:szCs w:val="21"/>
          <w:lang w:val="en-US"/>
        </w:rPr>
        <w:t>Most common adverse events (≥10%)</w:t>
      </w:r>
    </w:p>
    <w:p w:rsidR="7BD12F8A" w:rsidP="7BD12F8A" w:rsidRDefault="7BD12F8A" w14:paraId="0BE60489" w14:textId="0535D0BF">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7BD12F8A" w:rsidP="7BD12F8A" w:rsidRDefault="7BD12F8A" w14:paraId="25789995" w14:textId="0607A830">
      <w:pPr>
        <w:pStyle w:val="Heading3"/>
        <w:rPr>
          <w:rFonts w:ascii="Calibri" w:hAnsi="Calibri" w:eastAsia="Calibri" w:cs="Calibri" w:asciiTheme="minorAscii" w:hAnsiTheme="minorAscii" w:eastAsiaTheme="minorAscii" w:cstheme="minorAscii"/>
          <w:b w:val="1"/>
          <w:bCs w:val="1"/>
          <w:color w:val="auto"/>
          <w:sz w:val="24"/>
          <w:szCs w:val="24"/>
        </w:rPr>
      </w:pPr>
    </w:p>
    <w:p w:rsidR="7BD12F8A" w:rsidP="7BD12F8A" w:rsidRDefault="7BD12F8A" w14:paraId="188498BB" w14:textId="18E91757">
      <w:pPr>
        <w:pStyle w:val="Heading3"/>
        <w:rPr>
          <w:rFonts w:ascii="Calibri" w:hAnsi="Calibri" w:eastAsia="Calibri" w:cs="Calibri" w:asciiTheme="minorAscii" w:hAnsiTheme="minorAscii" w:eastAsiaTheme="minorAscii" w:cstheme="minorAscii"/>
          <w:b w:val="1"/>
          <w:bCs w:val="1"/>
          <w:color w:val="auto"/>
          <w:sz w:val="24"/>
          <w:szCs w:val="24"/>
        </w:rPr>
      </w:pPr>
    </w:p>
    <w:p w:rsidR="7BD12F8A" w:rsidP="7BD12F8A" w:rsidRDefault="7BD12F8A" w14:paraId="30CA55CD" w14:textId="0C3AF0C4">
      <w:pPr>
        <w:pStyle w:val="Heading3"/>
        <w:rPr>
          <w:rFonts w:ascii="Calibri" w:hAnsi="Calibri" w:eastAsia="Calibri" w:cs="Calibri" w:asciiTheme="minorAscii" w:hAnsiTheme="minorAscii" w:eastAsiaTheme="minorAscii" w:cstheme="minorAscii"/>
          <w:b w:val="1"/>
          <w:bCs w:val="1"/>
          <w:color w:val="auto"/>
          <w:sz w:val="24"/>
          <w:szCs w:val="24"/>
        </w:rPr>
      </w:pPr>
    </w:p>
    <w:p w:rsidR="7BD12F8A" w:rsidP="7BD12F8A" w:rsidRDefault="7BD12F8A" w14:paraId="78EACC3E" w14:textId="573DB534">
      <w:pPr>
        <w:pStyle w:val="Normal"/>
      </w:pPr>
    </w:p>
    <w:p w:rsidR="7BD12F8A" w:rsidP="7BD12F8A" w:rsidRDefault="7BD12F8A" w14:paraId="5094C99D" w14:textId="487010DE">
      <w:pPr>
        <w:pStyle w:val="Normal"/>
      </w:pPr>
    </w:p>
    <w:p w:rsidR="7BD12F8A" w:rsidP="7BD12F8A" w:rsidRDefault="7BD12F8A" w14:paraId="180E47CF" w14:textId="1A35D6A9">
      <w:pPr>
        <w:pStyle w:val="Normal"/>
      </w:pPr>
    </w:p>
    <w:p w:rsidR="654E518F" w:rsidP="7BD12F8A" w:rsidRDefault="654E518F" w14:paraId="28059B27" w14:textId="357BFA1C">
      <w:pPr>
        <w:pStyle w:val="Heading3"/>
        <w:rPr>
          <w:rFonts w:ascii="Calibri" w:hAnsi="Calibri" w:eastAsia="Calibri" w:cs="Calibri" w:asciiTheme="minorAscii" w:hAnsiTheme="minorAscii" w:eastAsiaTheme="minorAscii" w:cstheme="minorAscii"/>
          <w:b w:val="1"/>
          <w:bCs w:val="1"/>
          <w:color w:val="auto"/>
          <w:sz w:val="24"/>
          <w:szCs w:val="24"/>
        </w:rPr>
      </w:pPr>
      <w:r w:rsidRPr="7BD12F8A" w:rsidR="654E518F">
        <w:rPr>
          <w:rFonts w:ascii="Calibri" w:hAnsi="Calibri" w:eastAsia="Calibri" w:cs="Calibri" w:asciiTheme="minorAscii" w:hAnsiTheme="minorAscii" w:eastAsiaTheme="minorAscii" w:cstheme="minorAscii"/>
          <w:b w:val="1"/>
          <w:bCs w:val="1"/>
          <w:color w:val="auto"/>
          <w:sz w:val="24"/>
          <w:szCs w:val="24"/>
        </w:rPr>
        <w:t>3 Safety</w:t>
      </w:r>
    </w:p>
    <w:p w:rsidR="7BD12F8A" w:rsidP="7BD12F8A" w:rsidRDefault="7BD12F8A" w14:paraId="016E3D2E" w14:textId="78A1DA68">
      <w:pPr>
        <w:pStyle w:val="Normal"/>
      </w:pPr>
    </w:p>
    <w:p w:rsidR="654E518F" w:rsidP="7BD12F8A" w:rsidRDefault="654E518F" w14:paraId="6103F890" w14:textId="294B22F1">
      <w:pPr>
        <w:spacing w:line="300" w:lineRule="auto"/>
      </w:pPr>
      <w:r w:rsidRPr="7BD12F8A" w:rsidR="654E518F">
        <w:rPr>
          <w:rFonts w:ascii="Segoe UI" w:hAnsi="Segoe UI" w:eastAsia="Segoe UI" w:cs="Segoe UI"/>
          <w:b w:val="0"/>
          <w:bCs w:val="0"/>
          <w:i w:val="0"/>
          <w:iCs w:val="0"/>
          <w:noProof w:val="0"/>
          <w:sz w:val="21"/>
          <w:szCs w:val="21"/>
          <w:lang w:val="en-US"/>
        </w:rPr>
        <w:t>Safety analyses are performed on the treated population and include comprehensive summaries of treatment-emergent adverse events (TEAEs), serious adverse events (SAEs), and laboratory abnormalities, with severity graded using CTCAE criteria. Dose modifications, interruptions, and discontinuations due to adverse events are also analyzed to assess tolerability. Missing data for time-to-event endpoints are managed through censoring rules, and sensitivity analyses are conducted to validate the robustness of the findings. In addition, subgroup analyses are pre-specified within the SAP to evaluate treatment effects across clinically relevant subgroups, including EGFR mutation type (exon 19 deletion, L858R), baseline performance status, and presence of brain metastases</w:t>
      </w:r>
    </w:p>
    <w:p w:rsidR="7BD12F8A" w:rsidP="7BD12F8A" w:rsidRDefault="7BD12F8A" w14:paraId="12311E57" w14:textId="50BB148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0f7e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6a9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d6a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A84CE7"/>
    <w:rsid w:val="0008A63F"/>
    <w:rsid w:val="01926634"/>
    <w:rsid w:val="03D1E0C2"/>
    <w:rsid w:val="0F2C0838"/>
    <w:rsid w:val="105FFA2A"/>
    <w:rsid w:val="156E2112"/>
    <w:rsid w:val="27871CA5"/>
    <w:rsid w:val="30A84CE7"/>
    <w:rsid w:val="397961B6"/>
    <w:rsid w:val="398E6193"/>
    <w:rsid w:val="43AA3944"/>
    <w:rsid w:val="43AC39D7"/>
    <w:rsid w:val="43C17BEF"/>
    <w:rsid w:val="4900BAF4"/>
    <w:rsid w:val="4A695A8B"/>
    <w:rsid w:val="53851C34"/>
    <w:rsid w:val="654E518F"/>
    <w:rsid w:val="6883E038"/>
    <w:rsid w:val="6F1A07D9"/>
    <w:rsid w:val="6F290B43"/>
    <w:rsid w:val="7331A9E7"/>
    <w:rsid w:val="75C6046F"/>
    <w:rsid w:val="7BD12F8A"/>
    <w:rsid w:val="7C7B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D424"/>
  <w15:chartTrackingRefBased/>
  <w15:docId w15:val="{730C1CAC-44E9-4CAC-A30B-BC7965B9A4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BD12F8A"/>
    <w:rPr>
      <w:color w:val="467886"/>
      <w:u w:val="single"/>
    </w:rPr>
  </w:style>
  <w:style w:type="paragraph" w:styleId="Heading3">
    <w:uiPriority w:val="9"/>
    <w:name w:val="heading 3"/>
    <w:basedOn w:val="Normal"/>
    <w:next w:val="Normal"/>
    <w:unhideWhenUsed/>
    <w:qFormat/>
    <w:rsid w:val="7BD12F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BD12F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BD12F8A"/>
    <w:pPr>
      <w:spacing/>
      <w:ind w:left="720"/>
      <w:contextualSpacing/>
    </w:pPr>
  </w:style>
  <w:style w:type="paragraph" w:styleId="Heading2">
    <w:uiPriority w:val="9"/>
    <w:name w:val="heading 2"/>
    <w:basedOn w:val="Normal"/>
    <w:next w:val="Normal"/>
    <w:unhideWhenUsed/>
    <w:qFormat/>
    <w:rsid w:val="7BD12F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8b39eb46ca47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2026-06-23T08:43:52.1855356Z</dcterms:created>
  <dcterms:modified xsi:type="dcterms:W3CDTF">2026-06-23T08:54:39.7728870Z</dcterms:modified>
  <dc:creator>Pooja Milan Gursale</dc:creator>
  <lastModifiedBy>Pooja Milan Gursale</lastModifiedBy>
</coreProperties>
</file>