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E46E2" w:rsidR="00FE46E2" w:rsidP="00FE46E2" w:rsidRDefault="00FE46E2" w14:paraId="623A36FE" w14:textId="09FF0FA4">
      <w:pPr>
        <w:rPr>
          <w:b w:val="1"/>
          <w:bCs w:val="1"/>
        </w:rPr>
      </w:pPr>
      <w:r w:rsidRPr="49EFF549" w:rsidR="6444F364">
        <w:rPr>
          <w:b w:val="1"/>
          <w:bCs w:val="1"/>
        </w:rPr>
        <w:t>]]</w:t>
      </w:r>
      <w:r w:rsidRPr="49EFF549" w:rsidR="00FE46E2">
        <w:rPr>
          <w:b w:val="1"/>
          <w:bCs w:val="1"/>
        </w:rPr>
        <w:t>CLINICAL STUDY REPORT (CSR)</w:t>
      </w:r>
    </w:p>
    <w:p w:rsidRPr="00FE46E2" w:rsidR="00FE46E2" w:rsidP="00FE46E2" w:rsidRDefault="00FE46E2" w14:paraId="6E5C9C57" w14:textId="77777777">
      <w:pPr>
        <w:rPr>
          <w:b/>
          <w:bCs/>
        </w:rPr>
      </w:pPr>
      <w:r w:rsidRPr="00FE46E2">
        <w:rPr>
          <w:b/>
          <w:bCs/>
        </w:rPr>
        <w:t>Study NCT01101035</w:t>
      </w:r>
    </w:p>
    <w:p w:rsidRPr="00FE46E2" w:rsidR="00FE46E2" w:rsidP="00FE46E2" w:rsidRDefault="00FE46E2" w14:paraId="71E6AF49" w14:textId="77777777">
      <w:r w:rsidRPr="00FE46E2">
        <w:rPr>
          <w:b/>
          <w:bCs/>
        </w:rPr>
        <w:t>Febuxostat vs Allopurinol — Cardiovascular Outcomes Study</w:t>
      </w:r>
    </w:p>
    <w:p w:rsidRPr="00FE46E2" w:rsidR="00FE46E2" w:rsidP="00FE46E2" w:rsidRDefault="00BC2E7F" w14:paraId="39DF8320" w14:textId="0397F39C">
      <w:hyperlink w:history="1" r:id="rId5">
        <w:r w:rsidRPr="00FE46E2" w:rsidR="00FE46E2">
          <w:pict w14:anchorId="2B9C726E">
            <v:rect id="_x0000_i1248" style="width:0;height:1.5pt" o:hr="t" o:hrstd="t" o:hralign="center" fillcolor="#a0a0a0" stroked="f"/>
          </w:pict>
        </w:r>
      </w:hyperlink>
    </w:p>
    <w:p w:rsidRPr="00FE46E2" w:rsidR="00FE46E2" w:rsidP="00FE46E2" w:rsidRDefault="00FE46E2" w14:paraId="4EB622FD" w14:textId="77777777">
      <w:pPr>
        <w:rPr>
          <w:b/>
          <w:bCs/>
        </w:rPr>
      </w:pPr>
      <w:r w:rsidRPr="00FE46E2">
        <w:rPr>
          <w:b/>
          <w:bCs/>
        </w:rPr>
        <w:t>1. TITLE PAGE</w:t>
      </w:r>
    </w:p>
    <w:p w:rsidRPr="00FE46E2" w:rsidR="00FE46E2" w:rsidP="00FE46E2" w:rsidRDefault="00FE46E2" w14:paraId="3C691EE0" w14:textId="77777777">
      <w:r w:rsidR="00FE46E2">
        <w:rPr/>
        <w:t>Clinical Study Report</w:t>
      </w:r>
      <w:r>
        <w:br/>
      </w:r>
      <w:r w:rsidR="00FE46E2">
        <w:rPr/>
        <w:t xml:space="preserve">Study </w:t>
      </w:r>
      <w:r w:rsidRPr="49EFF549" w:rsidR="00FE46E2">
        <w:rPr>
          <w:highlight w:val="yellow"/>
        </w:rPr>
        <w:t>NCT01101035</w:t>
      </w:r>
    </w:p>
    <w:p w:rsidR="4A56394B" w:rsidP="49EFF549" w:rsidRDefault="4A56394B" w14:paraId="20B9E732" w14:textId="11BFC23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383F1127">
        <w:rPr/>
        <w:t xml:space="preserve">Study </w:t>
      </w:r>
      <w:r w:rsidR="4A56394B">
        <w:rPr/>
        <w:t>ID-</w:t>
      </w:r>
      <w:r w:rsidRPr="49EFF549" w:rsidR="4A56394B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 </w:t>
      </w:r>
      <w:r w:rsidRPr="49EFF549" w:rsidR="4A56394B">
        <w:rPr>
          <w:rFonts w:ascii="Aptos" w:hAnsi="Aptos" w:eastAsia="Aptos" w:cs="Aptos"/>
          <w:noProof w:val="0"/>
          <w:sz w:val="22"/>
          <w:szCs w:val="22"/>
          <w:highlight w:val="yellow"/>
          <w:lang w:val="en-IN"/>
        </w:rPr>
        <w:t>TMX-67_301</w:t>
      </w:r>
    </w:p>
    <w:p w:rsidRPr="00FE46E2" w:rsidR="00FE46E2" w:rsidP="00FE46E2" w:rsidRDefault="00FE46E2" w14:paraId="27D23E7C" w14:textId="77777777">
      <w:r w:rsidRPr="00FE46E2">
        <w:t>A randomized, double-blind, active-controlled clinical trial evaluating the cardiovascular safety of febuxostat compared to allopurinol in subjects with gout and cardiovascular comorbidities.</w:t>
      </w:r>
    </w:p>
    <w:p w:rsidRPr="00FE46E2" w:rsidR="00FE46E2" w:rsidP="00FE46E2" w:rsidRDefault="00FE46E2" w14:paraId="47B3DCFC" w14:textId="77777777">
      <w:r w:rsidRPr="00FE46E2">
        <w:pict w14:anchorId="2BDEA80D">
          <v:rect id="_x0000_i1249" style="width:0;height:1.5pt" o:hr="t" o:hrstd="t" o:hralign="center" fillcolor="#a0a0a0" stroked="f"/>
        </w:pict>
      </w:r>
    </w:p>
    <w:p w:rsidRPr="00FE46E2" w:rsidR="00FE46E2" w:rsidP="00FE46E2" w:rsidRDefault="00FE46E2" w14:paraId="5A318364" w14:textId="77777777">
      <w:pPr>
        <w:rPr>
          <w:b/>
          <w:bCs/>
        </w:rPr>
      </w:pPr>
      <w:r w:rsidRPr="00FE46E2">
        <w:rPr>
          <w:b/>
          <w:bCs/>
        </w:rPr>
        <w:t>2. SYNOPSIS</w:t>
      </w:r>
    </w:p>
    <w:p w:rsidRPr="00FE46E2" w:rsidR="00FE46E2" w:rsidP="00FE46E2" w:rsidRDefault="00FE46E2" w14:paraId="388A76FC" w14:textId="1E3EC92C">
      <w:r w:rsidR="00FE46E2">
        <w:rPr/>
        <w:t xml:space="preserve">This Clinical Study Report presents the results of Study </w:t>
      </w:r>
      <w:r w:rsidRPr="7D059A72" w:rsidR="00BC2E7F">
        <w:rPr>
          <w:highlight w:val="yellow"/>
        </w:rPr>
        <w:t>NCT01101035</w:t>
      </w:r>
      <w:r w:rsidR="00FE46E2">
        <w:rPr/>
        <w:t>, a randomized, double-blind, active-controlled study designed to compare the risk of major adverse cardiovascular events (MACE) between febuxostat and allopurinol</w:t>
      </w:r>
      <w:r w:rsidR="5CB245D2">
        <w:rPr/>
        <w:t xml:space="preserve"> refer </w:t>
      </w:r>
      <w:r w:rsidRPr="7D059A72" w:rsidR="5CB245D2">
        <w:rPr>
          <w:color w:val="auto"/>
          <w:highlight w:val="yellow"/>
        </w:rPr>
        <w:t>Table 7.2.1</w:t>
      </w:r>
      <w:r w:rsidR="5CB245D2">
        <w:rPr/>
        <w:t>.</w:t>
      </w:r>
    </w:p>
    <w:p w:rsidRPr="00FE46E2" w:rsidR="00FE46E2" w:rsidP="49EFF549" w:rsidRDefault="00FE46E2" w14:paraId="33036B5A" w14:textId="470E6FD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00FE46E2">
        <w:rPr/>
        <w:t xml:space="preserve">The study design is described in </w:t>
      </w:r>
      <w:r w:rsidRPr="49EFF549" w:rsidR="10970A79">
        <w:rPr>
          <w:b w:val="1"/>
          <w:bCs w:val="1"/>
          <w:highlight w:val="yellow"/>
        </w:rPr>
        <w:t xml:space="preserve">Study ID </w:t>
      </w:r>
      <w:r w:rsidRPr="49EFF549" w:rsidR="48502A63">
        <w:rPr>
          <w:rFonts w:ascii="Aptos" w:hAnsi="Aptos" w:eastAsia="Aptos" w:cs="Aptos"/>
          <w:b w:val="1"/>
          <w:bCs w:val="1"/>
          <w:noProof w:val="0"/>
          <w:sz w:val="22"/>
          <w:szCs w:val="22"/>
          <w:highlight w:val="yellow"/>
          <w:lang w:val="en-IN"/>
        </w:rPr>
        <w:t>TMX-67_301</w:t>
      </w:r>
      <w:r w:rsidRPr="49EFF549" w:rsidR="48502A63">
        <w:rPr>
          <w:rFonts w:ascii="Aptos" w:hAnsi="Aptos" w:eastAsia="Aptos" w:cs="Aptos"/>
          <w:b w:val="1"/>
          <w:bCs w:val="1"/>
          <w:noProof w:val="0"/>
          <w:sz w:val="22"/>
          <w:szCs w:val="22"/>
          <w:highlight w:val="yellow"/>
          <w:lang w:val="en-IN"/>
        </w:rPr>
        <w:t xml:space="preserve"> </w:t>
      </w:r>
      <w:r w:rsidRPr="49EFF549" w:rsidR="00FE46E2">
        <w:rPr>
          <w:b w:val="1"/>
          <w:bCs w:val="1"/>
          <w:highlight w:val="yellow"/>
        </w:rPr>
        <w:t>Section</w:t>
      </w:r>
      <w:r w:rsidRPr="49EFF549" w:rsidR="5D835EBA">
        <w:rPr>
          <w:b w:val="1"/>
          <w:bCs w:val="1"/>
          <w:highlight w:val="yellow"/>
        </w:rPr>
        <w:t xml:space="preserve"> </w:t>
      </w:r>
      <w:r w:rsidRPr="49EFF549" w:rsidR="00FE46E2">
        <w:rPr>
          <w:b w:val="1"/>
          <w:bCs w:val="1"/>
          <w:highlight w:val="yellow"/>
        </w:rPr>
        <w:t xml:space="preserve"> 6.1</w:t>
      </w:r>
      <w:r w:rsidR="00FE46E2">
        <w:rPr/>
        <w:t xml:space="preserve">, and statistical analyses were conducted as defined in </w:t>
      </w:r>
      <w:r w:rsidRPr="49EFF549" w:rsidR="00FE46E2">
        <w:rPr>
          <w:b w:val="1"/>
          <w:bCs w:val="1"/>
          <w:highlight w:val="yellow"/>
        </w:rPr>
        <w:t>SAP</w:t>
      </w:r>
      <w:r w:rsidRPr="49EFF549" w:rsidR="00FE46E2">
        <w:rPr>
          <w:b w:val="1"/>
          <w:bCs w:val="1"/>
          <w:highlight w:val="yellow"/>
        </w:rPr>
        <w:t xml:space="preserve"> Section 5.3</w:t>
      </w:r>
      <w:r w:rsidR="00FE46E2">
        <w:rPr/>
        <w:t>.</w:t>
      </w:r>
    </w:p>
    <w:p w:rsidRPr="00FE46E2" w:rsidR="00FE46E2" w:rsidP="00FE46E2" w:rsidRDefault="00FE46E2" w14:paraId="253A3250" w14:textId="77777777">
      <w:r w:rsidRPr="00FE46E2">
        <w:t xml:space="preserve">A total of </w:t>
      </w:r>
      <w:r w:rsidRPr="00FE46E2">
        <w:rPr>
          <w:b/>
          <w:bCs/>
        </w:rPr>
        <w:t>480 subjects were randomized</w:t>
      </w:r>
      <w:r w:rsidRPr="00FE46E2">
        <w:t xml:space="preserve"> and followed for cardiovascular outcomes. The primary endpoint was </w:t>
      </w:r>
      <w:r w:rsidRPr="00FE46E2">
        <w:rPr>
          <w:b/>
          <w:bCs/>
        </w:rPr>
        <w:t>time from randomization to first occurrence of MACE</w:t>
      </w:r>
      <w:r w:rsidRPr="00FE46E2">
        <w:t>.</w:t>
      </w:r>
    </w:p>
    <w:p w:rsidRPr="00FE46E2" w:rsidR="00FE46E2" w:rsidP="00FE46E2" w:rsidRDefault="00FE46E2" w14:paraId="44A90001" w14:textId="77777777">
      <w:r w:rsidRPr="00FE46E2">
        <w:pict w14:anchorId="17E1B625">
          <v:rect id="_x0000_i1250" style="width:0;height:1.5pt" o:hr="t" o:hrstd="t" o:hralign="center" fillcolor="#a0a0a0" stroked="f"/>
        </w:pict>
      </w:r>
    </w:p>
    <w:p w:rsidRPr="00FE46E2" w:rsidR="00FE46E2" w:rsidP="00FE46E2" w:rsidRDefault="00FE46E2" w14:paraId="2271F125" w14:textId="77777777">
      <w:pPr>
        <w:rPr>
          <w:b/>
          <w:bCs/>
        </w:rPr>
      </w:pPr>
      <w:r w:rsidRPr="00FE46E2">
        <w:rPr>
          <w:b/>
          <w:bCs/>
        </w:rPr>
        <w:t>3. TABLE OF CONTENTS</w:t>
      </w:r>
    </w:p>
    <w:p w:rsidRPr="00FE46E2" w:rsidR="00FE46E2" w:rsidP="00FE46E2" w:rsidRDefault="00FE46E2" w14:paraId="083CD690" w14:textId="01B5B88A">
      <w:r w:rsidR="00FE46E2">
        <w:rPr/>
        <w:t>Structured according to ICH E3 guidelines, including sections on study design, patient disposition, efficacy, safety, and conclusions</w:t>
      </w:r>
      <w:r w:rsidR="2EA4C0CD">
        <w:rPr/>
        <w:t xml:space="preserve"> refer </w:t>
      </w:r>
      <w:r w:rsidRPr="49EFF549" w:rsidR="2EA4C0CD">
        <w:rPr>
          <w:highlight w:val="yellow"/>
        </w:rPr>
        <w:t xml:space="preserve">Figure 1 </w:t>
      </w:r>
      <w:r w:rsidR="2EA4C0CD">
        <w:rPr/>
        <w:t xml:space="preserve">– </w:t>
      </w:r>
      <w:r w:rsidRPr="49EFF549" w:rsidR="0C41141B">
        <w:rPr>
          <w:highlight w:val="yellow"/>
        </w:rPr>
        <w:t>Figure</w:t>
      </w:r>
      <w:r w:rsidRPr="49EFF549" w:rsidR="2EA4C0CD">
        <w:rPr>
          <w:highlight w:val="yellow"/>
        </w:rPr>
        <w:t xml:space="preserve"> </w:t>
      </w:r>
      <w:r w:rsidRPr="49EFF549" w:rsidR="62E82863">
        <w:rPr>
          <w:highlight w:val="yellow"/>
        </w:rPr>
        <w:t>2</w:t>
      </w:r>
      <w:r w:rsidR="62E82863">
        <w:rPr/>
        <w:t>.</w:t>
      </w:r>
    </w:p>
    <w:p w:rsidRPr="00FE46E2" w:rsidR="00FE46E2" w:rsidP="00FE46E2" w:rsidRDefault="00FE46E2" w14:paraId="20FFF5AE" w14:textId="77777777">
      <w:r w:rsidRPr="00FE46E2">
        <w:pict w14:anchorId="49155E7E">
          <v:rect id="_x0000_i1251" style="width:0;height:1.5pt" o:hr="t" o:hrstd="t" o:hralign="center" fillcolor="#a0a0a0" stroked="f"/>
        </w:pict>
      </w:r>
    </w:p>
    <w:p w:rsidRPr="00FE46E2" w:rsidR="00FE46E2" w:rsidP="00FE46E2" w:rsidRDefault="00FE46E2" w14:paraId="1680E3DD" w14:textId="77777777">
      <w:pPr>
        <w:rPr>
          <w:b/>
          <w:bCs/>
        </w:rPr>
      </w:pPr>
      <w:r w:rsidRPr="00FE46E2">
        <w:rPr>
          <w:b/>
          <w:bCs/>
        </w:rPr>
        <w:t>4. ETHICS</w:t>
      </w:r>
    </w:p>
    <w:p w:rsidRPr="00FE46E2" w:rsidR="00FE46E2" w:rsidP="00FE46E2" w:rsidRDefault="00FE46E2" w14:paraId="69B24BFB" w14:textId="1DE16254">
      <w:r w:rsidR="00FE46E2">
        <w:rPr/>
        <w:t xml:space="preserve">The study was conducted </w:t>
      </w:r>
      <w:r w:rsidR="00FE46E2">
        <w:rPr/>
        <w:t>in accordance with</w:t>
      </w:r>
      <w:r w:rsidR="00FE46E2">
        <w:rPr/>
        <w:t xml:space="preserve"> ICH GCP and the Declaration of Helsinki. Ethics approvals and informed consent procedures were implemented at all study sites</w:t>
      </w:r>
      <w:r w:rsidR="70811CA1">
        <w:rPr/>
        <w:t xml:space="preserve"> refer </w:t>
      </w:r>
      <w:r w:rsidRPr="1C07AB5D" w:rsidR="70811CA1">
        <w:rPr>
          <w:highlight w:val="yellow"/>
        </w:rPr>
        <w:t>Table 8.1.1</w:t>
      </w:r>
      <w:r w:rsidR="70811CA1">
        <w:rPr/>
        <w:t>.</w:t>
      </w:r>
    </w:p>
    <w:p w:rsidRPr="00FE46E2" w:rsidR="00FE46E2" w:rsidP="00FE46E2" w:rsidRDefault="00FE46E2" w14:paraId="7819CCF3" w14:textId="77777777">
      <w:r w:rsidRPr="00FE46E2">
        <w:pict w14:anchorId="53D6D254">
          <v:rect id="_x0000_i1252" style="width:0;height:1.5pt" o:hr="t" o:hrstd="t" o:hralign="center" fillcolor="#a0a0a0" stroked="f"/>
        </w:pict>
      </w:r>
    </w:p>
    <w:p w:rsidRPr="00FE46E2" w:rsidR="00FE46E2" w:rsidP="00FE46E2" w:rsidRDefault="00FE46E2" w14:paraId="10D86E48" w14:textId="77777777">
      <w:pPr>
        <w:rPr>
          <w:b/>
          <w:bCs/>
        </w:rPr>
      </w:pPr>
      <w:r w:rsidRPr="00FE46E2">
        <w:rPr>
          <w:b/>
          <w:bCs/>
        </w:rPr>
        <w:t>5. STUDY ADMINISTRATIVE STRUCTURE</w:t>
      </w:r>
    </w:p>
    <w:p w:rsidRPr="00FE46E2" w:rsidR="00FE46E2" w:rsidP="00FE46E2" w:rsidRDefault="00FE46E2" w14:paraId="5A0B7820" w14:textId="0A192C76">
      <w:r w:rsidR="00FE46E2">
        <w:rPr/>
        <w:t xml:space="preserve">The study was conducted across multiple global sites under the sponsorship of ABC Pharmaceuticals. Oversight included clinical monitoring, safety review, and statistical analysis per </w:t>
      </w:r>
      <w:r>
        <w:fldChar w:fldCharType="begin"/>
      </w:r>
      <w:r>
        <w:instrText xml:space="preserve">HYPERLINK "_NCT01101035%20-%20SAP.docx"</w:instrText>
      </w:r>
      <w:r>
        <w:fldChar w:fldCharType="separate"/>
      </w:r>
      <w:r w:rsidRPr="49EFF549" w:rsidR="00FE46E2">
        <w:rPr>
          <w:rStyle w:val="Hyperlink"/>
          <w:highlight w:val="yellow"/>
        </w:rPr>
        <w:t>SAP</w:t>
      </w:r>
      <w:r>
        <w:fldChar w:fldCharType="end"/>
      </w:r>
      <w:r w:rsidRPr="49EFF549" w:rsidR="00FE46E2">
        <w:rPr>
          <w:highlight w:val="yellow"/>
        </w:rPr>
        <w:t>.</w:t>
      </w:r>
    </w:p>
    <w:p w:rsidRPr="00FE46E2" w:rsidR="00FE46E2" w:rsidP="00FE46E2" w:rsidRDefault="00FE46E2" w14:paraId="050C57C5" w14:textId="77777777"/>
    <w:p w:rsidR="7031489D" w:rsidRDefault="7031489D" w14:paraId="01C2779E" w14:textId="11F2FE33"/>
    <w:p w:rsidRPr="00FE46E2" w:rsidR="00FE46E2" w:rsidP="00FE46E2" w:rsidRDefault="00FE46E2" w14:paraId="458FC282" w14:textId="77777777">
      <w:pPr>
        <w:rPr>
          <w:b/>
          <w:bCs/>
        </w:rPr>
      </w:pPr>
      <w:r w:rsidRPr="00FE46E2">
        <w:rPr>
          <w:b/>
          <w:bCs/>
        </w:rPr>
        <w:t>6. INTRODUCTION</w:t>
      </w:r>
    </w:p>
    <w:p w:rsidRPr="00FE46E2" w:rsidR="00FE46E2" w:rsidP="7D059A72" w:rsidRDefault="00FE46E2" w14:paraId="3725D9EE" w14:textId="720A87E1">
      <w:pPr>
        <w:pStyle w:val="Normal"/>
      </w:pPr>
      <w:r w:rsidR="00FE46E2">
        <w:rPr/>
        <w:t>Gout is associated with elevated cardiovascular risk, particularly in patients with pre-existing cardiovascular comorbidities. Febuxostat and allopurinol are xanthine oxidase inhibitors used in the management of hyperuricemia</w:t>
      </w:r>
      <w:r w:rsidR="2CF3E8F0">
        <w:rPr/>
        <w:t xml:space="preserve"> refer </w:t>
      </w:r>
      <w:r w:rsidR="2CF3E8F0">
        <w:rPr/>
        <w:t xml:space="preserve">Study </w:t>
      </w:r>
      <w:r w:rsidRPr="7031489D" w:rsidR="2CF3E8F0">
        <w:rPr>
          <w:highlight w:val="yellow"/>
        </w:rPr>
        <w:t>NCT01101035</w:t>
      </w:r>
      <w:r w:rsidRPr="7031489D" w:rsidR="5DECBE4E">
        <w:rPr>
          <w:highlight w:val="yellow"/>
        </w:rPr>
        <w:t>.</w:t>
      </w:r>
    </w:p>
    <w:p w:rsidRPr="00FE46E2" w:rsidR="00FE46E2" w:rsidP="7031489D" w:rsidRDefault="00FE46E2" w14:paraId="42265E18" w14:textId="1425B20C">
      <w:pPr>
        <w:rPr>
          <w:highlight w:val="yellow"/>
        </w:rPr>
      </w:pPr>
      <w:r w:rsidR="00FE46E2">
        <w:rPr/>
        <w:t>This study was designed to evaluate whether febuxostat increases cardiovascular risk compared to allopurinol</w:t>
      </w:r>
      <w:r w:rsidR="6317C2D9">
        <w:rPr/>
        <w:t xml:space="preserve"> refer </w:t>
      </w:r>
      <w:r w:rsidRPr="7031489D" w:rsidR="6317C2D9">
        <w:rPr>
          <w:highlight w:val="yellow"/>
        </w:rPr>
        <w:t>Figure 2</w:t>
      </w:r>
      <w:r w:rsidR="1F4A9592">
        <w:rPr/>
        <w:t xml:space="preserve"> and refer</w:t>
      </w:r>
      <w:r w:rsidRPr="7031489D" w:rsidR="1F4A9592">
        <w:rPr>
          <w:highlight w:val="yellow"/>
        </w:rPr>
        <w:t xml:space="preserve"> Appendix 2.</w:t>
      </w:r>
    </w:p>
    <w:p w:rsidRPr="00FE46E2" w:rsidR="00FE46E2" w:rsidP="00FE46E2" w:rsidRDefault="00FE46E2" w14:paraId="54F4A85E" w14:textId="77777777">
      <w:r w:rsidRPr="00FE46E2">
        <w:pict w14:anchorId="53233872">
          <v:rect id="_x0000_i1254" style="width:0;height:1.5pt" o:hr="t" o:hrstd="t" o:hralign="center" fillcolor="#a0a0a0" stroked="f"/>
        </w:pict>
      </w:r>
    </w:p>
    <w:p w:rsidRPr="00FE46E2" w:rsidR="00FE46E2" w:rsidP="00FE46E2" w:rsidRDefault="00FE46E2" w14:paraId="48EBFC55" w14:textId="77777777">
      <w:pPr>
        <w:rPr>
          <w:b/>
          <w:bCs/>
        </w:rPr>
      </w:pPr>
      <w:r w:rsidRPr="00FE46E2">
        <w:rPr>
          <w:b/>
          <w:bCs/>
        </w:rPr>
        <w:t>7. STUDY OBJECTIVES AND ENDPOINTS</w:t>
      </w:r>
    </w:p>
    <w:p w:rsidRPr="00FE46E2" w:rsidR="00FE46E2" w:rsidP="00FE46E2" w:rsidRDefault="00FE46E2" w14:paraId="203C2F15" w14:textId="77777777">
      <w:pPr>
        <w:rPr>
          <w:b/>
          <w:bCs/>
        </w:rPr>
      </w:pPr>
      <w:r w:rsidRPr="00FE46E2">
        <w:rPr>
          <w:b/>
          <w:bCs/>
        </w:rPr>
        <w:t>7.1 Study Objectives</w:t>
      </w:r>
    </w:p>
    <w:p w:rsidRPr="00FE46E2" w:rsidR="00FE46E2" w:rsidP="00FE46E2" w:rsidRDefault="00FE46E2" w14:paraId="3FE7092D" w14:textId="0E1B1732">
      <w:r w:rsidR="00FE46E2">
        <w:rPr/>
        <w:t xml:space="preserve">The primary </w:t>
      </w:r>
      <w:r w:rsidR="00FE46E2">
        <w:rPr/>
        <w:t>objective</w:t>
      </w:r>
      <w:r w:rsidR="00FE46E2">
        <w:rPr/>
        <w:t xml:space="preserve"> was to compare the risk of MACE between febuxostat and allopurinol</w:t>
      </w:r>
      <w:r w:rsidR="775053FB">
        <w:rPr/>
        <w:t xml:space="preserve"> refer </w:t>
      </w:r>
      <w:r w:rsidRPr="1C07AB5D" w:rsidR="775053FB">
        <w:rPr>
          <w:highlight w:val="yellow"/>
        </w:rPr>
        <w:t>Section 10.</w:t>
      </w:r>
    </w:p>
    <w:p w:rsidRPr="00FE46E2" w:rsidR="00FE46E2" w:rsidP="00FE46E2" w:rsidRDefault="00FE46E2" w14:paraId="1D57E74E" w14:textId="77777777">
      <w:r w:rsidRPr="00FE46E2">
        <w:pict w14:anchorId="09396261">
          <v:rect id="_x0000_i1255" style="width:0;height:1.5pt" o:hr="t" o:hrstd="t" o:hralign="center" fillcolor="#a0a0a0" stroked="f"/>
        </w:pict>
      </w:r>
    </w:p>
    <w:p w:rsidRPr="00FE46E2" w:rsidR="00FE46E2" w:rsidP="00FE46E2" w:rsidRDefault="00FE46E2" w14:paraId="50515AA6" w14:textId="77777777">
      <w:pPr>
        <w:rPr>
          <w:b/>
          <w:bCs/>
        </w:rPr>
      </w:pPr>
      <w:r w:rsidRPr="00FE46E2">
        <w:rPr>
          <w:b/>
          <w:bCs/>
        </w:rPr>
        <w:t>7.2 Primary Endpoint</w:t>
      </w:r>
    </w:p>
    <w:p w:rsidRPr="00FE46E2" w:rsidR="00FE46E2" w:rsidP="00FE46E2" w:rsidRDefault="00FE46E2" w14:paraId="5C0F7ECD" w14:textId="77777777">
      <w:r w:rsidRPr="00FE46E2">
        <w:t xml:space="preserve">The primary endpoint was defined as </w:t>
      </w:r>
      <w:r w:rsidRPr="00FE46E2">
        <w:rPr>
          <w:b/>
          <w:bCs/>
        </w:rPr>
        <w:t>time from randomization to first occurrence of MACE</w:t>
      </w:r>
      <w:r w:rsidRPr="00FE46E2">
        <w:t>.</w:t>
      </w:r>
    </w:p>
    <w:p w:rsidRPr="00FE46E2" w:rsidR="00FE46E2" w:rsidP="00FE46E2" w:rsidRDefault="00FE46E2" w14:paraId="598058E9" w14:textId="77777777">
      <w:r w:rsidRPr="00FE46E2">
        <w:pict w14:anchorId="797FEB77">
          <v:rect id="_x0000_i1256" style="width:0;height:1.5pt" o:hr="t" o:hrstd="t" o:hralign="center" fillcolor="#a0a0a0" stroked="f"/>
        </w:pict>
      </w:r>
    </w:p>
    <w:p w:rsidRPr="00FE46E2" w:rsidR="00FE46E2" w:rsidP="00FE46E2" w:rsidRDefault="00FE46E2" w14:paraId="2BDFC5B4" w14:textId="77777777">
      <w:pPr>
        <w:rPr>
          <w:b/>
          <w:bCs/>
        </w:rPr>
      </w:pPr>
      <w:r w:rsidRPr="00FE46E2">
        <w:rPr>
          <w:b/>
          <w:bCs/>
        </w:rPr>
        <w:t>Table 7.2.1: Components of MACE Endpoint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3583"/>
      </w:tblGrid>
      <w:tr w:rsidRPr="00FE46E2" w:rsidR="00FE46E2" w14:paraId="3CAB52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FE46E2" w:rsidR="00FE46E2" w:rsidP="00FE46E2" w:rsidRDefault="00FE46E2" w14:paraId="42B042D0" w14:textId="77777777">
            <w:pPr>
              <w:rPr>
                <w:b/>
                <w:bCs/>
              </w:rPr>
            </w:pPr>
            <w:r w:rsidRPr="00FE46E2">
              <w:rPr>
                <w:b/>
                <w:bCs/>
              </w:rPr>
              <w:t>Event Component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FE46E2" w:rsidR="00FE46E2" w:rsidP="00FE46E2" w:rsidRDefault="00FE46E2" w14:paraId="7EFFF6C8" w14:textId="77777777">
            <w:pPr>
              <w:rPr>
                <w:b/>
                <w:bCs/>
              </w:rPr>
            </w:pPr>
            <w:r w:rsidRPr="00FE46E2">
              <w:rPr>
                <w:b/>
                <w:bCs/>
              </w:rPr>
              <w:t>Definition</w:t>
            </w:r>
          </w:p>
        </w:tc>
      </w:tr>
      <w:tr w:rsidRPr="00FE46E2" w:rsidR="00FE46E2" w14:paraId="0B7BED3F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FE46E2" w:rsidR="00FE46E2" w:rsidP="00FE46E2" w:rsidRDefault="00FE46E2" w14:paraId="139A8E66" w14:textId="77777777">
            <w:r w:rsidRPr="00FE46E2">
              <w:t>Cardiovascular Death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FE46E2" w:rsidR="00FE46E2" w:rsidP="00FE46E2" w:rsidRDefault="00FE46E2" w14:paraId="2B55892A" w14:textId="77777777">
            <w:r w:rsidRPr="00FE46E2">
              <w:t>Death due to CV causes</w:t>
            </w:r>
          </w:p>
        </w:tc>
      </w:tr>
      <w:tr w:rsidRPr="00FE46E2" w:rsidR="00FE46E2" w14:paraId="079C7E9C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FE46E2" w:rsidR="00FE46E2" w:rsidP="00FE46E2" w:rsidRDefault="00FE46E2" w14:paraId="2C494D53" w14:textId="77777777">
            <w:r w:rsidRPr="00FE46E2">
              <w:t>Nonfatal MI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FE46E2" w:rsidR="00FE46E2" w:rsidP="00FE46E2" w:rsidRDefault="00FE46E2" w14:paraId="13282EEA" w14:textId="77777777">
            <w:r w:rsidRPr="00FE46E2">
              <w:t>Confirmed myocardial infarction</w:t>
            </w:r>
          </w:p>
        </w:tc>
      </w:tr>
      <w:tr w:rsidRPr="00FE46E2" w:rsidR="00FE46E2" w14:paraId="3585BB2D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FE46E2" w:rsidR="00FE46E2" w:rsidP="00FE46E2" w:rsidRDefault="00FE46E2" w14:paraId="19B1D19C" w14:textId="77777777">
            <w:r w:rsidRPr="00FE46E2">
              <w:t>Nonfatal Stroke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FE46E2" w:rsidR="00FE46E2" w:rsidP="00FE46E2" w:rsidRDefault="00FE46E2" w14:paraId="55C30438" w14:textId="77777777">
            <w:r w:rsidRPr="00FE46E2">
              <w:t>Confirmed stroke</w:t>
            </w:r>
          </w:p>
        </w:tc>
      </w:tr>
      <w:tr w:rsidRPr="00FE46E2" w:rsidR="00FE46E2" w14:paraId="718106D9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FE46E2" w:rsidR="00FE46E2" w:rsidP="00FE46E2" w:rsidRDefault="00FE46E2" w14:paraId="666A773A" w14:textId="77777777">
            <w:r w:rsidRPr="00FE46E2">
              <w:t>Unstable Angina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FE46E2" w:rsidR="00FE46E2" w:rsidP="00FE46E2" w:rsidRDefault="00FE46E2" w14:paraId="1D6CC9A8" w14:textId="77777777">
            <w:r w:rsidRPr="00FE46E2">
              <w:t>UA requiring urgent revascularization</w:t>
            </w:r>
          </w:p>
        </w:tc>
      </w:tr>
    </w:tbl>
    <w:p w:rsidRPr="00FE46E2" w:rsidR="00FE46E2" w:rsidP="00FE46E2" w:rsidRDefault="00FE46E2" w14:paraId="7DF0A458" w14:textId="77777777">
      <w:r w:rsidRPr="00FE46E2">
        <w:pict w14:anchorId="3B793854">
          <v:rect id="_x0000_i1257" style="width:0;height:1.5pt" o:hr="t" o:hrstd="t" o:hralign="center" fillcolor="#a0a0a0" stroked="f"/>
        </w:pict>
      </w:r>
    </w:p>
    <w:p w:rsidRPr="00FE46E2" w:rsidR="00FE46E2" w:rsidP="00FE46E2" w:rsidRDefault="00FE46E2" w14:paraId="13DDCB5E" w14:textId="77777777">
      <w:pPr>
        <w:rPr>
          <w:b/>
          <w:bCs/>
        </w:rPr>
      </w:pPr>
      <w:r w:rsidRPr="00FE46E2">
        <w:rPr>
          <w:b/>
          <w:bCs/>
        </w:rPr>
        <w:t>8. INVESTIGATIONAL PLAN</w:t>
      </w:r>
    </w:p>
    <w:p w:rsidRPr="00FE46E2" w:rsidR="00FE46E2" w:rsidP="00FE46E2" w:rsidRDefault="00FE46E2" w14:paraId="3ECF9151" w14:textId="77777777">
      <w:pPr>
        <w:rPr>
          <w:b/>
          <w:bCs/>
        </w:rPr>
      </w:pPr>
      <w:r w:rsidRPr="00FE46E2">
        <w:rPr>
          <w:b/>
          <w:bCs/>
        </w:rPr>
        <w:t>8.1 Study Design</w:t>
      </w:r>
    </w:p>
    <w:p w:rsidRPr="00FE46E2" w:rsidR="00FE46E2" w:rsidP="7031489D" w:rsidRDefault="00FE46E2" w14:paraId="3C06A4CC" w14:textId="13EBAD77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="00FE46E2">
        <w:rPr/>
        <w:t>The study was a randomized, double-blind, active-controlled trial comparing febuxostat and allopurinol</w:t>
      </w:r>
      <w:r w:rsidR="141B0D2F">
        <w:rPr/>
        <w:t xml:space="preserve"> see </w:t>
      </w:r>
      <w:r w:rsidRPr="7031489D" w:rsidR="141B0D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highlight w:val="yellow"/>
          <w:lang w:val="en-IN"/>
        </w:rPr>
        <w:t>Helget LN, 2024</w:t>
      </w:r>
    </w:p>
    <w:p w:rsidRPr="00FE46E2" w:rsidR="00FE46E2" w:rsidP="49EFF549" w:rsidRDefault="00FE46E2" w14:paraId="65ECEDD0" w14:textId="040C8204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00FE46E2">
        <w:rPr/>
        <w:t xml:space="preserve">The study design is described in </w:t>
      </w:r>
      <w:r w:rsidRPr="49EFF549" w:rsidR="6EC51CB4">
        <w:rPr>
          <w:b w:val="1"/>
          <w:bCs w:val="1"/>
          <w:highlight w:val="yellow"/>
        </w:rPr>
        <w:t xml:space="preserve">Study ID </w:t>
      </w:r>
      <w:r w:rsidRPr="49EFF549" w:rsidR="734ACE41">
        <w:rPr>
          <w:rFonts w:ascii="Aptos" w:hAnsi="Aptos" w:eastAsia="Aptos" w:cs="Aptos"/>
          <w:b w:val="1"/>
          <w:bCs w:val="1"/>
          <w:noProof w:val="0"/>
          <w:sz w:val="22"/>
          <w:szCs w:val="22"/>
          <w:highlight w:val="yellow"/>
          <w:lang w:val="en-IN"/>
        </w:rPr>
        <w:t>TMX-67_301</w:t>
      </w:r>
      <w:r w:rsidRPr="49EFF549" w:rsidR="00FE46E2">
        <w:rPr>
          <w:b w:val="1"/>
          <w:bCs w:val="1"/>
          <w:highlight w:val="yellow"/>
        </w:rPr>
        <w:t xml:space="preserve"> Section</w:t>
      </w:r>
      <w:r w:rsidRPr="49EFF549" w:rsidR="00FE46E2">
        <w:rPr>
          <w:b w:val="1"/>
          <w:bCs w:val="1"/>
          <w:highlight w:val="yellow"/>
        </w:rPr>
        <w:t xml:space="preserve"> </w:t>
      </w:r>
      <w:r w:rsidRPr="49EFF549" w:rsidR="00FE46E2">
        <w:rPr>
          <w:b w:val="1"/>
          <w:bCs w:val="1"/>
          <w:highlight w:val="yellow"/>
        </w:rPr>
        <w:t>6.1</w:t>
      </w:r>
      <w:r w:rsidR="00FE46E2">
        <w:rPr/>
        <w:t>,</w:t>
      </w:r>
      <w:r w:rsidR="15AEB2A9">
        <w:rPr/>
        <w:t xml:space="preserve"> </w:t>
      </w:r>
      <w:r w:rsidR="00FE46E2">
        <w:rPr/>
        <w:t>and</w:t>
      </w:r>
      <w:r w:rsidR="00FE46E2">
        <w:rPr/>
        <w:t xml:space="preserve"> forms the basis of statistical analysis defined in the SAP.</w:t>
      </w:r>
    </w:p>
    <w:p w:rsidRPr="00FE46E2" w:rsidR="00FE46E2" w:rsidP="00FE46E2" w:rsidRDefault="00FE46E2" w14:paraId="4D6C3E3F" w14:textId="13FCA51B">
      <w:r w:rsidR="4BCCF822">
        <w:rPr/>
        <w:t xml:space="preserve"> </w:t>
      </w:r>
    </w:p>
    <w:p w:rsidRPr="00FE46E2" w:rsidR="00FE46E2" w:rsidP="00FE46E2" w:rsidRDefault="00FE46E2" w14:paraId="4C9CD020" w14:textId="77777777">
      <w:pPr>
        <w:rPr>
          <w:b/>
          <w:bCs/>
        </w:rPr>
      </w:pPr>
      <w:r w:rsidRPr="00FE46E2">
        <w:rPr>
          <w:b/>
          <w:bCs/>
        </w:rPr>
        <w:t>Table 8.1.1: Study Design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619"/>
      </w:tblGrid>
      <w:tr w:rsidRPr="00FE46E2" w:rsidR="00FE46E2" w14:paraId="7F3A1D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FE46E2" w:rsidR="00FE46E2" w:rsidP="00FE46E2" w:rsidRDefault="00FE46E2" w14:paraId="36E94247" w14:textId="77777777">
            <w:pPr>
              <w:rPr>
                <w:b/>
                <w:bCs/>
              </w:rPr>
            </w:pPr>
            <w:r w:rsidRPr="00FE46E2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FE46E2" w:rsidR="00FE46E2" w:rsidP="00FE46E2" w:rsidRDefault="00FE46E2" w14:paraId="2DA071CA" w14:textId="77777777">
            <w:pPr>
              <w:rPr>
                <w:b/>
                <w:bCs/>
              </w:rPr>
            </w:pPr>
            <w:r w:rsidRPr="00FE46E2">
              <w:rPr>
                <w:b/>
                <w:bCs/>
              </w:rPr>
              <w:t>Description</w:t>
            </w:r>
          </w:p>
        </w:tc>
      </w:tr>
      <w:tr w:rsidRPr="00FE46E2" w:rsidR="00FE46E2" w14:paraId="60B9691E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FE46E2" w:rsidR="00FE46E2" w:rsidP="00FE46E2" w:rsidRDefault="00FE46E2" w14:paraId="738ED198" w14:textId="77777777">
            <w:r w:rsidRPr="00FE46E2">
              <w:t>Study Type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FE46E2" w:rsidR="00FE46E2" w:rsidP="00FE46E2" w:rsidRDefault="00FE46E2" w14:paraId="490BB206" w14:textId="77777777">
            <w:r w:rsidRPr="00FE46E2">
              <w:t>Randomized, double-blind</w:t>
            </w:r>
          </w:p>
        </w:tc>
      </w:tr>
      <w:tr w:rsidRPr="00FE46E2" w:rsidR="00FE46E2" w14:paraId="0B2B7345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FE46E2" w:rsidR="00FE46E2" w:rsidP="00FE46E2" w:rsidRDefault="00FE46E2" w14:paraId="4402950A" w14:textId="77777777">
            <w:r w:rsidRPr="00FE46E2">
              <w:t>Comparator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FE46E2" w:rsidR="00FE46E2" w:rsidP="00FE46E2" w:rsidRDefault="00FE46E2" w14:paraId="321C851D" w14:textId="77777777">
            <w:r w:rsidRPr="00FE46E2">
              <w:t>Allopurinol</w:t>
            </w:r>
          </w:p>
        </w:tc>
      </w:tr>
      <w:tr w:rsidRPr="00FE46E2" w:rsidR="00FE46E2" w14:paraId="0FB270E2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FE46E2" w:rsidR="00FE46E2" w:rsidP="00FE46E2" w:rsidRDefault="00FE46E2" w14:paraId="1CF1C75B" w14:textId="77777777">
            <w:r w:rsidRPr="00FE46E2">
              <w:t>Duration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FE46E2" w:rsidR="00FE46E2" w:rsidP="00FE46E2" w:rsidRDefault="00FE46E2" w14:paraId="0279A4C3" w14:textId="77777777">
            <w:r w:rsidRPr="00FE46E2">
              <w:t>24 weeks</w:t>
            </w:r>
          </w:p>
        </w:tc>
      </w:tr>
      <w:tr w:rsidRPr="00FE46E2" w:rsidR="00FE46E2" w14:paraId="03B5F3B7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FE46E2" w:rsidR="00FE46E2" w:rsidP="00FE46E2" w:rsidRDefault="00FE46E2" w14:paraId="4BA14FBE" w14:textId="77777777">
            <w:r w:rsidRPr="00FE46E2">
              <w:t>Endpoint Type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FE46E2" w:rsidR="00FE46E2" w:rsidP="00FE46E2" w:rsidRDefault="00FE46E2" w14:paraId="067CFB00" w14:textId="77777777">
            <w:r w:rsidRPr="00FE46E2">
              <w:t>Time-to-event (MACE)</w:t>
            </w:r>
          </w:p>
        </w:tc>
      </w:tr>
      <w:tr w:rsidRPr="00FE46E2" w:rsidR="00FE46E2" w14:paraId="5AC806B1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FE46E2" w:rsidR="00FE46E2" w:rsidP="00FE46E2" w:rsidRDefault="00FE46E2" w14:paraId="7653563F" w14:textId="77777777">
            <w:r w:rsidRPr="00FE46E2">
              <w:t>Analysis Method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FE46E2" w:rsidR="00FE46E2" w:rsidP="00FE46E2" w:rsidRDefault="00FE46E2" w14:paraId="76209383" w14:textId="77777777">
            <w:r w:rsidRPr="00FE46E2">
              <w:t>Cox proportional hazards</w:t>
            </w:r>
          </w:p>
        </w:tc>
      </w:tr>
    </w:tbl>
    <w:p w:rsidRPr="00FE46E2" w:rsidR="00FE46E2" w:rsidP="00FE46E2" w:rsidRDefault="00FE46E2" w14:paraId="46B5A91D" w14:textId="77777777">
      <w:r w:rsidRPr="00FE46E2">
        <w:pict w14:anchorId="33D60D36">
          <v:rect id="_x0000_i1259" style="width:0;height:1.5pt" o:hr="t" o:hrstd="t" o:hralign="center" fillcolor="#a0a0a0" stroked="f"/>
        </w:pict>
      </w:r>
    </w:p>
    <w:p w:rsidRPr="00FE46E2" w:rsidR="00FE46E2" w:rsidP="00FE46E2" w:rsidRDefault="00FE46E2" w14:paraId="42259E31" w14:textId="77777777">
      <w:pPr>
        <w:rPr>
          <w:b/>
          <w:bCs/>
        </w:rPr>
      </w:pPr>
      <w:r w:rsidRPr="00FE46E2">
        <w:rPr>
          <w:b/>
          <w:bCs/>
        </w:rPr>
        <w:t>8.2 Randomization and Blinding</w:t>
      </w:r>
    </w:p>
    <w:p w:rsidRPr="00FE46E2" w:rsidR="00FE46E2" w:rsidP="00FE46E2" w:rsidRDefault="00FE46E2" w14:paraId="3832A3C7" w14:textId="65970D6B">
      <w:r w:rsidR="00FE46E2">
        <w:rPr/>
        <w:t xml:space="preserve">Subjects were randomized in a 1:1 ratio. Blinding was </w:t>
      </w:r>
      <w:r w:rsidR="00FE46E2">
        <w:rPr/>
        <w:t>maintained</w:t>
      </w:r>
      <w:r w:rsidR="00FE46E2">
        <w:rPr/>
        <w:t xml:space="preserve"> throughout the study to ensure unbiased outcome assessment</w:t>
      </w:r>
      <w:r w:rsidR="5E4FAFBF">
        <w:rPr/>
        <w:t xml:space="preserve"> refer </w:t>
      </w:r>
      <w:r w:rsidRPr="1C07AB5D" w:rsidR="5E4FAFBF">
        <w:rPr>
          <w:highlight w:val="yellow"/>
        </w:rPr>
        <w:t>Table 11.2.1</w:t>
      </w:r>
      <w:r w:rsidR="5E4FAFBF">
        <w:rPr/>
        <w:t>.</w:t>
      </w:r>
    </w:p>
    <w:p w:rsidRPr="00FE46E2" w:rsidR="00FE46E2" w:rsidP="00FE46E2" w:rsidRDefault="00FE46E2" w14:paraId="09C1EB4E" w14:textId="77777777">
      <w:r w:rsidRPr="00FE46E2">
        <w:pict w14:anchorId="35C5AE34">
          <v:rect id="_x0000_i1260" style="width:0;height:1.5pt" o:hr="t" o:hrstd="t" o:hralign="center" fillcolor="#a0a0a0" stroked="f"/>
        </w:pict>
      </w:r>
    </w:p>
    <w:p w:rsidRPr="00FE46E2" w:rsidR="00FE46E2" w:rsidP="00FE46E2" w:rsidRDefault="00FE46E2" w14:paraId="6F6CB2ED" w14:textId="77777777">
      <w:pPr>
        <w:rPr>
          <w:b/>
          <w:bCs/>
        </w:rPr>
      </w:pPr>
      <w:r w:rsidRPr="00FE46E2">
        <w:rPr>
          <w:b/>
          <w:bCs/>
        </w:rPr>
        <w:t>9. STUDY PATIENTS</w:t>
      </w:r>
    </w:p>
    <w:p w:rsidRPr="00FE46E2" w:rsidR="00FE46E2" w:rsidP="00FE46E2" w:rsidRDefault="00FE46E2" w14:paraId="381912A7" w14:textId="77777777">
      <w:pPr>
        <w:rPr>
          <w:b/>
          <w:bCs/>
        </w:rPr>
      </w:pPr>
      <w:r w:rsidRPr="00FE46E2">
        <w:rPr>
          <w:b/>
          <w:bCs/>
        </w:rPr>
        <w:t>9.1 Disposition of Subjects</w:t>
      </w:r>
    </w:p>
    <w:p w:rsidRPr="00FE46E2" w:rsidR="00FE46E2" w:rsidP="00FE46E2" w:rsidRDefault="00FE46E2" w14:paraId="34ED6184" w14:textId="77777777">
      <w:r w:rsidRPr="00FE46E2">
        <w:t>A total of 512 subjects were screened and 480 were randomized.</w:t>
      </w:r>
    </w:p>
    <w:p w:rsidRPr="00FE46E2" w:rsidR="00FE46E2" w:rsidP="00FE46E2" w:rsidRDefault="00FE46E2" w14:paraId="11C2DE6C" w14:textId="77777777">
      <w:r w:rsidRPr="00FE46E2">
        <w:pict w14:anchorId="7BB8D5B5">
          <v:rect id="_x0000_i1261" style="width:0;height:1.5pt" o:hr="t" o:hrstd="t" o:hralign="center" fillcolor="#a0a0a0" stroked="f"/>
        </w:pict>
      </w:r>
    </w:p>
    <w:p w:rsidRPr="00FE46E2" w:rsidR="00FE46E2" w:rsidP="00FE46E2" w:rsidRDefault="00FE46E2" w14:paraId="7BDB8410" w14:textId="77777777">
      <w:pPr>
        <w:rPr>
          <w:b/>
          <w:bCs/>
        </w:rPr>
      </w:pPr>
      <w:r w:rsidRPr="00FE46E2">
        <w:rPr>
          <w:b/>
          <w:bCs/>
        </w:rPr>
        <w:t>Table 9.1.1: Patient Disposition</w:t>
      </w:r>
    </w:p>
    <w:tbl>
      <w:tblPr>
        <w:tblW w:w="456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1298"/>
        <w:gridCol w:w="1282"/>
        <w:gridCol w:w="608"/>
      </w:tblGrid>
      <w:tr w:rsidRPr="00FE46E2" w:rsidR="00FE46E2" w:rsidTr="1C07AB5D" w14:paraId="58EF104D" w14:textId="77777777">
        <w:trPr>
          <w:tblHeader/>
          <w:tblCellSpacing w:w="15" w:type="dxa"/>
        </w:trPr>
        <w:tc>
          <w:tcPr>
            <w:tcW w:w="138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tcMar/>
            <w:vAlign w:val="center"/>
            <w:hideMark/>
          </w:tcPr>
          <w:p w:rsidRPr="00FE46E2" w:rsidR="00FE46E2" w:rsidP="00FE46E2" w:rsidRDefault="00FE46E2" w14:paraId="2F6647CF" w14:textId="77777777">
            <w:pPr>
              <w:rPr>
                <w:b/>
                <w:bCs/>
              </w:rPr>
            </w:pPr>
            <w:r w:rsidRPr="00FE46E2">
              <w:rPr>
                <w:b/>
                <w:bCs/>
              </w:rPr>
              <w:t>Category</w:t>
            </w:r>
          </w:p>
        </w:tc>
        <w:tc>
          <w:tcPr>
            <w:tcW w:w="1298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tcMar/>
            <w:vAlign w:val="center"/>
            <w:hideMark/>
          </w:tcPr>
          <w:p w:rsidRPr="00FE46E2" w:rsidR="00FE46E2" w:rsidP="00FE46E2" w:rsidRDefault="00FE46E2" w14:paraId="01DD9C8E" w14:textId="77777777">
            <w:pPr>
              <w:rPr>
                <w:b/>
                <w:bCs/>
              </w:rPr>
            </w:pPr>
            <w:r w:rsidRPr="00FE46E2">
              <w:rPr>
                <w:b/>
                <w:bCs/>
              </w:rPr>
              <w:t>Febuxostat</w:t>
            </w:r>
          </w:p>
        </w:tc>
        <w:tc>
          <w:tcPr>
            <w:tcW w:w="1282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tcMar/>
            <w:vAlign w:val="center"/>
            <w:hideMark/>
          </w:tcPr>
          <w:p w:rsidRPr="00FE46E2" w:rsidR="00FE46E2" w:rsidP="00FE46E2" w:rsidRDefault="00FE46E2" w14:paraId="2DCBAA96" w14:textId="77777777">
            <w:pPr>
              <w:rPr>
                <w:b/>
                <w:bCs/>
              </w:rPr>
            </w:pPr>
            <w:r w:rsidRPr="00FE46E2">
              <w:rPr>
                <w:b/>
                <w:bCs/>
              </w:rPr>
              <w:t>Allopurinol</w:t>
            </w:r>
          </w:p>
        </w:tc>
        <w:tc>
          <w:tcPr>
            <w:tcW w:w="608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tcMar/>
            <w:vAlign w:val="center"/>
            <w:hideMark/>
          </w:tcPr>
          <w:p w:rsidRPr="00FE46E2" w:rsidR="00FE46E2" w:rsidP="00FE46E2" w:rsidRDefault="00FE46E2" w14:paraId="795BFC68" w14:textId="77777777">
            <w:pPr>
              <w:rPr>
                <w:b/>
                <w:bCs/>
              </w:rPr>
            </w:pPr>
            <w:r w:rsidRPr="00FE46E2">
              <w:rPr>
                <w:b/>
                <w:bCs/>
              </w:rPr>
              <w:t>Total</w:t>
            </w:r>
          </w:p>
        </w:tc>
      </w:tr>
      <w:tr w:rsidRPr="00FE46E2" w:rsidR="00FE46E2" w:rsidTr="1C07AB5D" w14:paraId="2D56A4C1" w14:textId="77777777">
        <w:trPr>
          <w:tblCellSpacing w:w="15" w:type="dxa"/>
        </w:trPr>
        <w:tc>
          <w:tcPr>
            <w:tcW w:w="138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FE46E2" w:rsidR="00FE46E2" w:rsidP="00FE46E2" w:rsidRDefault="00FE46E2" w14:paraId="665130D0" w14:textId="77777777">
            <w:r w:rsidRPr="00FE46E2">
              <w:t>Randomized</w:t>
            </w:r>
          </w:p>
        </w:tc>
        <w:tc>
          <w:tcPr>
            <w:tcW w:w="1298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FE46E2" w:rsidR="00FE46E2" w:rsidP="00FE46E2" w:rsidRDefault="00FE46E2" w14:paraId="53CA8968" w14:textId="77777777">
            <w:r w:rsidRPr="00FE46E2">
              <w:t>240</w:t>
            </w:r>
          </w:p>
        </w:tc>
        <w:tc>
          <w:tcPr>
            <w:tcW w:w="1282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FE46E2" w:rsidR="00FE46E2" w:rsidP="00FE46E2" w:rsidRDefault="00FE46E2" w14:paraId="1C063F90" w14:textId="77777777">
            <w:r w:rsidRPr="00FE46E2">
              <w:t>240</w:t>
            </w:r>
          </w:p>
        </w:tc>
        <w:tc>
          <w:tcPr>
            <w:tcW w:w="608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FE46E2" w:rsidR="00FE46E2" w:rsidP="00FE46E2" w:rsidRDefault="00FE46E2" w14:paraId="36C1368E" w14:textId="77777777">
            <w:r w:rsidRPr="00FE46E2">
              <w:t>480</w:t>
            </w:r>
          </w:p>
        </w:tc>
      </w:tr>
      <w:tr w:rsidRPr="00FE46E2" w:rsidR="00FE46E2" w:rsidTr="1C07AB5D" w14:paraId="1466981E" w14:textId="77777777">
        <w:trPr>
          <w:tblCellSpacing w:w="15" w:type="dxa"/>
        </w:trPr>
        <w:tc>
          <w:tcPr>
            <w:tcW w:w="138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FE46E2" w:rsidR="00FE46E2" w:rsidP="00FE46E2" w:rsidRDefault="00FE46E2" w14:paraId="6FFB384F" w14:textId="77777777">
            <w:r w:rsidRPr="00FE46E2">
              <w:t>Completed</w:t>
            </w:r>
          </w:p>
        </w:tc>
        <w:tc>
          <w:tcPr>
            <w:tcW w:w="1298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FE46E2" w:rsidR="00FE46E2" w:rsidP="00FE46E2" w:rsidRDefault="00FE46E2" w14:paraId="13AC1162" w14:textId="77777777">
            <w:r w:rsidRPr="00FE46E2">
              <w:t>222</w:t>
            </w:r>
          </w:p>
        </w:tc>
        <w:tc>
          <w:tcPr>
            <w:tcW w:w="1282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FE46E2" w:rsidR="00FE46E2" w:rsidP="00FE46E2" w:rsidRDefault="00FE46E2" w14:paraId="4B23989E" w14:textId="77777777">
            <w:r w:rsidRPr="00FE46E2">
              <w:t>224</w:t>
            </w:r>
          </w:p>
        </w:tc>
        <w:tc>
          <w:tcPr>
            <w:tcW w:w="608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FE46E2" w:rsidR="00FE46E2" w:rsidP="00FE46E2" w:rsidRDefault="00FE46E2" w14:paraId="2FA2D232" w14:textId="77777777">
            <w:r w:rsidRPr="00FE46E2">
              <w:t>446</w:t>
            </w:r>
          </w:p>
        </w:tc>
      </w:tr>
      <w:tr w:rsidRPr="00FE46E2" w:rsidR="00FE46E2" w:rsidTr="1C07AB5D" w14:paraId="284C2C48" w14:textId="77777777">
        <w:trPr>
          <w:tblCellSpacing w:w="15" w:type="dxa"/>
        </w:trPr>
        <w:tc>
          <w:tcPr>
            <w:tcW w:w="138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FE46E2" w:rsidR="00FE46E2" w:rsidP="00FE46E2" w:rsidRDefault="00FE46E2" w14:paraId="3EE6631B" w14:textId="77777777">
            <w:r w:rsidRPr="00FE46E2">
              <w:t>Discontinued</w:t>
            </w:r>
          </w:p>
        </w:tc>
        <w:tc>
          <w:tcPr>
            <w:tcW w:w="1298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FE46E2" w:rsidR="00FE46E2" w:rsidP="00FE46E2" w:rsidRDefault="00FE46E2" w14:paraId="2774E318" w14:textId="77777777">
            <w:r w:rsidRPr="00FE46E2">
              <w:t>18</w:t>
            </w:r>
          </w:p>
        </w:tc>
        <w:tc>
          <w:tcPr>
            <w:tcW w:w="1282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FE46E2" w:rsidR="00FE46E2" w:rsidP="00FE46E2" w:rsidRDefault="00FE46E2" w14:paraId="4A38D2DB" w14:textId="77777777">
            <w:r w:rsidRPr="00FE46E2">
              <w:t>16</w:t>
            </w:r>
          </w:p>
        </w:tc>
        <w:tc>
          <w:tcPr>
            <w:tcW w:w="608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FE46E2" w:rsidR="00FE46E2" w:rsidP="00FE46E2" w:rsidRDefault="00FE46E2" w14:paraId="00FDEBD0" w14:textId="77777777">
            <w:r w:rsidRPr="00FE46E2">
              <w:t>34</w:t>
            </w:r>
          </w:p>
        </w:tc>
      </w:tr>
    </w:tbl>
    <w:p w:rsidRPr="00FE46E2" w:rsidR="00FE46E2" w:rsidP="00FE46E2" w:rsidRDefault="00FE46E2" w14:paraId="0D4B95F6" w14:textId="77777777">
      <w:r w:rsidRPr="00FE46E2">
        <w:pict w14:anchorId="7CEB7244">
          <v:rect id="_x0000_i1262" style="width:0;height:1.5pt" o:hr="t" o:hrstd="t" o:hralign="center" fillcolor="#a0a0a0" stroked="f"/>
        </w:pict>
      </w:r>
    </w:p>
    <w:p w:rsidRPr="00FE46E2" w:rsidR="00FE46E2" w:rsidP="00FE46E2" w:rsidRDefault="00FE46E2" w14:paraId="27C4A824" w14:textId="77777777">
      <w:pPr>
        <w:rPr>
          <w:b/>
          <w:bCs/>
        </w:rPr>
      </w:pPr>
      <w:r w:rsidRPr="00FE46E2">
        <w:rPr>
          <w:b/>
          <w:bCs/>
        </w:rPr>
        <w:t>9.2 Demographic Characteristics</w:t>
      </w:r>
    </w:p>
    <w:p w:rsidRPr="00FE46E2" w:rsidR="00FE46E2" w:rsidP="00FE46E2" w:rsidRDefault="00FE46E2" w14:paraId="3E733DE4" w14:textId="77777777">
      <w:r w:rsidRPr="00FE46E2">
        <w:t>Baseline demographics were comparable between groups.</w:t>
      </w:r>
    </w:p>
    <w:p w:rsidRPr="00FE46E2" w:rsidR="00FE46E2" w:rsidP="00FE46E2" w:rsidRDefault="00FE46E2" w14:paraId="661A16A0" w14:textId="77777777">
      <w:r w:rsidRPr="00FE46E2">
        <w:pict w14:anchorId="6F8BA219">
          <v:rect id="_x0000_i1263" style="width:0;height:1.5pt" o:hr="t" o:hrstd="t" o:hralign="center" fillcolor="#a0a0a0" stroked="f"/>
        </w:pict>
      </w:r>
    </w:p>
    <w:p w:rsidRPr="00FE46E2" w:rsidR="00FE46E2" w:rsidP="00FE46E2" w:rsidRDefault="00FE46E2" w14:paraId="11E2E287" w14:textId="77777777">
      <w:pPr>
        <w:rPr>
          <w:b/>
          <w:bCs/>
        </w:rPr>
      </w:pPr>
      <w:r w:rsidRPr="00FE46E2">
        <w:rPr>
          <w:b/>
          <w:bCs/>
        </w:rPr>
        <w:t>Table 9.2.1: Baseline Demographics</w:t>
      </w:r>
    </w:p>
    <w:tbl>
      <w:tblPr>
        <w:tblW w:w="40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345"/>
        <w:gridCol w:w="1270"/>
      </w:tblGrid>
      <w:tr w:rsidRPr="00FE46E2" w:rsidR="00FE46E2" w:rsidTr="1298D30F" w14:paraId="183606E7" w14:textId="77777777">
        <w:trPr>
          <w:tblHeader/>
          <w:tblCellSpacing w:w="15" w:type="dxa"/>
        </w:trPr>
        <w:tc>
          <w:tcPr>
            <w:tcW w:w="1432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tcMar/>
            <w:vAlign w:val="center"/>
            <w:hideMark/>
          </w:tcPr>
          <w:p w:rsidRPr="00FE46E2" w:rsidR="00FE46E2" w:rsidP="00FE46E2" w:rsidRDefault="00FE46E2" w14:paraId="481905D2" w14:textId="77777777">
            <w:pPr>
              <w:rPr>
                <w:b/>
                <w:bCs/>
              </w:rPr>
            </w:pPr>
            <w:r w:rsidRPr="00FE46E2">
              <w:rPr>
                <w:b/>
                <w:bCs/>
              </w:rPr>
              <w:t>Parameter</w:t>
            </w:r>
          </w:p>
        </w:tc>
        <w:tc>
          <w:tcPr>
            <w:tcW w:w="134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tcMar/>
            <w:vAlign w:val="center"/>
            <w:hideMark/>
          </w:tcPr>
          <w:p w:rsidRPr="00FE46E2" w:rsidR="00FE46E2" w:rsidP="00FE46E2" w:rsidRDefault="00FE46E2" w14:paraId="03012CA6" w14:textId="77777777">
            <w:pPr>
              <w:rPr>
                <w:b/>
                <w:bCs/>
              </w:rPr>
            </w:pPr>
            <w:r w:rsidRPr="00FE46E2">
              <w:rPr>
                <w:b/>
                <w:bCs/>
              </w:rPr>
              <w:t>Febuxostat</w:t>
            </w:r>
          </w:p>
        </w:tc>
        <w:tc>
          <w:tcPr>
            <w:tcW w:w="127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tcMar/>
            <w:vAlign w:val="center"/>
            <w:hideMark/>
          </w:tcPr>
          <w:p w:rsidRPr="00FE46E2" w:rsidR="00FE46E2" w:rsidP="00FE46E2" w:rsidRDefault="00FE46E2" w14:paraId="5F1A8A3C" w14:textId="77777777">
            <w:pPr>
              <w:rPr>
                <w:b/>
                <w:bCs/>
              </w:rPr>
            </w:pPr>
            <w:r w:rsidRPr="00FE46E2">
              <w:rPr>
                <w:b/>
                <w:bCs/>
              </w:rPr>
              <w:t>Allopurinol</w:t>
            </w:r>
          </w:p>
        </w:tc>
      </w:tr>
      <w:tr w:rsidRPr="00FE46E2" w:rsidR="00FE46E2" w:rsidTr="1298D30F" w14:paraId="7371A834" w14:textId="77777777">
        <w:trPr>
          <w:tblCellSpacing w:w="15" w:type="dxa"/>
        </w:trPr>
        <w:tc>
          <w:tcPr>
            <w:tcW w:w="1432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FE46E2" w:rsidR="00FE46E2" w:rsidP="00FE46E2" w:rsidRDefault="00FE46E2" w14:paraId="6BB393FF" w14:textId="77777777">
            <w:r w:rsidRPr="00FE46E2">
              <w:t>Age (mean)</w:t>
            </w:r>
          </w:p>
        </w:tc>
        <w:tc>
          <w:tcPr>
            <w:tcW w:w="134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FE46E2" w:rsidR="00FE46E2" w:rsidP="00FE46E2" w:rsidRDefault="00FE46E2" w14:paraId="634193CC" w14:textId="77777777">
            <w:r w:rsidRPr="00FE46E2">
              <w:t>64.2</w:t>
            </w:r>
          </w:p>
        </w:tc>
        <w:tc>
          <w:tcPr>
            <w:tcW w:w="127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FE46E2" w:rsidR="00FE46E2" w:rsidP="00FE46E2" w:rsidRDefault="00FE46E2" w14:paraId="65CFE42E" w14:textId="77777777">
            <w:r w:rsidRPr="00FE46E2">
              <w:t>63.8</w:t>
            </w:r>
          </w:p>
        </w:tc>
      </w:tr>
      <w:tr w:rsidRPr="00FE46E2" w:rsidR="00FE46E2" w:rsidTr="1298D30F" w14:paraId="4BFD3A57" w14:textId="77777777">
        <w:trPr>
          <w:tblCellSpacing w:w="15" w:type="dxa"/>
        </w:trPr>
        <w:tc>
          <w:tcPr>
            <w:tcW w:w="1432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FE46E2" w:rsidR="00FE46E2" w:rsidP="00FE46E2" w:rsidRDefault="00FE46E2" w14:paraId="6A4EB784" w14:textId="77777777">
            <w:r w:rsidRPr="00FE46E2">
              <w:t>Male (%)</w:t>
            </w:r>
          </w:p>
        </w:tc>
        <w:tc>
          <w:tcPr>
            <w:tcW w:w="134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FE46E2" w:rsidR="00FE46E2" w:rsidP="00FE46E2" w:rsidRDefault="00FE46E2" w14:paraId="68E3410E" w14:textId="77777777">
            <w:r w:rsidRPr="00FE46E2">
              <w:t>78</w:t>
            </w:r>
          </w:p>
        </w:tc>
        <w:tc>
          <w:tcPr>
            <w:tcW w:w="127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FE46E2" w:rsidR="00FE46E2" w:rsidP="00FE46E2" w:rsidRDefault="00FE46E2" w14:paraId="7143AAD2" w14:textId="77777777">
            <w:r w:rsidRPr="00FE46E2">
              <w:t>76</w:t>
            </w:r>
          </w:p>
        </w:tc>
      </w:tr>
      <w:tr w:rsidRPr="00FE46E2" w:rsidR="00FE46E2" w:rsidTr="1298D30F" w14:paraId="61646307" w14:textId="77777777">
        <w:trPr>
          <w:tblCellSpacing w:w="15" w:type="dxa"/>
        </w:trPr>
        <w:tc>
          <w:tcPr>
            <w:tcW w:w="1432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FE46E2" w:rsidR="00FE46E2" w:rsidP="00FE46E2" w:rsidRDefault="00FE46E2" w14:paraId="4CB405C7" w14:textId="77777777">
            <w:r w:rsidRPr="00FE46E2">
              <w:t>CV history (%)</w:t>
            </w:r>
          </w:p>
        </w:tc>
        <w:tc>
          <w:tcPr>
            <w:tcW w:w="134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FE46E2" w:rsidR="00FE46E2" w:rsidP="00FE46E2" w:rsidRDefault="00FE46E2" w14:paraId="314E8BE5" w14:textId="77777777">
            <w:r w:rsidRPr="00FE46E2">
              <w:t>100</w:t>
            </w:r>
          </w:p>
        </w:tc>
        <w:tc>
          <w:tcPr>
            <w:tcW w:w="127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FE46E2" w:rsidR="00FE46E2" w:rsidP="00FE46E2" w:rsidRDefault="00FE46E2" w14:paraId="2D59998C" w14:textId="77777777">
            <w:r w:rsidRPr="00FE46E2">
              <w:t>100</w:t>
            </w:r>
          </w:p>
        </w:tc>
      </w:tr>
    </w:tbl>
    <w:p w:rsidRPr="00FE46E2" w:rsidR="00FE46E2" w:rsidP="00FE46E2" w:rsidRDefault="00FE46E2" w14:paraId="6337F535" w14:textId="77777777">
      <w:r w:rsidRPr="00FE46E2">
        <w:pict w14:anchorId="5AD67B9D">
          <v:rect id="_x0000_i1264" style="width:0;height:1.5pt" o:hr="t" o:hrstd="t" o:hralign="center" fillcolor="#a0a0a0" stroked="f"/>
        </w:pict>
      </w:r>
    </w:p>
    <w:p w:rsidRPr="00FE46E2" w:rsidR="00FE46E2" w:rsidP="00FE46E2" w:rsidRDefault="00FE46E2" w14:paraId="74C6E125" w14:textId="77777777">
      <w:pPr>
        <w:rPr>
          <w:b/>
          <w:bCs/>
        </w:rPr>
      </w:pPr>
      <w:r w:rsidRPr="00FE46E2">
        <w:rPr>
          <w:b/>
          <w:bCs/>
        </w:rPr>
        <w:t>10. EFFICACY EVALUATION (PRIMARY OUTCOME)</w:t>
      </w:r>
    </w:p>
    <w:p w:rsidRPr="00FE46E2" w:rsidR="00FE46E2" w:rsidP="00FE46E2" w:rsidRDefault="00FE46E2" w14:paraId="0CB8420E" w14:textId="77777777">
      <w:pPr>
        <w:rPr>
          <w:b/>
          <w:bCs/>
        </w:rPr>
      </w:pPr>
      <w:r w:rsidRPr="00FE46E2">
        <w:rPr>
          <w:b/>
          <w:bCs/>
        </w:rPr>
        <w:t>10.1 Primary Endpoint Analysis</w:t>
      </w:r>
    </w:p>
    <w:p w:rsidRPr="00FE46E2" w:rsidR="00FE46E2" w:rsidP="00FE46E2" w:rsidRDefault="00FE46E2" w14:paraId="13CABF12" w14:textId="26ADFCFC">
      <w:r w:rsidR="00FE46E2">
        <w:rPr/>
        <w:t xml:space="preserve">The primary endpoint was analyzed as a time-to-event variable using a Cox proportional hazards model as specified in </w:t>
      </w:r>
      <w:r w:rsidRPr="7F9815C1" w:rsidR="00FE46E2">
        <w:rPr>
          <w:b w:val="1"/>
          <w:bCs w:val="1"/>
          <w:highlight w:val="yellow"/>
        </w:rPr>
        <w:t>SAP</w:t>
      </w:r>
      <w:r w:rsidRPr="7F9815C1" w:rsidR="00FE46E2">
        <w:rPr>
          <w:b w:val="1"/>
          <w:bCs w:val="1"/>
          <w:highlight w:val="yellow"/>
        </w:rPr>
        <w:t xml:space="preserve"> Section 5.3</w:t>
      </w:r>
      <w:r w:rsidR="00FE46E2">
        <w:rPr/>
        <w:t>.</w:t>
      </w:r>
    </w:p>
    <w:p w:rsidRPr="00FE46E2" w:rsidR="00FE46E2" w:rsidP="00FE46E2" w:rsidRDefault="00FE46E2" w14:paraId="6410E0EA" w14:textId="77777777">
      <w:r w:rsidRPr="00FE46E2">
        <w:pict w14:anchorId="71510A7A">
          <v:rect id="_x0000_i1265" style="width:0;height:1.5pt" o:hr="t" o:hrstd="t" o:hralign="center" fillcolor="#a0a0a0" stroked="f"/>
        </w:pict>
      </w:r>
    </w:p>
    <w:p w:rsidRPr="00FE46E2" w:rsidR="00FE46E2" w:rsidP="00FE46E2" w:rsidRDefault="00FE46E2" w14:paraId="769166DE" w14:textId="77777777">
      <w:pPr>
        <w:rPr>
          <w:b/>
          <w:bCs/>
        </w:rPr>
      </w:pPr>
      <w:r w:rsidRPr="00FE46E2">
        <w:rPr>
          <w:b/>
          <w:bCs/>
        </w:rPr>
        <w:t>Table 10.1.1: Time to First MACE Event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214"/>
        <w:gridCol w:w="1229"/>
      </w:tblGrid>
      <w:tr w:rsidRPr="00FE46E2" w:rsidR="00FE46E2" w14:paraId="30AA5C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FE46E2" w:rsidR="00FE46E2" w:rsidP="00FE46E2" w:rsidRDefault="00FE46E2" w14:paraId="43244823" w14:textId="77777777">
            <w:pPr>
              <w:rPr>
                <w:b/>
                <w:bCs/>
              </w:rPr>
            </w:pPr>
            <w:r w:rsidRPr="00FE46E2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FE46E2" w:rsidR="00FE46E2" w:rsidP="00FE46E2" w:rsidRDefault="00FE46E2" w14:paraId="61F0395C" w14:textId="77777777">
            <w:pPr>
              <w:rPr>
                <w:b/>
                <w:bCs/>
              </w:rPr>
            </w:pPr>
            <w:r w:rsidRPr="00FE46E2">
              <w:rPr>
                <w:b/>
                <w:bCs/>
              </w:rPr>
              <w:t>Febuxostat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FE46E2" w:rsidR="00FE46E2" w:rsidP="00FE46E2" w:rsidRDefault="00FE46E2" w14:paraId="57D565AC" w14:textId="77777777">
            <w:pPr>
              <w:rPr>
                <w:b/>
                <w:bCs/>
              </w:rPr>
            </w:pPr>
            <w:r w:rsidRPr="00FE46E2">
              <w:rPr>
                <w:b/>
                <w:bCs/>
              </w:rPr>
              <w:t>Allopurinol</w:t>
            </w:r>
          </w:p>
        </w:tc>
      </w:tr>
      <w:tr w:rsidRPr="00FE46E2" w:rsidR="00FE46E2" w14:paraId="7ABAA76E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FE46E2" w:rsidR="00FE46E2" w:rsidP="00FE46E2" w:rsidRDefault="00FE46E2" w14:paraId="12B95AE9" w14:textId="77777777">
            <w:r w:rsidRPr="00FE46E2">
              <w:t>Events, n (%)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FE46E2" w:rsidR="00FE46E2" w:rsidP="00FE46E2" w:rsidRDefault="00FE46E2" w14:paraId="6BE16134" w14:textId="77777777">
            <w:r w:rsidRPr="00FE46E2">
              <w:t>134 (55.8%)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FE46E2" w:rsidR="00FE46E2" w:rsidP="00FE46E2" w:rsidRDefault="00FE46E2" w14:paraId="405AE973" w14:textId="77777777">
            <w:r w:rsidRPr="00FE46E2">
              <w:t>122 (50.8%)</w:t>
            </w:r>
          </w:p>
        </w:tc>
      </w:tr>
      <w:tr w:rsidRPr="00FE46E2" w:rsidR="00FE46E2" w14:paraId="2251B103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FE46E2" w:rsidR="00FE46E2" w:rsidP="00FE46E2" w:rsidRDefault="00FE46E2" w14:paraId="65B6322D" w14:textId="77777777">
            <w:r w:rsidRPr="00FE46E2">
              <w:t>Hazard Ratio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FE46E2" w:rsidR="00FE46E2" w:rsidP="00FE46E2" w:rsidRDefault="00FE46E2" w14:paraId="19AFD512" w14:textId="77777777">
            <w:r w:rsidRPr="00FE46E2">
              <w:t>1.08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FE46E2" w:rsidR="00FE46E2" w:rsidP="00FE46E2" w:rsidRDefault="00FE46E2" w14:paraId="098DDC86" w14:textId="77777777"/>
        </w:tc>
      </w:tr>
      <w:tr w:rsidRPr="00FE46E2" w:rsidR="00FE46E2" w14:paraId="472125DB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FE46E2" w:rsidR="00FE46E2" w:rsidP="00FE46E2" w:rsidRDefault="00FE46E2" w14:paraId="330079A3" w14:textId="77777777">
            <w:r w:rsidRPr="00FE46E2">
              <w:t>95% CI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FE46E2" w:rsidR="00FE46E2" w:rsidP="00FE46E2" w:rsidRDefault="00FE46E2" w14:paraId="344728E0" w14:textId="77777777">
            <w:r w:rsidRPr="00FE46E2">
              <w:t>(0.89, 1.32)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FE46E2" w:rsidR="00FE46E2" w:rsidP="00FE46E2" w:rsidRDefault="00FE46E2" w14:paraId="28F7D7DE" w14:textId="77777777"/>
        </w:tc>
      </w:tr>
      <w:tr w:rsidRPr="00FE46E2" w:rsidR="00FE46E2" w14:paraId="6E191E12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FE46E2" w:rsidR="00FE46E2" w:rsidP="00FE46E2" w:rsidRDefault="00FE46E2" w14:paraId="5DB623F7" w14:textId="77777777">
            <w:r w:rsidRPr="00FE46E2">
              <w:t>P-value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FE46E2" w:rsidR="00FE46E2" w:rsidP="00FE46E2" w:rsidRDefault="00FE46E2" w14:paraId="2F8E99AA" w14:textId="77777777">
            <w:r w:rsidRPr="00FE46E2">
              <w:t>0.45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FE46E2" w:rsidR="00FE46E2" w:rsidP="00FE46E2" w:rsidRDefault="00FE46E2" w14:paraId="0CA9EDEC" w14:textId="77777777"/>
        </w:tc>
      </w:tr>
    </w:tbl>
    <w:p w:rsidRPr="00FE46E2" w:rsidR="00FE46E2" w:rsidP="00FE46E2" w:rsidRDefault="00FE46E2" w14:paraId="54A3803D" w14:textId="77777777">
      <w:r w:rsidRPr="00FE46E2">
        <w:pict w14:anchorId="4D0BDF5C">
          <v:rect id="_x0000_i1266" style="width:0;height:1.5pt" o:hr="t" o:hrstd="t" o:hralign="center" fillcolor="#a0a0a0" stroked="f"/>
        </w:pict>
      </w:r>
    </w:p>
    <w:p w:rsidRPr="00FE46E2" w:rsidR="00FE46E2" w:rsidP="00FE46E2" w:rsidRDefault="00FE46E2" w14:paraId="1F7B8CFD" w14:textId="77777777">
      <w:r w:rsidRPr="00FE46E2">
        <w:t>The hazard ratio indicates no statistically significant difference between treatment groups.</w:t>
      </w:r>
    </w:p>
    <w:p w:rsidRPr="00FE46E2" w:rsidR="00FE46E2" w:rsidP="00FE46E2" w:rsidRDefault="00FE46E2" w14:paraId="61DC7DCE" w14:textId="77777777">
      <w:r w:rsidRPr="00FE46E2">
        <w:pict w14:anchorId="5B849BC5">
          <v:rect id="_x0000_i1267" style="width:0;height:1.5pt" o:hr="t" o:hrstd="t" o:hralign="center" fillcolor="#a0a0a0" stroked="f"/>
        </w:pict>
      </w:r>
    </w:p>
    <w:p w:rsidRPr="00FE46E2" w:rsidR="00FE46E2" w:rsidP="00FE46E2" w:rsidRDefault="00FE46E2" w14:paraId="62D33501" w14:textId="77777777">
      <w:pPr>
        <w:rPr>
          <w:b/>
          <w:bCs/>
        </w:rPr>
      </w:pPr>
      <w:r w:rsidRPr="00FE46E2">
        <w:rPr>
          <w:b/>
          <w:bCs/>
        </w:rPr>
        <w:t>10.2 Kaplan–Meier Analysis</w:t>
      </w:r>
    </w:p>
    <w:p w:rsidRPr="00FE46E2" w:rsidR="00FE46E2" w:rsidP="00FE46E2" w:rsidRDefault="00FE46E2" w14:paraId="5BA55A27" w14:textId="77777777">
      <w:r w:rsidRPr="00FE46E2">
        <w:t>Time-to-event analysis demonstrated similar event curves over time between treatment groups.</w:t>
      </w:r>
    </w:p>
    <w:p w:rsidRPr="00FE46E2" w:rsidR="00FE46E2" w:rsidP="00FE46E2" w:rsidRDefault="00FE46E2" w14:paraId="71806E7F" w14:textId="77777777">
      <w:r w:rsidRPr="00FE46E2">
        <w:pict w14:anchorId="0958BC1F">
          <v:rect id="_x0000_i1268" style="width:0;height:1.5pt" o:hr="t" o:hrstd="t" o:hralign="center" fillcolor="#a0a0a0" stroked="f"/>
        </w:pict>
      </w:r>
    </w:p>
    <w:p w:rsidRPr="00FE46E2" w:rsidR="00FE46E2" w:rsidP="00FE46E2" w:rsidRDefault="00FE46E2" w14:paraId="671BE04A" w14:textId="77777777">
      <w:pPr>
        <w:rPr>
          <w:b/>
          <w:bCs/>
        </w:rPr>
      </w:pPr>
      <w:r w:rsidRPr="00FE46E2">
        <w:rPr>
          <w:b/>
          <w:bCs/>
        </w:rPr>
        <w:t>10.3 Subgroup Analysis</w:t>
      </w:r>
    </w:p>
    <w:p w:rsidRPr="00FE46E2" w:rsidR="00FE46E2" w:rsidP="00FE46E2" w:rsidRDefault="00FE46E2" w14:paraId="3378754A" w14:textId="77777777">
      <w:r w:rsidRPr="00FE46E2">
        <w:t>Treatment effect was consistent across predefined subgroups.</w:t>
      </w:r>
    </w:p>
    <w:p w:rsidRPr="00FE46E2" w:rsidR="00FE46E2" w:rsidP="00FE46E2" w:rsidRDefault="00FE46E2" w14:paraId="2F385BC5" w14:textId="77777777">
      <w:r w:rsidRPr="00FE46E2">
        <w:pict w14:anchorId="2C35A5CA">
          <v:rect id="_x0000_i1269" style="width:0;height:1.5pt" o:hr="t" o:hrstd="t" o:hralign="center" fillcolor="#a0a0a0" stroked="f"/>
        </w:pict>
      </w:r>
    </w:p>
    <w:p w:rsidRPr="00FE46E2" w:rsidR="00FE46E2" w:rsidP="00FE46E2" w:rsidRDefault="00FE46E2" w14:paraId="20255DC6" w14:textId="77777777">
      <w:pPr>
        <w:rPr>
          <w:b/>
          <w:bCs/>
        </w:rPr>
      </w:pPr>
      <w:r w:rsidRPr="00FE46E2">
        <w:rPr>
          <w:b/>
          <w:bCs/>
        </w:rPr>
        <w:t>Table 10.3.1: MACE by Subgroup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506"/>
        <w:gridCol w:w="1173"/>
      </w:tblGrid>
      <w:tr w:rsidRPr="00FE46E2" w:rsidR="00FE46E2" w14:paraId="6FD485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FE46E2" w:rsidR="00FE46E2" w:rsidP="00FE46E2" w:rsidRDefault="00FE46E2" w14:paraId="548B3A2A" w14:textId="77777777">
            <w:pPr>
              <w:rPr>
                <w:b/>
                <w:bCs/>
              </w:rPr>
            </w:pPr>
            <w:r w:rsidRPr="00FE46E2">
              <w:rPr>
                <w:b/>
                <w:bCs/>
              </w:rPr>
              <w:t>Subgroup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FE46E2" w:rsidR="00FE46E2" w:rsidP="00FE46E2" w:rsidRDefault="00FE46E2" w14:paraId="7C4330CD" w14:textId="77777777">
            <w:pPr>
              <w:rPr>
                <w:b/>
                <w:bCs/>
              </w:rPr>
            </w:pPr>
            <w:r w:rsidRPr="00FE46E2">
              <w:rPr>
                <w:b/>
                <w:bCs/>
              </w:rPr>
              <w:t>HR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FE46E2" w:rsidR="00FE46E2" w:rsidP="00FE46E2" w:rsidRDefault="00FE46E2" w14:paraId="38B4169E" w14:textId="77777777">
            <w:pPr>
              <w:rPr>
                <w:b/>
                <w:bCs/>
              </w:rPr>
            </w:pPr>
            <w:r w:rsidRPr="00FE46E2">
              <w:rPr>
                <w:b/>
                <w:bCs/>
              </w:rPr>
              <w:t>95% CI</w:t>
            </w:r>
          </w:p>
        </w:tc>
      </w:tr>
      <w:tr w:rsidRPr="00FE46E2" w:rsidR="00FE46E2" w14:paraId="7E242F3A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FE46E2" w:rsidR="00FE46E2" w:rsidP="00FE46E2" w:rsidRDefault="00FE46E2" w14:paraId="471F45CC" w14:textId="77777777">
            <w:r w:rsidRPr="00FE46E2">
              <w:t>Age ≥65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FE46E2" w:rsidR="00FE46E2" w:rsidP="00FE46E2" w:rsidRDefault="00FE46E2" w14:paraId="15C5820C" w14:textId="77777777">
            <w:r w:rsidRPr="00FE46E2">
              <w:t>1.05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FE46E2" w:rsidR="00FE46E2" w:rsidP="00FE46E2" w:rsidRDefault="00FE46E2" w14:paraId="551ABF27" w14:textId="77777777">
            <w:r w:rsidRPr="00FE46E2">
              <w:t>(0.82, 1.33)</w:t>
            </w:r>
          </w:p>
        </w:tc>
      </w:tr>
      <w:tr w:rsidRPr="00FE46E2" w:rsidR="00FE46E2" w14:paraId="0163B6A2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FE46E2" w:rsidR="00FE46E2" w:rsidP="00FE46E2" w:rsidRDefault="00FE46E2" w14:paraId="4D34D222" w14:textId="77777777">
            <w:r w:rsidRPr="00FE46E2">
              <w:t>Male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FE46E2" w:rsidR="00FE46E2" w:rsidP="00FE46E2" w:rsidRDefault="00FE46E2" w14:paraId="7E6E4B2C" w14:textId="77777777">
            <w:r w:rsidRPr="00FE46E2">
              <w:t>1.09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FE46E2" w:rsidR="00FE46E2" w:rsidP="00FE46E2" w:rsidRDefault="00FE46E2" w14:paraId="6846DB9B" w14:textId="77777777">
            <w:r w:rsidRPr="00FE46E2">
              <w:t>(0.88, 1.36)</w:t>
            </w:r>
          </w:p>
        </w:tc>
      </w:tr>
    </w:tbl>
    <w:p w:rsidRPr="00FE46E2" w:rsidR="00FE46E2" w:rsidP="00FE46E2" w:rsidRDefault="00FE46E2" w14:paraId="696218D9" w14:textId="77777777">
      <w:r w:rsidRPr="00FE46E2">
        <w:pict w14:anchorId="2125F686">
          <v:rect id="_x0000_i1270" style="width:0;height:1.5pt" o:hr="t" o:hrstd="t" o:hralign="center" fillcolor="#a0a0a0" stroked="f"/>
        </w:pict>
      </w:r>
    </w:p>
    <w:p w:rsidRPr="00FE46E2" w:rsidR="00FE46E2" w:rsidP="00FE46E2" w:rsidRDefault="00FE46E2" w14:paraId="73603F48" w14:textId="77777777">
      <w:r w:rsidRPr="00FE46E2">
        <w:t>No clinically meaningful heterogeneity was observed.</w:t>
      </w:r>
    </w:p>
    <w:p w:rsidRPr="00FE46E2" w:rsidR="00FE46E2" w:rsidP="00FE46E2" w:rsidRDefault="00FE46E2" w14:paraId="4E689B86" w14:textId="77777777">
      <w:r w:rsidRPr="00FE46E2">
        <w:pict w14:anchorId="486F38BD">
          <v:rect id="_x0000_i1271" style="width:0;height:1.5pt" o:hr="t" o:hrstd="t" o:hralign="center" fillcolor="#a0a0a0" stroked="f"/>
        </w:pict>
      </w:r>
    </w:p>
    <w:p w:rsidRPr="00FE46E2" w:rsidR="00FE46E2" w:rsidP="00FE46E2" w:rsidRDefault="00FE46E2" w14:paraId="1E2352F3" w14:textId="77777777">
      <w:pPr>
        <w:rPr>
          <w:b/>
          <w:bCs/>
        </w:rPr>
      </w:pPr>
      <w:r w:rsidRPr="00FE46E2">
        <w:rPr>
          <w:b/>
          <w:bCs/>
        </w:rPr>
        <w:t>11. SAFETY EVALUATION</w:t>
      </w:r>
    </w:p>
    <w:p w:rsidRPr="00FE46E2" w:rsidR="00FE46E2" w:rsidP="00FE46E2" w:rsidRDefault="00FE46E2" w14:paraId="4C320400" w14:textId="77777777">
      <w:pPr>
        <w:rPr>
          <w:b/>
          <w:bCs/>
        </w:rPr>
      </w:pPr>
      <w:r w:rsidRPr="00FE46E2">
        <w:rPr>
          <w:b/>
          <w:bCs/>
        </w:rPr>
        <w:t>11.1 Overview of Safety</w:t>
      </w:r>
    </w:p>
    <w:p w:rsidRPr="00FE46E2" w:rsidR="00FE46E2" w:rsidP="00FE46E2" w:rsidRDefault="00FE46E2" w14:paraId="35D05808" w14:textId="5AACADB9">
      <w:r w:rsidR="00FE46E2">
        <w:rPr/>
        <w:t xml:space="preserve">The primary endpoint also </w:t>
      </w:r>
      <w:r w:rsidR="00FE46E2">
        <w:rPr/>
        <w:t>represents</w:t>
      </w:r>
      <w:r w:rsidR="00FE46E2">
        <w:rPr/>
        <w:t xml:space="preserve"> the key safety outcome (cardiovascular risk)</w:t>
      </w:r>
    </w:p>
    <w:p w:rsidRPr="00FE46E2" w:rsidR="00FE46E2" w:rsidP="00FE46E2" w:rsidRDefault="00FE46E2" w14:paraId="14CDF131" w14:textId="77777777">
      <w:r w:rsidRPr="00FE46E2">
        <w:pict w14:anchorId="6DE07E21">
          <v:rect id="_x0000_i1272" style="width:0;height:1.5pt" o:hr="t" o:hrstd="t" o:hralign="center" fillcolor="#a0a0a0" stroked="f"/>
        </w:pict>
      </w:r>
    </w:p>
    <w:p w:rsidRPr="00FE46E2" w:rsidR="00FE46E2" w:rsidP="00FE46E2" w:rsidRDefault="00FE46E2" w14:paraId="3BAAA6D0" w14:textId="77777777">
      <w:pPr>
        <w:rPr>
          <w:b/>
          <w:bCs/>
        </w:rPr>
      </w:pPr>
      <w:r w:rsidRPr="00FE46E2">
        <w:rPr>
          <w:b/>
          <w:bCs/>
        </w:rPr>
        <w:t>11.2 MACE Components</w:t>
      </w:r>
    </w:p>
    <w:p w:rsidRPr="00FE46E2" w:rsidR="00FE46E2" w:rsidP="00FE46E2" w:rsidRDefault="00FE46E2" w14:paraId="1CCE5461" w14:textId="77777777">
      <w:r w:rsidRPr="00FE46E2">
        <w:pict w14:anchorId="58539F2A">
          <v:rect id="_x0000_i1273" style="width:0;height:1.5pt" o:hr="t" o:hrstd="t" o:hralign="center" fillcolor="#a0a0a0" stroked="f"/>
        </w:pict>
      </w:r>
    </w:p>
    <w:p w:rsidRPr="00FE46E2" w:rsidR="00FE46E2" w:rsidP="00FE46E2" w:rsidRDefault="00FE46E2" w14:paraId="3287C669" w14:textId="77777777">
      <w:pPr>
        <w:rPr>
          <w:b/>
          <w:bCs/>
        </w:rPr>
      </w:pPr>
      <w:r w:rsidRPr="00FE46E2">
        <w:rPr>
          <w:b/>
          <w:bCs/>
        </w:rPr>
        <w:t>Table 11.2.1: MACE Components</w:t>
      </w:r>
    </w:p>
    <w:tbl>
      <w:tblPr>
        <w:tblW w:w="49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1330"/>
        <w:gridCol w:w="1375"/>
      </w:tblGrid>
      <w:tr w:rsidRPr="00FE46E2" w:rsidR="00FE46E2" w:rsidTr="7F8DF465" w14:paraId="11D23526" w14:textId="77777777">
        <w:trPr>
          <w:tblHeader/>
          <w:tblCellSpacing w:w="15" w:type="dxa"/>
        </w:trPr>
        <w:tc>
          <w:tcPr>
            <w:tcW w:w="2273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tcMar/>
            <w:vAlign w:val="center"/>
            <w:hideMark/>
          </w:tcPr>
          <w:p w:rsidRPr="00FE46E2" w:rsidR="00FE46E2" w:rsidP="00FE46E2" w:rsidRDefault="00FE46E2" w14:paraId="1DD37453" w14:textId="77777777">
            <w:pPr>
              <w:rPr>
                <w:b/>
                <w:bCs/>
              </w:rPr>
            </w:pPr>
            <w:r w:rsidRPr="00FE46E2">
              <w:rPr>
                <w:b/>
                <w:bCs/>
              </w:rPr>
              <w:t>Event</w:t>
            </w:r>
          </w:p>
        </w:tc>
        <w:tc>
          <w:tcPr>
            <w:tcW w:w="133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tcMar/>
            <w:vAlign w:val="center"/>
            <w:hideMark/>
          </w:tcPr>
          <w:p w:rsidRPr="00FE46E2" w:rsidR="00FE46E2" w:rsidP="00FE46E2" w:rsidRDefault="00FE46E2" w14:paraId="5422673F" w14:textId="77777777">
            <w:pPr>
              <w:rPr>
                <w:b/>
                <w:bCs/>
              </w:rPr>
            </w:pPr>
            <w:r w:rsidRPr="00FE46E2">
              <w:rPr>
                <w:b/>
                <w:bCs/>
              </w:rPr>
              <w:t>Febuxostat</w:t>
            </w:r>
          </w:p>
        </w:tc>
        <w:tc>
          <w:tcPr>
            <w:tcW w:w="137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tcMar/>
            <w:vAlign w:val="center"/>
            <w:hideMark/>
          </w:tcPr>
          <w:p w:rsidRPr="00FE46E2" w:rsidR="00FE46E2" w:rsidP="00FE46E2" w:rsidRDefault="00FE46E2" w14:paraId="46DFC696" w14:textId="77777777">
            <w:pPr>
              <w:rPr>
                <w:b/>
                <w:bCs/>
              </w:rPr>
            </w:pPr>
            <w:r w:rsidRPr="00FE46E2">
              <w:rPr>
                <w:b/>
                <w:bCs/>
              </w:rPr>
              <w:t>Allopurinol</w:t>
            </w:r>
          </w:p>
        </w:tc>
      </w:tr>
      <w:tr w:rsidRPr="00FE46E2" w:rsidR="00FE46E2" w:rsidTr="7F8DF465" w14:paraId="24389827" w14:textId="77777777">
        <w:trPr>
          <w:tblCellSpacing w:w="15" w:type="dxa"/>
        </w:trPr>
        <w:tc>
          <w:tcPr>
            <w:tcW w:w="2273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FE46E2" w:rsidR="00FE46E2" w:rsidP="00FE46E2" w:rsidRDefault="00FE46E2" w14:paraId="484D9F50" w14:textId="77777777">
            <w:r w:rsidRPr="00FE46E2">
              <w:t>CV Death</w:t>
            </w:r>
          </w:p>
        </w:tc>
        <w:tc>
          <w:tcPr>
            <w:tcW w:w="133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FE46E2" w:rsidR="00FE46E2" w:rsidP="00FE46E2" w:rsidRDefault="00FE46E2" w14:paraId="64E595DA" w14:textId="77777777">
            <w:r w:rsidRPr="00FE46E2">
              <w:t>28</w:t>
            </w:r>
          </w:p>
        </w:tc>
        <w:tc>
          <w:tcPr>
            <w:tcW w:w="137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FE46E2" w:rsidR="00FE46E2" w:rsidP="00FE46E2" w:rsidRDefault="00FE46E2" w14:paraId="56B2CB93" w14:textId="77777777">
            <w:r w:rsidRPr="00FE46E2">
              <w:t>24</w:t>
            </w:r>
          </w:p>
        </w:tc>
      </w:tr>
      <w:tr w:rsidRPr="00FE46E2" w:rsidR="00FE46E2" w:rsidTr="7F8DF465" w14:paraId="25ED3777" w14:textId="77777777">
        <w:trPr>
          <w:tblCellSpacing w:w="15" w:type="dxa"/>
        </w:trPr>
        <w:tc>
          <w:tcPr>
            <w:tcW w:w="2273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FE46E2" w:rsidR="00FE46E2" w:rsidP="00FE46E2" w:rsidRDefault="00FE46E2" w14:paraId="2A31CA2A" w14:textId="77777777">
            <w:r w:rsidRPr="00FE46E2">
              <w:t>MI</w:t>
            </w:r>
          </w:p>
        </w:tc>
        <w:tc>
          <w:tcPr>
            <w:tcW w:w="133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FE46E2" w:rsidR="00FE46E2" w:rsidP="00FE46E2" w:rsidRDefault="00FE46E2" w14:paraId="5325775C" w14:textId="77777777">
            <w:r w:rsidRPr="00FE46E2">
              <w:t>36</w:t>
            </w:r>
          </w:p>
        </w:tc>
        <w:tc>
          <w:tcPr>
            <w:tcW w:w="137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FE46E2" w:rsidR="00FE46E2" w:rsidP="00FE46E2" w:rsidRDefault="00FE46E2" w14:paraId="5F60F6E9" w14:textId="77777777">
            <w:r w:rsidRPr="00FE46E2">
              <w:t>34</w:t>
            </w:r>
          </w:p>
        </w:tc>
      </w:tr>
      <w:tr w:rsidRPr="00FE46E2" w:rsidR="00FE46E2" w:rsidTr="7F8DF465" w14:paraId="6D38E940" w14:textId="77777777">
        <w:trPr>
          <w:tblCellSpacing w:w="15" w:type="dxa"/>
        </w:trPr>
        <w:tc>
          <w:tcPr>
            <w:tcW w:w="2273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FE46E2" w:rsidR="00FE46E2" w:rsidP="00FE46E2" w:rsidRDefault="00FE46E2" w14:paraId="18759C83" w14:textId="77777777">
            <w:r w:rsidRPr="00FE46E2">
              <w:t>Stroke</w:t>
            </w:r>
          </w:p>
        </w:tc>
        <w:tc>
          <w:tcPr>
            <w:tcW w:w="133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FE46E2" w:rsidR="00FE46E2" w:rsidP="00FE46E2" w:rsidRDefault="00FE46E2" w14:paraId="7301FD9E" w14:textId="77777777">
            <w:r w:rsidRPr="00FE46E2">
              <w:t>22</w:t>
            </w:r>
          </w:p>
        </w:tc>
        <w:tc>
          <w:tcPr>
            <w:tcW w:w="137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FE46E2" w:rsidR="00FE46E2" w:rsidP="00FE46E2" w:rsidRDefault="00FE46E2" w14:paraId="2E6B80CC" w14:textId="77777777">
            <w:r w:rsidRPr="00FE46E2">
              <w:t>20</w:t>
            </w:r>
          </w:p>
        </w:tc>
      </w:tr>
      <w:tr w:rsidRPr="00FE46E2" w:rsidR="00FE46E2" w:rsidTr="7F8DF465" w14:paraId="608A3F95" w14:textId="77777777">
        <w:trPr>
          <w:tblCellSpacing w:w="15" w:type="dxa"/>
        </w:trPr>
        <w:tc>
          <w:tcPr>
            <w:tcW w:w="2273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FE46E2" w:rsidR="00FE46E2" w:rsidP="00FE46E2" w:rsidRDefault="00FE46E2" w14:paraId="3B591F9B" w14:textId="77777777">
            <w:r w:rsidRPr="00FE46E2">
              <w:t>UA + Revascularization</w:t>
            </w:r>
          </w:p>
        </w:tc>
        <w:tc>
          <w:tcPr>
            <w:tcW w:w="133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FE46E2" w:rsidR="00FE46E2" w:rsidP="00FE46E2" w:rsidRDefault="00FE46E2" w14:paraId="651E51C0" w14:textId="77777777">
            <w:r w:rsidRPr="00FE46E2">
              <w:t>48</w:t>
            </w:r>
          </w:p>
        </w:tc>
        <w:tc>
          <w:tcPr>
            <w:tcW w:w="137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FE46E2" w:rsidR="00FE46E2" w:rsidP="00FE46E2" w:rsidRDefault="00FE46E2" w14:paraId="573327C9" w14:textId="77777777">
            <w:r w:rsidRPr="00FE46E2">
              <w:t>44</w:t>
            </w:r>
          </w:p>
        </w:tc>
      </w:tr>
    </w:tbl>
    <w:p w:rsidRPr="00FE46E2" w:rsidR="00FE46E2" w:rsidP="00FE46E2" w:rsidRDefault="00FE46E2" w14:paraId="32B610BF" w14:textId="77777777">
      <w:r w:rsidRPr="00FE46E2">
        <w:pict w14:anchorId="1B0DECBF">
          <v:rect id="_x0000_i1274" style="width:0;height:1.5pt" o:hr="t" o:hrstd="t" o:hralign="center" fillcolor="#a0a0a0" stroked="f"/>
        </w:pict>
      </w:r>
    </w:p>
    <w:p w:rsidRPr="00FE46E2" w:rsidR="00FE46E2" w:rsidP="00FE46E2" w:rsidRDefault="00FE46E2" w14:paraId="4783B9EC" w14:textId="2B0883CF">
      <w:r w:rsidR="00FE46E2">
        <w:rPr/>
        <w:t xml:space="preserve">No imbalance in individual components was </w:t>
      </w:r>
      <w:r w:rsidR="00FE46E2">
        <w:rPr/>
        <w:t>observed</w:t>
      </w:r>
      <w:r w:rsidR="00FE46E2">
        <w:rPr/>
        <w:t>.</w:t>
      </w:r>
    </w:p>
    <w:p w:rsidRPr="00FE46E2" w:rsidR="00FE46E2" w:rsidP="00FE46E2" w:rsidRDefault="00FE46E2" w14:paraId="23805FD6" w14:textId="77777777">
      <w:pPr>
        <w:rPr>
          <w:b/>
          <w:bCs/>
        </w:rPr>
      </w:pPr>
      <w:r w:rsidRPr="00FE46E2">
        <w:rPr>
          <w:b/>
          <w:bCs/>
        </w:rPr>
        <w:t>11.3 Non-CV Safety</w:t>
      </w:r>
    </w:p>
    <w:p w:rsidRPr="00FE46E2" w:rsidR="00FE46E2" w:rsidP="00FE46E2" w:rsidRDefault="00FE46E2" w14:paraId="0EE96B10" w14:textId="570CFBCD">
      <w:r w:rsidR="00FE46E2">
        <w:rPr/>
        <w:t>Non-cardiovascular adverse events were consistent with known safety profiles</w:t>
      </w:r>
      <w:r w:rsidR="2B213E34">
        <w:rPr/>
        <w:t xml:space="preserve"> see </w:t>
      </w:r>
      <w:r w:rsidRPr="7031489D" w:rsidR="2B213E34">
        <w:rPr>
          <w:highlight w:val="yellow"/>
        </w:rPr>
        <w:t>Appendix 1</w:t>
      </w:r>
      <w:r w:rsidR="2B213E34">
        <w:rPr/>
        <w:t xml:space="preserve">- </w:t>
      </w:r>
      <w:r w:rsidRPr="7031489D" w:rsidR="2B213E34">
        <w:rPr>
          <w:highlight w:val="yellow"/>
        </w:rPr>
        <w:t>Appendix 2.</w:t>
      </w:r>
    </w:p>
    <w:p w:rsidRPr="00FE46E2" w:rsidR="00FE46E2" w:rsidP="00FE46E2" w:rsidRDefault="00FE46E2" w14:paraId="2BBD01E1" w14:textId="77777777">
      <w:r w:rsidRPr="00FE46E2">
        <w:pict w14:anchorId="34CEE2BA">
          <v:rect id="_x0000_i1276" style="width:0;height:1.5pt" o:hr="t" o:hrstd="t" o:hralign="center" fillcolor="#a0a0a0" stroked="f"/>
        </w:pict>
      </w:r>
    </w:p>
    <w:p w:rsidRPr="00FE46E2" w:rsidR="00FE46E2" w:rsidP="00FE46E2" w:rsidRDefault="00FE46E2" w14:paraId="0CFDF001" w14:textId="77777777">
      <w:pPr>
        <w:rPr>
          <w:b/>
          <w:bCs/>
        </w:rPr>
      </w:pPr>
      <w:r w:rsidRPr="00FE46E2">
        <w:rPr>
          <w:b/>
          <w:bCs/>
        </w:rPr>
        <w:t>12. DISCUSSION</w:t>
      </w:r>
    </w:p>
    <w:p w:rsidRPr="00FE46E2" w:rsidR="00FE46E2" w:rsidP="0443AAE3" w:rsidRDefault="00FE46E2" w14:paraId="04ED12FC" w14:textId="1E97D68F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="00FE46E2">
        <w:rPr/>
        <w:t xml:space="preserve">The study </w:t>
      </w:r>
      <w:r w:rsidR="00FE46E2">
        <w:rPr/>
        <w:t>demonstrated</w:t>
      </w:r>
      <w:r w:rsidR="00FE46E2">
        <w:rPr/>
        <w:t xml:space="preserve"> no statistically significant difference in cardiovascular risk between </w:t>
      </w:r>
      <w:r w:rsidR="00FE46E2">
        <w:rPr/>
        <w:t>febuxostat</w:t>
      </w:r>
      <w:r w:rsidR="00FE46E2">
        <w:rPr/>
        <w:t xml:space="preserve"> and allopurinol</w:t>
      </w:r>
      <w:r w:rsidR="0E96AA21">
        <w:rPr/>
        <w:t xml:space="preserve"> see literature reference </w:t>
      </w:r>
      <w:r w:rsidRPr="0443AAE3" w:rsidR="37B0318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highlight w:val="yellow"/>
          <w:lang w:val="en-IN"/>
        </w:rPr>
        <w:t>Becker MA</w:t>
      </w:r>
      <w:r w:rsidRPr="0443AAE3" w:rsidR="46216B1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highlight w:val="yellow"/>
          <w:lang w:val="en-IN"/>
        </w:rPr>
        <w:t>,</w:t>
      </w:r>
      <w:r w:rsidRPr="0443AAE3" w:rsidR="37B0318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highlight w:val="yellow"/>
          <w:lang w:val="en-IN"/>
        </w:rPr>
        <w:t xml:space="preserve"> 2005</w:t>
      </w:r>
      <w:r w:rsidRPr="0443AAE3" w:rsidR="37B0318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and </w:t>
      </w:r>
      <w:r w:rsidRPr="0443AAE3" w:rsidR="37B0318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highlight w:val="yellow"/>
          <w:lang w:val="en-IN"/>
        </w:rPr>
        <w:t>Schumacher HR</w:t>
      </w:r>
      <w:r w:rsidRPr="0443AAE3" w:rsidR="137CB2A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highlight w:val="yellow"/>
          <w:lang w:val="en-IN"/>
        </w:rPr>
        <w:t>,</w:t>
      </w:r>
      <w:r w:rsidRPr="0443AAE3" w:rsidR="37B0318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highlight w:val="yellow"/>
          <w:lang w:val="en-IN"/>
        </w:rPr>
        <w:t xml:space="preserve"> 2010</w:t>
      </w:r>
    </w:p>
    <w:p w:rsidRPr="00FE46E2" w:rsidR="00FE46E2" w:rsidP="00FE46E2" w:rsidRDefault="00FE46E2" w14:paraId="15FDFF01" w14:textId="77777777">
      <w:r w:rsidRPr="00FE46E2">
        <w:t>The hazard ratio was close to unity, and subgroup analyses confirmed consistency of results.</w:t>
      </w:r>
    </w:p>
    <w:p w:rsidRPr="00FE46E2" w:rsidR="00FE46E2" w:rsidP="00FE46E2" w:rsidRDefault="00FE46E2" w14:paraId="4C2C7858" w14:textId="75991105">
      <w:r w:rsidRPr="00FE46E2">
        <w:t xml:space="preserve">These findings are consistent with integrated analyses presented in the </w:t>
      </w:r>
      <w:hyperlink w:history="1" r:id="rId11">
        <w:r w:rsidRPr="00BC2E7F">
          <w:rPr>
            <w:rStyle w:val="Hyperlink"/>
            <w:b/>
            <w:bCs/>
          </w:rPr>
          <w:t>ISE</w:t>
        </w:r>
      </w:hyperlink>
      <w:r w:rsidRPr="00FE46E2">
        <w:rPr>
          <w:b/>
          <w:bCs/>
        </w:rPr>
        <w:t xml:space="preserve"> and </w:t>
      </w:r>
      <w:hyperlink w:history="1" r:id="rId12">
        <w:r w:rsidRPr="00BC2E7F">
          <w:rPr>
            <w:rStyle w:val="Hyperlink"/>
            <w:b/>
            <w:bCs/>
          </w:rPr>
          <w:t>ISS</w:t>
        </w:r>
      </w:hyperlink>
      <w:r w:rsidRPr="00FE46E2">
        <w:t>.</w:t>
      </w:r>
    </w:p>
    <w:p w:rsidRPr="00FE46E2" w:rsidR="00FE46E2" w:rsidP="00FE46E2" w:rsidRDefault="00FE46E2" w14:paraId="61119D89" w14:textId="77777777">
      <w:r w:rsidRPr="00FE46E2">
        <w:pict w14:anchorId="7FDCB8A8">
          <v:rect id="_x0000_i1277" style="width:0;height:1.5pt" o:hr="t" o:hrstd="t" o:hralign="center" fillcolor="#a0a0a0" stroked="f"/>
        </w:pict>
      </w:r>
    </w:p>
    <w:p w:rsidRPr="00FE46E2" w:rsidR="00FE46E2" w:rsidP="00FE46E2" w:rsidRDefault="00FE46E2" w14:paraId="7BD57B3D" w14:textId="77777777">
      <w:pPr>
        <w:rPr>
          <w:b/>
          <w:bCs/>
        </w:rPr>
      </w:pPr>
      <w:r w:rsidRPr="00FE46E2">
        <w:rPr>
          <w:b/>
          <w:bCs/>
        </w:rPr>
        <w:t>13. CONCLUSIONS</w:t>
      </w:r>
    </w:p>
    <w:p w:rsidRPr="00FE46E2" w:rsidR="00FE46E2" w:rsidP="00FE46E2" w:rsidRDefault="00FE46E2" w14:paraId="47E5D7A2" w14:textId="77777777">
      <w:r w:rsidRPr="00FE46E2">
        <w:t>Febuxostat did not demonstrate a statistically significant increase in risk of MACE compared to allopurinol.</w:t>
      </w:r>
    </w:p>
    <w:p w:rsidRPr="00FE46E2" w:rsidR="00FE46E2" w:rsidP="00FE46E2" w:rsidRDefault="00FE46E2" w14:paraId="578E4116" w14:textId="77777777">
      <w:r w:rsidR="00FE46E2">
        <w:rPr/>
        <w:t>The overall benefit-risk profile is considered acceptable.</w:t>
      </w:r>
    </w:p>
    <w:p w:rsidR="7031489D" w:rsidP="7031489D" w:rsidRDefault="7031489D" w14:paraId="579F286D" w14:textId="0EAD8C5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</w:rPr>
      </w:pPr>
    </w:p>
    <w:p w:rsidR="7031489D" w:rsidP="7031489D" w:rsidRDefault="7031489D" w14:paraId="1900BDCE" w14:textId="6B2D3AE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</w:rPr>
      </w:pPr>
    </w:p>
    <w:p w:rsidR="7031489D" w:rsidP="7031489D" w:rsidRDefault="7031489D" w14:paraId="5AE8AE60" w14:textId="00E79AB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</w:rPr>
      </w:pPr>
    </w:p>
    <w:p w:rsidR="7031489D" w:rsidP="7031489D" w:rsidRDefault="7031489D" w14:paraId="75D1BC86" w14:textId="059ED27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</w:rPr>
      </w:pPr>
    </w:p>
    <w:p w:rsidR="1298D30F" w:rsidP="1298D30F" w:rsidRDefault="1298D30F" w14:paraId="421CBE78" w14:textId="2CD29E3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</w:rPr>
      </w:pPr>
    </w:p>
    <w:p w:rsidR="7031489D" w:rsidP="7031489D" w:rsidRDefault="7031489D" w14:paraId="53370E3E" w14:textId="3D316D5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</w:rPr>
      </w:pPr>
    </w:p>
    <w:p w:rsidR="7E14794A" w:rsidP="1C07AB5D" w:rsidRDefault="7E14794A" w14:paraId="65928569" w14:textId="11139F2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1C07AB5D" w:rsidR="7E14794A">
        <w:rPr>
          <w:b w:val="1"/>
          <w:bCs w:val="1"/>
        </w:rPr>
        <w:t>14. F</w:t>
      </w:r>
      <w:r w:rsidRPr="1C07AB5D" w:rsidR="6C67D62B">
        <w:rPr>
          <w:b w:val="1"/>
          <w:bCs w:val="1"/>
        </w:rPr>
        <w:t>IGURES</w:t>
      </w:r>
    </w:p>
    <w:p w:rsidR="59F6156C" w:rsidRDefault="59F6156C" w14:paraId="0F62E2BF" w14:textId="4B83AC25">
      <w:r w:rsidRPr="1C07AB5D" w:rsidR="59F6156C">
        <w:rPr>
          <w:b w:val="1"/>
          <w:bCs w:val="1"/>
        </w:rPr>
        <w:t xml:space="preserve">Figure </w:t>
      </w:r>
      <w:r w:rsidRPr="1C07AB5D" w:rsidR="59F6156C">
        <w:rPr>
          <w:b w:val="1"/>
          <w:bCs w:val="1"/>
        </w:rPr>
        <w:t>1 Febuxostat vs Allopurinol — Cardiovascular Outcomes Study</w:t>
      </w:r>
    </w:p>
    <w:p w:rsidR="59F6156C" w:rsidP="1C07AB5D" w:rsidRDefault="59F6156C" w14:paraId="6B4871C5" w14:textId="6A50CA4A">
      <w:pPr>
        <w:pStyle w:val="Normal"/>
      </w:pPr>
      <w:r w:rsidR="59F6156C">
        <w:drawing>
          <wp:inline wp14:editId="72683884" wp14:anchorId="361BE64F">
            <wp:extent cx="4486122" cy="2468292"/>
            <wp:effectExtent l="0" t="0" r="0" b="0"/>
            <wp:docPr id="18396504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9650499" name="Picture 1839650499"/>
                    <pic:cNvPicPr/>
                  </pic:nvPicPr>
                  <pic:blipFill>
                    <a:blip xmlns:r="http://schemas.openxmlformats.org/officeDocument/2006/relationships" r:embed="rId1114661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6122" cy="246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CC7" w:rsidP="7031489D" w:rsidRDefault="009A6CC7" w14:paraId="3ED3FFC3" w14:textId="43BB5500">
      <w:pPr>
        <w:rPr>
          <w:b w:val="1"/>
          <w:bCs w:val="1"/>
        </w:rPr>
      </w:pPr>
    </w:p>
    <w:p w:rsidR="009A6CC7" w:rsidP="7031489D" w:rsidRDefault="009A6CC7" w14:paraId="622BBBFA" w14:textId="0AD98766">
      <w:pPr>
        <w:rPr>
          <w:b w:val="1"/>
          <w:bCs w:val="1"/>
        </w:rPr>
      </w:pPr>
    </w:p>
    <w:p w:rsidR="009A6CC7" w:rsidP="7031489D" w:rsidRDefault="009A6CC7" w14:paraId="46327130" w14:textId="25CBDD09">
      <w:pPr>
        <w:pStyle w:val="Normal"/>
        <w:rPr>
          <w:b w:val="1"/>
          <w:bCs w:val="1"/>
        </w:rPr>
      </w:pPr>
    </w:p>
    <w:p w:rsidR="009A6CC7" w:rsidP="7031489D" w:rsidRDefault="009A6CC7" w14:paraId="0C9FC7B4" w14:textId="74CBD4E5">
      <w:pPr>
        <w:pStyle w:val="Normal"/>
        <w:rPr>
          <w:b w:val="1"/>
          <w:bCs w:val="1"/>
        </w:rPr>
      </w:pPr>
      <w:r w:rsidRPr="7031489D" w:rsidR="604ABE69">
        <w:rPr>
          <w:b w:val="1"/>
          <w:bCs w:val="1"/>
        </w:rPr>
        <w:t>Figure 2 Percentage of patient reached target</w:t>
      </w:r>
    </w:p>
    <w:p w:rsidR="604ABE69" w:rsidP="7031489D" w:rsidRDefault="604ABE69" w14:paraId="6738E957" w14:textId="525D58AD">
      <w:pPr>
        <w:pStyle w:val="Normal"/>
      </w:pPr>
      <w:r w:rsidR="604ABE69">
        <w:drawing>
          <wp:inline wp14:editId="57DE6D0C" wp14:anchorId="7B700488">
            <wp:extent cx="3557389" cy="2604411"/>
            <wp:effectExtent l="0" t="0" r="0" b="0"/>
            <wp:docPr id="1616834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6834586" name="Picture 1616834586"/>
                    <pic:cNvPicPr/>
                  </pic:nvPicPr>
                  <pic:blipFill>
                    <a:blip xmlns:r="http://schemas.openxmlformats.org/officeDocument/2006/relationships" r:embed="rId11552713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7389" cy="260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31489D" w:rsidP="7031489D" w:rsidRDefault="7031489D" w14:paraId="7AC728FC" w14:textId="153FDD66">
      <w:pPr>
        <w:pStyle w:val="Normal"/>
      </w:pPr>
    </w:p>
    <w:p w:rsidR="7031489D" w:rsidP="7031489D" w:rsidRDefault="7031489D" w14:paraId="00BBA212" w14:textId="1F801812">
      <w:pPr>
        <w:pStyle w:val="Normal"/>
      </w:pPr>
    </w:p>
    <w:p w:rsidR="7031489D" w:rsidP="7031489D" w:rsidRDefault="7031489D" w14:paraId="561AEF07" w14:textId="55C357A7">
      <w:pPr>
        <w:pStyle w:val="Normal"/>
      </w:pPr>
    </w:p>
    <w:p w:rsidR="7031489D" w:rsidP="7031489D" w:rsidRDefault="7031489D" w14:paraId="18DBFBAF" w14:textId="6C96F670">
      <w:pPr>
        <w:pStyle w:val="Normal"/>
      </w:pPr>
    </w:p>
    <w:p w:rsidR="7031489D" w:rsidP="7031489D" w:rsidRDefault="7031489D" w14:paraId="112EDB6D" w14:textId="53ABA25C">
      <w:pPr>
        <w:pStyle w:val="Normal"/>
      </w:pPr>
    </w:p>
    <w:p w:rsidR="49EFF549" w:rsidP="49EFF549" w:rsidRDefault="49EFF549" w14:paraId="22748AAA" w14:textId="6BD22177">
      <w:pPr>
        <w:pStyle w:val="Normal"/>
      </w:pPr>
    </w:p>
    <w:p w:rsidR="7031489D" w:rsidP="7031489D" w:rsidRDefault="7031489D" w14:paraId="638D7789" w14:textId="36C822B2">
      <w:pPr>
        <w:pStyle w:val="Normal"/>
      </w:pPr>
    </w:p>
    <w:p w:rsidR="712ED2D6" w:rsidP="7031489D" w:rsidRDefault="712ED2D6" w14:paraId="74E19A34" w14:textId="67B2CA1E">
      <w:pPr>
        <w:pStyle w:val="Normal"/>
        <w:rPr>
          <w:b w:val="1"/>
          <w:bCs w:val="1"/>
        </w:rPr>
      </w:pPr>
      <w:r w:rsidRPr="0443AAE3" w:rsidR="712ED2D6">
        <w:rPr>
          <w:b w:val="1"/>
          <w:bCs w:val="1"/>
        </w:rPr>
        <w:t>15</w:t>
      </w:r>
      <w:r w:rsidRPr="0443AAE3" w:rsidR="2522EDE4">
        <w:rPr>
          <w:b w:val="1"/>
          <w:bCs w:val="1"/>
        </w:rPr>
        <w:t>.</w:t>
      </w:r>
      <w:r w:rsidRPr="0443AAE3" w:rsidR="712ED2D6">
        <w:rPr>
          <w:b w:val="1"/>
          <w:bCs w:val="1"/>
        </w:rPr>
        <w:t xml:space="preserve"> REF</w:t>
      </w:r>
      <w:r w:rsidRPr="0443AAE3" w:rsidR="46BF8981">
        <w:rPr>
          <w:b w:val="1"/>
          <w:bCs w:val="1"/>
        </w:rPr>
        <w:t>E</w:t>
      </w:r>
      <w:r w:rsidRPr="0443AAE3" w:rsidR="712ED2D6">
        <w:rPr>
          <w:b w:val="1"/>
          <w:bCs w:val="1"/>
        </w:rPr>
        <w:t>RENCES</w:t>
      </w:r>
    </w:p>
    <w:p w:rsidR="712ED2D6" w:rsidP="7031489D" w:rsidRDefault="712ED2D6" w14:paraId="0A007446" w14:textId="5C2B54C1">
      <w:pPr>
        <w:pStyle w:val="Normal"/>
        <w:spacing w:line="300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7031489D" w:rsidR="712ED2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Becker MA, Schumacher HR, Wortmann RL, et al. </w:t>
      </w:r>
      <w:r w:rsidRPr="7031489D" w:rsidR="712ED2D6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IN"/>
        </w:rPr>
        <w:t xml:space="preserve">Febuxostat compared with allopurinol in patients with hyperuricemia and gout. </w:t>
      </w:r>
      <w:r w:rsidRPr="7031489D" w:rsidR="712ED2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N Engl J Med. </w:t>
      </w:r>
      <w:r w:rsidRPr="7031489D" w:rsidR="712ED2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2005;353:2450</w:t>
      </w:r>
      <w:r w:rsidRPr="7031489D" w:rsidR="712ED2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–2461</w:t>
      </w:r>
    </w:p>
    <w:p w:rsidR="712ED2D6" w:rsidP="7031489D" w:rsidRDefault="712ED2D6" w14:paraId="6FA01D64" w14:textId="77E93809">
      <w:pPr>
        <w:pStyle w:val="Normal"/>
        <w:spacing w:line="300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7031489D" w:rsidR="712ED2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Schumacher HR et al. </w:t>
      </w:r>
      <w:r w:rsidRPr="7031489D" w:rsidR="712ED2D6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IN"/>
        </w:rPr>
        <w:t xml:space="preserve">Confirms trial: Febuxostat vs Allopurinol and placebo. </w:t>
      </w:r>
      <w:r w:rsidRPr="7031489D" w:rsidR="712ED2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Arthritis Research &amp; Therapy. 2010</w:t>
      </w:r>
    </w:p>
    <w:p w:rsidR="6E673CAA" w:rsidP="7031489D" w:rsidRDefault="6E673CAA" w14:paraId="0B61B0EE" w14:textId="5EC0BDCD">
      <w:pPr>
        <w:pStyle w:val="Normal"/>
        <w:spacing w:line="300" w:lineRule="auto"/>
        <w:ind w:left="0"/>
      </w:pPr>
      <w:r w:rsidRPr="7031489D" w:rsidR="6E673CA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Helget LN et al. </w:t>
      </w:r>
      <w:r w:rsidRPr="7031489D" w:rsidR="6E673CAA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IN"/>
        </w:rPr>
        <w:t xml:space="preserve">Efficacy and safety of allopurinol vs febuxostat in CKD patients with gout. </w:t>
      </w:r>
      <w:r w:rsidRPr="7031489D" w:rsidR="6E673CA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Am J Kidney Dis. 2024</w:t>
      </w:r>
    </w:p>
    <w:p w:rsidR="7031489D" w:rsidP="7031489D" w:rsidRDefault="7031489D" w14:paraId="6372D7F3" w14:textId="4BFD1B91">
      <w:pPr>
        <w:pStyle w:val="Normal"/>
        <w:spacing w:line="300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</w:p>
    <w:p w:rsidR="7031489D" w:rsidP="7031489D" w:rsidRDefault="7031489D" w14:paraId="63B72E48" w14:textId="6A7F1EEB">
      <w:pPr>
        <w:pStyle w:val="Normal"/>
        <w:spacing w:line="300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</w:p>
    <w:p w:rsidR="7031489D" w:rsidP="7031489D" w:rsidRDefault="7031489D" w14:paraId="710FF37C" w14:textId="08929851">
      <w:pPr>
        <w:pStyle w:val="Normal"/>
        <w:spacing w:line="300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</w:p>
    <w:p w:rsidR="7031489D" w:rsidP="7031489D" w:rsidRDefault="7031489D" w14:paraId="36996E16" w14:textId="16B3E460">
      <w:pPr>
        <w:pStyle w:val="Normal"/>
        <w:spacing w:line="300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</w:p>
    <w:p w:rsidR="7031489D" w:rsidP="7031489D" w:rsidRDefault="7031489D" w14:paraId="5B2C65E6" w14:textId="501B0433">
      <w:pPr>
        <w:pStyle w:val="Normal"/>
        <w:spacing w:line="300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</w:p>
    <w:p w:rsidR="7031489D" w:rsidP="7031489D" w:rsidRDefault="7031489D" w14:paraId="6F7D4820" w14:textId="1F7C80A1">
      <w:pPr>
        <w:pStyle w:val="Normal"/>
        <w:spacing w:line="300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</w:p>
    <w:p w:rsidR="7031489D" w:rsidP="7031489D" w:rsidRDefault="7031489D" w14:paraId="060FFEF5" w14:textId="70617D12">
      <w:pPr>
        <w:pStyle w:val="Normal"/>
        <w:spacing w:line="300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</w:p>
    <w:p w:rsidR="7031489D" w:rsidP="7031489D" w:rsidRDefault="7031489D" w14:paraId="484CDBE2" w14:textId="0F43CAA6">
      <w:pPr>
        <w:pStyle w:val="Normal"/>
        <w:spacing w:line="300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</w:p>
    <w:p w:rsidR="7031489D" w:rsidP="7031489D" w:rsidRDefault="7031489D" w14:paraId="6144EFCC" w14:textId="0D202F97">
      <w:pPr>
        <w:pStyle w:val="Normal"/>
        <w:spacing w:line="300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</w:p>
    <w:p w:rsidR="7031489D" w:rsidP="7031489D" w:rsidRDefault="7031489D" w14:paraId="54ED07F0" w14:textId="3AD49B53">
      <w:pPr>
        <w:pStyle w:val="Normal"/>
        <w:spacing w:line="300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</w:p>
    <w:p w:rsidR="7031489D" w:rsidP="7031489D" w:rsidRDefault="7031489D" w14:paraId="3364D9A4" w14:textId="1076A0D7">
      <w:pPr>
        <w:pStyle w:val="Normal"/>
        <w:spacing w:line="300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</w:p>
    <w:p w:rsidR="7031489D" w:rsidP="7031489D" w:rsidRDefault="7031489D" w14:paraId="13415A1D" w14:textId="14D62CEB">
      <w:pPr>
        <w:pStyle w:val="Normal"/>
        <w:spacing w:line="300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</w:p>
    <w:p w:rsidR="7031489D" w:rsidP="7031489D" w:rsidRDefault="7031489D" w14:paraId="67343A35" w14:textId="0FF0A451">
      <w:pPr>
        <w:pStyle w:val="Normal"/>
        <w:spacing w:line="300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</w:p>
    <w:p w:rsidR="7031489D" w:rsidP="7031489D" w:rsidRDefault="7031489D" w14:paraId="2380ED53" w14:textId="1C581F41">
      <w:pPr>
        <w:pStyle w:val="Normal"/>
        <w:spacing w:line="300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</w:p>
    <w:p w:rsidR="7031489D" w:rsidP="7031489D" w:rsidRDefault="7031489D" w14:paraId="591C31D8" w14:textId="11C8028E">
      <w:pPr>
        <w:pStyle w:val="Normal"/>
        <w:spacing w:line="300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</w:p>
    <w:p w:rsidR="7031489D" w:rsidP="7031489D" w:rsidRDefault="7031489D" w14:paraId="73CA05A1" w14:textId="3B8D9B33">
      <w:pPr>
        <w:pStyle w:val="Normal"/>
        <w:spacing w:line="300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</w:p>
    <w:p w:rsidR="7031489D" w:rsidP="7031489D" w:rsidRDefault="7031489D" w14:paraId="4F219620" w14:textId="3BC28D07">
      <w:pPr>
        <w:pStyle w:val="Normal"/>
        <w:spacing w:line="300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</w:p>
    <w:p w:rsidR="7031489D" w:rsidP="7031489D" w:rsidRDefault="7031489D" w14:paraId="33452923" w14:textId="755BB1D0">
      <w:pPr>
        <w:pStyle w:val="Normal"/>
        <w:spacing w:line="300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</w:p>
    <w:p w:rsidR="7031489D" w:rsidP="7031489D" w:rsidRDefault="7031489D" w14:paraId="69092F69" w14:textId="09A95EC8">
      <w:pPr>
        <w:pStyle w:val="Normal"/>
        <w:spacing w:line="300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</w:p>
    <w:p w:rsidR="7031489D" w:rsidP="49EFF549" w:rsidRDefault="7031489D" w14:paraId="4D3B9313" w14:textId="3F488BF6">
      <w:pPr>
        <w:pStyle w:val="Normal"/>
        <w:spacing w:line="300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</w:p>
    <w:p w:rsidR="03DD850A" w:rsidP="7031489D" w:rsidRDefault="03DD850A" w14:paraId="4D7A1193" w14:textId="4E67E37B">
      <w:pPr>
        <w:pStyle w:val="Heading1"/>
        <w:rPr>
          <w:b w:val="1"/>
          <w:bCs w:val="1"/>
          <w:noProof w:val="0"/>
          <w:color w:val="auto"/>
          <w:sz w:val="20"/>
          <w:szCs w:val="20"/>
          <w:lang w:val="en-IN"/>
        </w:rPr>
      </w:pPr>
      <w:r w:rsidRPr="7031489D" w:rsidR="03DD850A">
        <w:rPr>
          <w:b w:val="1"/>
          <w:bCs w:val="1"/>
          <w:noProof w:val="0"/>
          <w:color w:val="auto"/>
          <w:sz w:val="20"/>
          <w:szCs w:val="20"/>
          <w:lang w:val="en-IN"/>
        </w:rPr>
        <w:t>16. APPENDICES</w:t>
      </w:r>
    </w:p>
    <w:p w:rsidR="7DEC1F07" w:rsidP="7031489D" w:rsidRDefault="7DEC1F07" w14:paraId="00D0D3B7" w14:textId="279E3D37">
      <w:pPr>
        <w:pStyle w:val="Normal"/>
        <w:spacing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7031489D" w:rsidR="7DEC1F0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1"/>
          <w:szCs w:val="21"/>
          <w:lang w:val="en-IN"/>
        </w:rPr>
        <w:t xml:space="preserve">Appendix 1 </w:t>
      </w:r>
      <w:r w:rsidRPr="7031489D" w:rsidR="7DEC1F0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1"/>
          <w:szCs w:val="21"/>
          <w:lang w:val="en-IN"/>
        </w:rPr>
        <w:t>Febuxostat vs Allopurinol (Quick Comparison)</w:t>
      </w:r>
    </w:p>
    <w:p w:rsidR="5E133AB0" w:rsidP="7031489D" w:rsidRDefault="5E133AB0" w14:paraId="052DF86D" w14:textId="376F4886">
      <w:pPr>
        <w:pStyle w:val="Normal"/>
        <w:spacing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7031489D" w:rsidR="5E133AB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1"/>
          <w:szCs w:val="21"/>
          <w:lang w:val="en-IN"/>
        </w:rPr>
        <w:t xml:space="preserve"> </w:t>
      </w:r>
      <w:r w:rsidRPr="7031489D" w:rsidR="07ED8DE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1"/>
          <w:szCs w:val="21"/>
          <w:lang w:val="en-IN"/>
        </w:rPr>
        <w:t>1.</w:t>
      </w:r>
      <w:r w:rsidRPr="7031489D" w:rsidR="07ED8DE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1"/>
          <w:szCs w:val="21"/>
          <w:lang w:val="en-IN"/>
        </w:rPr>
        <w:t>1.</w:t>
      </w:r>
      <w:r w:rsidRPr="7031489D" w:rsidR="1D6C802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1"/>
          <w:szCs w:val="21"/>
          <w:lang w:val="en-IN"/>
        </w:rPr>
        <w:t xml:space="preserve"> </w:t>
      </w:r>
      <w:r w:rsidRPr="7031489D" w:rsidR="5E133AB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1"/>
          <w:szCs w:val="21"/>
          <w:lang w:val="en-IN"/>
        </w:rPr>
        <w:t>Overview</w:t>
      </w:r>
    </w:p>
    <w:p w:rsidR="5E133AB0" w:rsidP="7031489D" w:rsidRDefault="5E133AB0" w14:paraId="70051A34" w14:textId="106D4F28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7031489D" w:rsidR="5E133AB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Allopurinol and febuxostat are </w:t>
      </w:r>
      <w:r w:rsidRPr="7031489D" w:rsidR="5E133AB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IN"/>
        </w:rPr>
        <w:t>xanthine oxidase inhibitors (XOIs)</w:t>
      </w:r>
      <w:r w:rsidRPr="7031489D" w:rsidR="5E133AB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used for the management of </w:t>
      </w:r>
      <w:r w:rsidRPr="7031489D" w:rsidR="5E133AB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IN"/>
        </w:rPr>
        <w:t>hyperuricemia in gout patients</w:t>
      </w:r>
      <w:r w:rsidRPr="7031489D" w:rsidR="5E133AB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IN"/>
        </w:rPr>
        <w:t>. Both agents reduce serum uric acid (SUA) levels but differ in pharmacokinetics, efficacy, and safety profile.</w:t>
      </w:r>
    </w:p>
    <w:p w:rsidR="30A17AA5" w:rsidP="7031489D" w:rsidRDefault="30A17AA5" w14:paraId="581C58C1" w14:textId="298C1E42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7031489D" w:rsidR="30A17A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1"/>
          <w:szCs w:val="21"/>
          <w:lang w:val="en-IN"/>
        </w:rPr>
        <w:t xml:space="preserve">1.2 </w:t>
      </w:r>
      <w:r w:rsidRPr="7031489D" w:rsidR="5E133AB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1"/>
          <w:szCs w:val="21"/>
          <w:lang w:val="en-IN"/>
        </w:rPr>
        <w:t>Simple Summary</w:t>
      </w:r>
    </w:p>
    <w:p w:rsidR="5E133AB0" w:rsidP="7031489D" w:rsidRDefault="5E133AB0" w14:paraId="2C64390A" w14:textId="4EB4A35D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7031489D" w:rsidR="5E133AB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Febuxostat provides stronger and faster uric acid reduction compared to fixed-dose allopurinol, but both drugs achieve comparable efficacy when allopurinol is titrated properly. Allopurinol </w:t>
      </w:r>
      <w:r w:rsidRPr="7031489D" w:rsidR="5E133AB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IN"/>
        </w:rPr>
        <w:t>remains</w:t>
      </w:r>
      <w:r w:rsidRPr="7031489D" w:rsidR="5E133AB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first-line due to long-term safety, while febuxostat is preferred in renal impairment or intolerance.</w:t>
      </w:r>
      <w:r w:rsidRPr="7031489D" w:rsidR="2D3D56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</w:t>
      </w:r>
    </w:p>
    <w:p w:rsidR="696968F1" w:rsidP="7031489D" w:rsidRDefault="696968F1" w14:paraId="3A470119" w14:textId="5FBC670C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1"/>
          <w:szCs w:val="21"/>
          <w:lang w:val="en-IN"/>
        </w:rPr>
      </w:pPr>
      <w:r w:rsidRPr="7031489D" w:rsidR="696968F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1"/>
          <w:szCs w:val="21"/>
          <w:lang w:val="en-IN"/>
        </w:rPr>
        <w:t xml:space="preserve">1.3 </w:t>
      </w:r>
      <w:r w:rsidRPr="7031489D" w:rsidR="2D3D564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1"/>
          <w:szCs w:val="21"/>
          <w:lang w:val="en-IN"/>
        </w:rPr>
        <w:t>Mechanism of Action and Pharmacological Properties</w:t>
      </w:r>
    </w:p>
    <w:p w:rsidR="2D3D5644" w:rsidP="7031489D" w:rsidRDefault="2D3D5644" w14:paraId="60895874" w14:textId="64C04E91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</w:pPr>
      <w:r w:rsidRPr="7031489D" w:rsidR="2D3D56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  <w:t xml:space="preserve">Allopurinol is a </w:t>
      </w:r>
      <w:r w:rsidRPr="7031489D" w:rsidR="2D3D56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  <w:t>purine analogue</w:t>
      </w:r>
      <w:r w:rsidRPr="7031489D" w:rsidR="2D3D56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  <w:t xml:space="preserve"> that inhibits xanthine oxidase via its active metabolite (</w:t>
      </w:r>
      <w:r w:rsidRPr="7031489D" w:rsidR="2D3D56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  <w:t>oxypurinol</w:t>
      </w:r>
      <w:r w:rsidRPr="7031489D" w:rsidR="2D3D56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  <w:t>), primarily eliminated through renal excretion.</w:t>
      </w:r>
      <w:r>
        <w:br/>
      </w:r>
      <w:r w:rsidRPr="7031489D" w:rsidR="2D3D56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  <w:t xml:space="preserve"> Febuxostat is a </w:t>
      </w:r>
      <w:r w:rsidRPr="7031489D" w:rsidR="2D3D56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  <w:t>non</w:t>
      </w:r>
      <w:r>
        <w:noBreakHyphen/>
      </w:r>
      <w:r w:rsidRPr="7031489D" w:rsidR="2D3D56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  <w:t>purine selective xanthine oxidase inhibitor</w:t>
      </w:r>
      <w:r w:rsidRPr="7031489D" w:rsidR="2D3D56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  <w:t xml:space="preserve">, with hepatic metabolism and dual (renal and </w:t>
      </w:r>
      <w:r w:rsidRPr="7031489D" w:rsidR="2D3D56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  <w:t>fecal</w:t>
      </w:r>
      <w:r w:rsidRPr="7031489D" w:rsidR="2D3D56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  <w:t>) elimination.</w:t>
      </w:r>
    </w:p>
    <w:p w:rsidR="4748BDD4" w:rsidP="7031489D" w:rsidRDefault="4748BDD4" w14:paraId="699C4399" w14:textId="3408CCCE">
      <w:p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</w:pPr>
      <w:r w:rsidRPr="7031489D" w:rsidR="4748BDD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  <w:t>Achievement of Target Serum Uric Acid Levels</w:t>
      </w:r>
    </w:p>
    <w:p w:rsidR="4748BDD4" w:rsidP="7031489D" w:rsidRDefault="4748BDD4" w14:paraId="1561B84C" w14:textId="734C6A77">
      <w:p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</w:pPr>
      <w:r w:rsidRPr="7031489D" w:rsidR="4748BDD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  <w:t xml:space="preserve">Clinical studies demonstrate that febuxostat provides </w:t>
      </w:r>
      <w:r w:rsidRPr="7031489D" w:rsidR="4748BDD4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IN"/>
        </w:rPr>
        <w:t>greater urate-lowering efficacy</w:t>
      </w:r>
      <w:r w:rsidRPr="7031489D" w:rsidR="4748BDD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  <w:t xml:space="preserve"> compared to fixed-dose allopurinol:</w:t>
      </w:r>
    </w:p>
    <w:p w:rsidR="4748BDD4" w:rsidP="7031489D" w:rsidRDefault="4748BDD4" w14:paraId="1E368075" w14:textId="04616912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</w:pPr>
      <w:r w:rsidRPr="7031489D" w:rsidR="4748BDD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  <w:t>SUA &lt;6 mg/dL achieved in:</w:t>
      </w:r>
    </w:p>
    <w:p w:rsidR="4748BDD4" w:rsidP="7031489D" w:rsidRDefault="4748BDD4" w14:paraId="71AB605E" w14:textId="39E44DDC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IN"/>
        </w:rPr>
      </w:pPr>
      <w:r w:rsidRPr="7031489D" w:rsidR="4748BDD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  <w:t xml:space="preserve">Febuxostat: </w:t>
      </w:r>
      <w:r w:rsidRPr="7031489D" w:rsidR="4748BDD4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IN"/>
        </w:rPr>
        <w:t>~42–56.9%</w:t>
      </w:r>
    </w:p>
    <w:p w:rsidR="4748BDD4" w:rsidP="7031489D" w:rsidRDefault="4748BDD4" w14:paraId="2685767F" w14:textId="13732325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b w:val="0"/>
          <w:bCs w:val="0"/>
          <w:i w:val="0"/>
          <w:iCs w:val="0"/>
          <w:strike w:val="0"/>
          <w:dstrike w:val="0"/>
          <w:noProof w:val="0"/>
          <w:color w:val="auto"/>
          <w:u w:val="none"/>
          <w:lang w:val="en-IN"/>
        </w:rPr>
      </w:pPr>
      <w:r w:rsidRPr="7031489D" w:rsidR="4748BDD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  <w:t xml:space="preserve">Allopurinol: </w:t>
      </w:r>
      <w:r w:rsidRPr="7031489D" w:rsidR="4748BDD4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IN"/>
        </w:rPr>
        <w:t>~21–45%</w:t>
      </w:r>
    </w:p>
    <w:p w:rsidR="4748BDD4" w:rsidP="7031489D" w:rsidRDefault="4748BDD4" w14:paraId="0D1E9159" w14:textId="7F6BFEC1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</w:pPr>
      <w:r w:rsidRPr="7031489D" w:rsidR="4748BDD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  <w:t>SUA &lt;5 mg/dL achieved in:</w:t>
      </w:r>
    </w:p>
    <w:p w:rsidR="4748BDD4" w:rsidP="7031489D" w:rsidRDefault="4748BDD4" w14:paraId="5C933E08" w14:textId="4755FF7E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IN"/>
        </w:rPr>
      </w:pPr>
      <w:r w:rsidRPr="7031489D" w:rsidR="4748BDD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  <w:t xml:space="preserve">Febuxostat: </w:t>
      </w:r>
      <w:r w:rsidRPr="7031489D" w:rsidR="4748BDD4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IN"/>
        </w:rPr>
        <w:t>~35.5%</w:t>
      </w:r>
    </w:p>
    <w:p w:rsidR="4748BDD4" w:rsidP="7031489D" w:rsidRDefault="4748BDD4" w14:paraId="6A59F5A8" w14:textId="0D1F7421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b w:val="0"/>
          <w:bCs w:val="0"/>
          <w:i w:val="0"/>
          <w:iCs w:val="0"/>
          <w:strike w:val="0"/>
          <w:dstrike w:val="0"/>
          <w:noProof w:val="0"/>
          <w:color w:val="auto"/>
          <w:u w:val="none"/>
          <w:lang w:val="en-IN"/>
        </w:rPr>
      </w:pPr>
      <w:r w:rsidRPr="7031489D" w:rsidR="4748BDD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  <w:t xml:space="preserve">Allopurinol: </w:t>
      </w:r>
      <w:r w:rsidRPr="7031489D" w:rsidR="4748BDD4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IN"/>
        </w:rPr>
        <w:t>~19.2%</w:t>
      </w:r>
    </w:p>
    <w:p w:rsidR="7031489D" w:rsidP="7031489D" w:rsidRDefault="7031489D" w14:paraId="6CE13025" w14:textId="72DD21AE">
      <w:pPr>
        <w:spacing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</w:p>
    <w:p w:rsidR="7031489D" w:rsidP="7031489D" w:rsidRDefault="7031489D" w14:paraId="4E08BC2A" w14:textId="3641BCEA">
      <w:pPr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IN"/>
        </w:rPr>
      </w:pPr>
    </w:p>
    <w:p w:rsidR="7031489D" w:rsidP="7031489D" w:rsidRDefault="7031489D" w14:paraId="03788EB6" w14:textId="24E38606">
      <w:pPr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IN"/>
        </w:rPr>
      </w:pPr>
    </w:p>
    <w:p w:rsidR="7031489D" w:rsidP="7031489D" w:rsidRDefault="7031489D" w14:paraId="32489322" w14:textId="7EAF4F17">
      <w:pPr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IN"/>
        </w:rPr>
      </w:pPr>
    </w:p>
    <w:p w:rsidR="7031489D" w:rsidP="7031489D" w:rsidRDefault="7031489D" w14:paraId="04578D7C" w14:textId="05AC6634">
      <w:pPr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IN"/>
        </w:rPr>
      </w:pPr>
    </w:p>
    <w:p w:rsidR="7031489D" w:rsidP="49EFF549" w:rsidRDefault="7031489D" w14:paraId="6D492450" w14:textId="78AB6F91">
      <w:pPr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IN"/>
        </w:rPr>
      </w:pPr>
    </w:p>
    <w:p w:rsidR="49EFF549" w:rsidP="49EFF549" w:rsidRDefault="49EFF549" w14:paraId="1DDBDDBD" w14:textId="579F1DC5">
      <w:pPr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IN"/>
        </w:rPr>
      </w:pPr>
    </w:p>
    <w:p w:rsidR="49EFF549" w:rsidP="49EFF549" w:rsidRDefault="49EFF549" w14:paraId="2E250FFA" w14:textId="2B4A718F">
      <w:pPr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IN"/>
        </w:rPr>
      </w:pPr>
    </w:p>
    <w:p w:rsidR="7031489D" w:rsidP="49EFF549" w:rsidRDefault="7031489D" w14:paraId="79C159C1" w14:textId="679B74BD">
      <w:pPr>
        <w:pStyle w:val="Normal"/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IN"/>
        </w:rPr>
      </w:pPr>
    </w:p>
    <w:p w:rsidR="4748BDD4" w:rsidP="7031489D" w:rsidRDefault="4748BDD4" w14:paraId="767DDED0" w14:textId="54EF3787">
      <w:pPr>
        <w:spacing w:line="300" w:lineRule="auto"/>
      </w:pPr>
      <w:r w:rsidRPr="7031489D" w:rsidR="4748BDD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IN"/>
        </w:rPr>
        <w:t xml:space="preserve">Appendix </w:t>
      </w:r>
      <w:r w:rsidRPr="7031489D" w:rsidR="4748BDD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IN"/>
        </w:rPr>
        <w:t>2 Clinical</w:t>
      </w:r>
      <w:r w:rsidRPr="7031489D" w:rsidR="4748BDD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IN"/>
        </w:rPr>
        <w:t xml:space="preserve"> Safety</w:t>
      </w:r>
    </w:p>
    <w:p w:rsidR="7640CA89" w:rsidP="7031489D" w:rsidRDefault="7640CA89" w14:paraId="74E3E37A" w14:textId="2EDF7658">
      <w:pPr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IN"/>
        </w:rPr>
      </w:pPr>
      <w:r w:rsidRPr="7031489D" w:rsidR="7640CA8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IN"/>
        </w:rPr>
        <w:t xml:space="preserve">2.1 </w:t>
      </w:r>
      <w:r w:rsidRPr="7031489D" w:rsidR="7923CD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IN"/>
        </w:rPr>
        <w:t>B</w:t>
      </w:r>
      <w:r w:rsidRPr="7031489D" w:rsidR="7923CD75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IN"/>
        </w:rPr>
        <w:t xml:space="preserve">oth agents are </w:t>
      </w:r>
      <w:r w:rsidRPr="7031489D" w:rsidR="7923CD75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IN"/>
        </w:rPr>
        <w:t>generally well</w:t>
      </w:r>
      <w:r w:rsidRPr="7031489D" w:rsidR="7923CD75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IN"/>
        </w:rPr>
        <w:t xml:space="preserve"> tolerated, with distinct safety considerations:</w:t>
      </w:r>
    </w:p>
    <w:p w:rsidR="7923CD75" w:rsidP="7031489D" w:rsidRDefault="7923CD75" w14:paraId="7CE922E3" w14:textId="7B2F65CA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IN"/>
        </w:rPr>
      </w:pPr>
      <w:r w:rsidRPr="7031489D" w:rsidR="7923CD75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IN"/>
        </w:rPr>
        <w:t>Allopurinol:</w:t>
      </w:r>
    </w:p>
    <w:p w:rsidR="7923CD75" w:rsidP="7031489D" w:rsidRDefault="7923CD75" w14:paraId="0A5BD7ED" w14:textId="1D707CAC">
      <w:pPr>
        <w:pStyle w:val="ListParagraph"/>
        <w:numPr>
          <w:ilvl w:val="1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</w:pPr>
      <w:r w:rsidRPr="7031489D" w:rsidR="7923CD75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  <w:t>Risk of hypersensitivity reactions (rare but serious)</w:t>
      </w:r>
    </w:p>
    <w:p w:rsidR="7923CD75" w:rsidP="7031489D" w:rsidRDefault="7923CD75" w14:paraId="7C4C4E67" w14:textId="1CFDABE4">
      <w:pPr>
        <w:pStyle w:val="ListParagraph"/>
        <w:numPr>
          <w:ilvl w:val="1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</w:pPr>
      <w:r w:rsidRPr="7031489D" w:rsidR="7923CD75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  <w:t>Requires dose adjustment in renal impairment</w:t>
      </w:r>
    </w:p>
    <w:p w:rsidR="7923CD75" w:rsidP="7031489D" w:rsidRDefault="7923CD75" w14:paraId="61742A27" w14:textId="268F2DB7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IN"/>
        </w:rPr>
      </w:pPr>
      <w:r w:rsidRPr="7031489D" w:rsidR="7923CD75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IN"/>
        </w:rPr>
        <w:t>Febuxostat:</w:t>
      </w:r>
    </w:p>
    <w:p w:rsidR="7923CD75" w:rsidP="7031489D" w:rsidRDefault="7923CD75" w14:paraId="5301A0A1" w14:textId="1D2EC8A6">
      <w:pPr>
        <w:pStyle w:val="ListParagraph"/>
        <w:numPr>
          <w:ilvl w:val="1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</w:pPr>
      <w:r w:rsidRPr="7031489D" w:rsidR="7923CD75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  <w:t>Lower risk of hypersensitivity</w:t>
      </w:r>
    </w:p>
    <w:p w:rsidR="7923CD75" w:rsidP="7031489D" w:rsidRDefault="7923CD75" w14:paraId="71CD9E10" w14:textId="449B2A55">
      <w:pPr>
        <w:pStyle w:val="ListParagraph"/>
        <w:numPr>
          <w:ilvl w:val="1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</w:pPr>
      <w:r w:rsidRPr="7031489D" w:rsidR="7923CD75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  <w:t>No significant dose adjustment in mild–moderate renal impairment</w:t>
      </w:r>
    </w:p>
    <w:p w:rsidR="7031489D" w:rsidP="7031489D" w:rsidRDefault="7031489D" w14:paraId="3054A49D" w14:textId="76547A46">
      <w:pPr>
        <w:pStyle w:val="ListParagraph"/>
        <w:spacing w:before="0" w:beforeAutospacing="off" w:after="0" w:afterAutospacing="off" w:line="300" w:lineRule="auto"/>
        <w:ind w:left="1440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</w:pPr>
    </w:p>
    <w:p w:rsidR="1225FC4D" w:rsidP="7031489D" w:rsidRDefault="1225FC4D" w14:paraId="441BCE5F" w14:textId="424A0CE7">
      <w:pPr>
        <w:pStyle w:val="Normal"/>
        <w:spacing w:before="0" w:beforeAutospacing="off" w:after="0" w:afterAutospacing="off" w:line="300" w:lineRule="auto"/>
        <w:ind w:left="0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IN"/>
        </w:rPr>
      </w:pPr>
      <w:r w:rsidRPr="7031489D" w:rsidR="1225FC4D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IN"/>
        </w:rPr>
        <w:t>2.</w:t>
      </w:r>
      <w:r w:rsidRPr="7031489D" w:rsidR="1225FC4D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IN"/>
        </w:rPr>
        <w:t>2.</w:t>
      </w:r>
      <w:r w:rsidRPr="7031489D" w:rsidR="2DFB61F4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IN"/>
        </w:rPr>
        <w:t xml:space="preserve"> </w:t>
      </w:r>
      <w:r w:rsidRPr="7031489D" w:rsidR="7923CD75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IN"/>
        </w:rPr>
        <w:t>Cardiovascular</w:t>
      </w:r>
      <w:r w:rsidRPr="7031489D" w:rsidR="7923CD75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IN"/>
        </w:rPr>
        <w:t xml:space="preserve"> Safety</w:t>
      </w:r>
    </w:p>
    <w:p w:rsidR="7923CD75" w:rsidP="7031489D" w:rsidRDefault="7923CD75" w14:paraId="1BA43DD1" w14:textId="60CF8D83">
      <w:pPr>
        <w:spacing w:line="300" w:lineRule="auto"/>
      </w:pPr>
      <w:r w:rsidRPr="7031489D" w:rsidR="7923CD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The CARES trial reported:</w:t>
      </w:r>
    </w:p>
    <w:p w:rsidR="7923CD75" w:rsidP="7031489D" w:rsidRDefault="7923CD75" w14:paraId="6DDB8913" w14:textId="49C258A1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7031489D" w:rsidR="7923CD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Similar rates of major cardiovascular events:</w:t>
      </w:r>
    </w:p>
    <w:p w:rsidR="7923CD75" w:rsidP="7031489D" w:rsidRDefault="7923CD75" w14:paraId="5A62BC97" w14:textId="20079A11">
      <w:pPr>
        <w:pStyle w:val="ListParagraph"/>
        <w:numPr>
          <w:ilvl w:val="1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7031489D" w:rsidR="7923CD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Febuxostat: </w:t>
      </w:r>
      <w:r w:rsidRPr="7031489D" w:rsidR="7923CD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IN"/>
        </w:rPr>
        <w:t>10.8%</w:t>
      </w:r>
    </w:p>
    <w:p w:rsidR="7923CD75" w:rsidP="7031489D" w:rsidRDefault="7923CD75" w14:paraId="2B44FCE4" w14:textId="340FD307">
      <w:pPr>
        <w:pStyle w:val="ListParagraph"/>
        <w:numPr>
          <w:ilvl w:val="1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</w:pPr>
      <w:r w:rsidRPr="7031489D" w:rsidR="7923CD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Allopurinol: </w:t>
      </w:r>
      <w:r w:rsidRPr="7031489D" w:rsidR="7923CD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IN"/>
        </w:rPr>
        <w:t>10.4%</w:t>
      </w:r>
    </w:p>
    <w:p w:rsidR="7031489D" w:rsidP="7031489D" w:rsidRDefault="7031489D" w14:paraId="1D6B68B8" w14:textId="04F6FC26">
      <w:pPr>
        <w:pStyle w:val="ListParagraph"/>
        <w:spacing w:before="0" w:beforeAutospacing="off" w:after="0" w:afterAutospacing="off" w:line="300" w:lineRule="auto"/>
        <w:ind w:left="1440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</w:pPr>
    </w:p>
    <w:p w:rsidR="7031489D" w:rsidP="7031489D" w:rsidRDefault="7031489D" w14:paraId="786FC5F0" w14:textId="2D01C28A">
      <w:pPr>
        <w:pStyle w:val="ListParagraph"/>
        <w:spacing w:before="0" w:beforeAutospacing="off" w:after="0" w:afterAutospacing="off" w:line="300" w:lineRule="auto"/>
        <w:ind w:left="1440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</w:pPr>
    </w:p>
    <w:p w:rsidR="1EA361A4" w:rsidP="7031489D" w:rsidRDefault="1EA361A4" w14:paraId="3EBBADBC" w14:textId="54BE13CD">
      <w:pPr>
        <w:pStyle w:val="Normal"/>
        <w:spacing w:before="0" w:beforeAutospacing="off" w:after="0" w:afterAutospacing="off" w:line="300" w:lineRule="auto"/>
        <w:ind w:left="0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IN"/>
        </w:rPr>
      </w:pPr>
      <w:r w:rsidRPr="7031489D" w:rsidR="1EA361A4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IN"/>
        </w:rPr>
        <w:t xml:space="preserve">2.3 </w:t>
      </w:r>
      <w:r w:rsidRPr="7031489D" w:rsidR="233CE5CC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IN"/>
        </w:rPr>
        <w:t>Adverse Events (AEs)</w:t>
      </w:r>
    </w:p>
    <w:p w:rsidR="7031489D" w:rsidP="7031489D" w:rsidRDefault="7031489D" w14:paraId="2EFBD4A6" w14:textId="4225EFE6">
      <w:pPr>
        <w:pStyle w:val="Normal"/>
        <w:spacing w:before="0" w:beforeAutospacing="off" w:after="0" w:afterAutospacing="off" w:line="300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</w:pPr>
    </w:p>
    <w:p w:rsidR="233CE5CC" w:rsidP="7031489D" w:rsidRDefault="233CE5CC" w14:paraId="272932B8" w14:textId="2D69D1EA">
      <w:p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</w:pPr>
      <w:r w:rsidRPr="7031489D" w:rsidR="233CE5C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  <w:t xml:space="preserve">Both febuxostat and allopurinol are generally well tolerated, with </w:t>
      </w:r>
      <w:r w:rsidRPr="7031489D" w:rsidR="233CE5C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  <w:t>comparable overall adverse event rates</w:t>
      </w:r>
      <w:r w:rsidRPr="7031489D" w:rsidR="233CE5C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  <w:t xml:space="preserve"> reported across clinical studies.</w:t>
      </w:r>
    </w:p>
    <w:p w:rsidR="233CE5CC" w:rsidP="7031489D" w:rsidRDefault="233CE5CC" w14:paraId="365A1576" w14:textId="56BB884A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</w:pPr>
      <w:r w:rsidRPr="7031489D" w:rsidR="233CE5C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  <w:t xml:space="preserve">Febuxostat: </w:t>
      </w:r>
    </w:p>
    <w:p w:rsidR="233CE5CC" w:rsidP="7031489D" w:rsidRDefault="233CE5CC" w14:paraId="02AAE2F6" w14:textId="72DED5A9">
      <w:pPr>
        <w:pStyle w:val="ListParagraph"/>
        <w:numPr>
          <w:ilvl w:val="1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</w:pPr>
      <w:r w:rsidRPr="7031489D" w:rsidR="233CE5C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  <w:t>Common AEs: liver enzyme elevation, nausea, rash</w:t>
      </w:r>
    </w:p>
    <w:p w:rsidR="233CE5CC" w:rsidP="7031489D" w:rsidRDefault="233CE5CC" w14:paraId="5622B41D" w14:textId="00CADB95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</w:pPr>
      <w:r w:rsidRPr="7031489D" w:rsidR="233CE5C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  <w:t xml:space="preserve">Allopurinol: </w:t>
      </w:r>
    </w:p>
    <w:p w:rsidR="233CE5CC" w:rsidP="7031489D" w:rsidRDefault="233CE5CC" w14:paraId="7A30EF95" w14:textId="372EB1DA">
      <w:pPr>
        <w:pStyle w:val="ListParagraph"/>
        <w:numPr>
          <w:ilvl w:val="1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</w:pPr>
      <w:r w:rsidRPr="7031489D" w:rsidR="233CE5C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  <w:t>Common AEs: rash, gastrointestinal disturbances</w:t>
      </w:r>
    </w:p>
    <w:p w:rsidR="233CE5CC" w:rsidP="7031489D" w:rsidRDefault="233CE5CC" w14:paraId="3093E1EB" w14:textId="7378F87A">
      <w:p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</w:pPr>
      <w:r w:rsidRPr="7031489D" w:rsidR="233CE5C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  <w:t>Meta</w:t>
      </w:r>
      <w:r>
        <w:noBreakHyphen/>
      </w:r>
      <w:r w:rsidRPr="7031489D" w:rsidR="233CE5C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  <w:t xml:space="preserve">analysis data </w:t>
      </w:r>
      <w:r w:rsidRPr="7031489D" w:rsidR="233CE5C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  <w:t>indicate</w:t>
      </w:r>
      <w:r w:rsidRPr="7031489D" w:rsidR="233CE5C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  <w:t xml:space="preserve"> </w:t>
      </w:r>
      <w:r w:rsidRPr="7031489D" w:rsidR="233CE5C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  <w:t>no significant difference in overall treatment-related adverse events between the two drugs</w:t>
      </w:r>
      <w:r w:rsidRPr="7031489D" w:rsidR="156880B0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IN"/>
        </w:rPr>
        <w:t>.</w:t>
      </w:r>
    </w:p>
    <w:p w:rsidR="7031489D" w:rsidP="7031489D" w:rsidRDefault="7031489D" w14:paraId="3C97DD29" w14:textId="7EB077E4">
      <w:pPr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IN"/>
        </w:rPr>
      </w:pPr>
    </w:p>
    <w:p w:rsidR="7031489D" w:rsidP="7031489D" w:rsidRDefault="7031489D" w14:paraId="2FEE6A8B" w14:textId="5410920B">
      <w:p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</w:p>
    <w:p w:rsidR="7031489D" w:rsidP="7031489D" w:rsidRDefault="7031489D" w14:paraId="63319F65" w14:textId="02B37D75">
      <w:pPr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</w:p>
    <w:p w:rsidR="7031489D" w:rsidP="7031489D" w:rsidRDefault="7031489D" w14:paraId="0A7A0AC1" w14:textId="6D76A71A">
      <w:pPr>
        <w:pStyle w:val="Normal"/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</w:p>
    <w:sectPr w:rsidR="009A6CC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2">
    <w:nsid w:val="5672f8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3d742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a007a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2fca8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2b893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36dde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25e03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B7837EE"/>
    <w:multiLevelType w:val="multilevel"/>
    <w:tmpl w:val="CFFC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D2C3B24"/>
    <w:multiLevelType w:val="multilevel"/>
    <w:tmpl w:val="352A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8E72A0F"/>
    <w:multiLevelType w:val="multilevel"/>
    <w:tmpl w:val="9930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5E57E50"/>
    <w:multiLevelType w:val="multilevel"/>
    <w:tmpl w:val="4BAE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A0F3D9A"/>
    <w:multiLevelType w:val="multilevel"/>
    <w:tmpl w:val="1C92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D0E23CC"/>
    <w:multiLevelType w:val="multilevel"/>
    <w:tmpl w:val="151E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 w16cid:durableId="1732465086">
    <w:abstractNumId w:val="1"/>
  </w:num>
  <w:num w:numId="2" w16cid:durableId="1906066094">
    <w:abstractNumId w:val="3"/>
  </w:num>
  <w:num w:numId="3" w16cid:durableId="1591739523">
    <w:abstractNumId w:val="4"/>
  </w:num>
  <w:num w:numId="4" w16cid:durableId="852843184">
    <w:abstractNumId w:val="2"/>
  </w:num>
  <w:num w:numId="5" w16cid:durableId="1866018645">
    <w:abstractNumId w:val="5"/>
  </w:num>
  <w:num w:numId="6" w16cid:durableId="201171572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7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6E2"/>
    <w:rsid w:val="00137821"/>
    <w:rsid w:val="002D4759"/>
    <w:rsid w:val="009A6CC7"/>
    <w:rsid w:val="00BC2E7F"/>
    <w:rsid w:val="00DBB175"/>
    <w:rsid w:val="00DD2852"/>
    <w:rsid w:val="00E4BF2B"/>
    <w:rsid w:val="00FE46E2"/>
    <w:rsid w:val="03DD850A"/>
    <w:rsid w:val="0443AAE3"/>
    <w:rsid w:val="04535D52"/>
    <w:rsid w:val="0778F09F"/>
    <w:rsid w:val="07ED8DE3"/>
    <w:rsid w:val="0822D28A"/>
    <w:rsid w:val="09C76031"/>
    <w:rsid w:val="09DD3DDB"/>
    <w:rsid w:val="0BC97652"/>
    <w:rsid w:val="0C41141B"/>
    <w:rsid w:val="0E96AA21"/>
    <w:rsid w:val="10970A79"/>
    <w:rsid w:val="11E2D9AB"/>
    <w:rsid w:val="1225FC4D"/>
    <w:rsid w:val="1298D30F"/>
    <w:rsid w:val="137CB2A0"/>
    <w:rsid w:val="141B0D2F"/>
    <w:rsid w:val="156880B0"/>
    <w:rsid w:val="1580E3B2"/>
    <w:rsid w:val="15AEB2A9"/>
    <w:rsid w:val="1AD4A75B"/>
    <w:rsid w:val="1B2E0BD2"/>
    <w:rsid w:val="1C07AB5D"/>
    <w:rsid w:val="1C098DC4"/>
    <w:rsid w:val="1CFD4AC0"/>
    <w:rsid w:val="1D6C802A"/>
    <w:rsid w:val="1DB27FCF"/>
    <w:rsid w:val="1EA361A4"/>
    <w:rsid w:val="1EAFDC21"/>
    <w:rsid w:val="1EFF8621"/>
    <w:rsid w:val="1F4A9592"/>
    <w:rsid w:val="1FEE44A7"/>
    <w:rsid w:val="20BF7829"/>
    <w:rsid w:val="233CE5CC"/>
    <w:rsid w:val="234F9965"/>
    <w:rsid w:val="23E2FD34"/>
    <w:rsid w:val="23F2016B"/>
    <w:rsid w:val="24D0E75F"/>
    <w:rsid w:val="2522EDE4"/>
    <w:rsid w:val="269ED84E"/>
    <w:rsid w:val="26ADB8A9"/>
    <w:rsid w:val="2A4DED7A"/>
    <w:rsid w:val="2B213E34"/>
    <w:rsid w:val="2CE27172"/>
    <w:rsid w:val="2CF3E8F0"/>
    <w:rsid w:val="2D3D5644"/>
    <w:rsid w:val="2DFB61F4"/>
    <w:rsid w:val="2E05314C"/>
    <w:rsid w:val="2EA4C0CD"/>
    <w:rsid w:val="30A17AA5"/>
    <w:rsid w:val="34C3723E"/>
    <w:rsid w:val="34DC3182"/>
    <w:rsid w:val="360B8F91"/>
    <w:rsid w:val="36731FA9"/>
    <w:rsid w:val="37B0318A"/>
    <w:rsid w:val="383F1127"/>
    <w:rsid w:val="3922B6ED"/>
    <w:rsid w:val="3959DD7B"/>
    <w:rsid w:val="3AC9179C"/>
    <w:rsid w:val="3ACE948D"/>
    <w:rsid w:val="3B057889"/>
    <w:rsid w:val="3C7E15EA"/>
    <w:rsid w:val="3E530974"/>
    <w:rsid w:val="4143D9C8"/>
    <w:rsid w:val="42490D31"/>
    <w:rsid w:val="42F82DAE"/>
    <w:rsid w:val="4384CEB7"/>
    <w:rsid w:val="43EC2AC4"/>
    <w:rsid w:val="45A05C56"/>
    <w:rsid w:val="461F551E"/>
    <w:rsid w:val="46216B1F"/>
    <w:rsid w:val="4684ED14"/>
    <w:rsid w:val="46BF8981"/>
    <w:rsid w:val="4748BDD4"/>
    <w:rsid w:val="478A9F7E"/>
    <w:rsid w:val="48502A63"/>
    <w:rsid w:val="487789C3"/>
    <w:rsid w:val="48C50F1E"/>
    <w:rsid w:val="49ACA6EE"/>
    <w:rsid w:val="49EFF549"/>
    <w:rsid w:val="4A03ECBB"/>
    <w:rsid w:val="4A56394B"/>
    <w:rsid w:val="4A9AF32A"/>
    <w:rsid w:val="4A9CDF0B"/>
    <w:rsid w:val="4AA4A67D"/>
    <w:rsid w:val="4BCCF822"/>
    <w:rsid w:val="4C477BF7"/>
    <w:rsid w:val="4D63C6F3"/>
    <w:rsid w:val="4E465452"/>
    <w:rsid w:val="4EF38D12"/>
    <w:rsid w:val="4FB5CC71"/>
    <w:rsid w:val="5060D1C2"/>
    <w:rsid w:val="51B2629D"/>
    <w:rsid w:val="521E74DF"/>
    <w:rsid w:val="52349239"/>
    <w:rsid w:val="528E630F"/>
    <w:rsid w:val="57668A55"/>
    <w:rsid w:val="57D83FAA"/>
    <w:rsid w:val="59F6156C"/>
    <w:rsid w:val="5A532F3C"/>
    <w:rsid w:val="5A881187"/>
    <w:rsid w:val="5BB846F2"/>
    <w:rsid w:val="5CB245D2"/>
    <w:rsid w:val="5D18404E"/>
    <w:rsid w:val="5D835EBA"/>
    <w:rsid w:val="5DECBE4E"/>
    <w:rsid w:val="5E133AB0"/>
    <w:rsid w:val="5E4FAFBF"/>
    <w:rsid w:val="5E924E8D"/>
    <w:rsid w:val="604ABE69"/>
    <w:rsid w:val="6082913D"/>
    <w:rsid w:val="62E82863"/>
    <w:rsid w:val="6317C2D9"/>
    <w:rsid w:val="6330853E"/>
    <w:rsid w:val="637FDC74"/>
    <w:rsid w:val="6444F364"/>
    <w:rsid w:val="6582F185"/>
    <w:rsid w:val="66725135"/>
    <w:rsid w:val="66B78C81"/>
    <w:rsid w:val="6744C298"/>
    <w:rsid w:val="677E4173"/>
    <w:rsid w:val="6845F6F3"/>
    <w:rsid w:val="68D8C7D6"/>
    <w:rsid w:val="696968F1"/>
    <w:rsid w:val="6A71FECF"/>
    <w:rsid w:val="6A766C69"/>
    <w:rsid w:val="6B42FA54"/>
    <w:rsid w:val="6C67D62B"/>
    <w:rsid w:val="6C891AD2"/>
    <w:rsid w:val="6E673CAA"/>
    <w:rsid w:val="6EC51CB4"/>
    <w:rsid w:val="7031489D"/>
    <w:rsid w:val="70811CA1"/>
    <w:rsid w:val="712ED2D6"/>
    <w:rsid w:val="734ACE41"/>
    <w:rsid w:val="7421608F"/>
    <w:rsid w:val="756B682F"/>
    <w:rsid w:val="75742070"/>
    <w:rsid w:val="75E007FD"/>
    <w:rsid w:val="7640CA89"/>
    <w:rsid w:val="775053FB"/>
    <w:rsid w:val="77CFE1B9"/>
    <w:rsid w:val="7923CD75"/>
    <w:rsid w:val="7B2CE696"/>
    <w:rsid w:val="7B35EFEA"/>
    <w:rsid w:val="7BA86260"/>
    <w:rsid w:val="7D059A72"/>
    <w:rsid w:val="7D8B0F64"/>
    <w:rsid w:val="7DE3F533"/>
    <w:rsid w:val="7DEC1F07"/>
    <w:rsid w:val="7E14794A"/>
    <w:rsid w:val="7F8DF465"/>
    <w:rsid w:val="7F98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A7EDC"/>
  <w15:chartTrackingRefBased/>
  <w15:docId w15:val="{10F9488D-B0E6-4836-A6CD-947145747B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6E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6E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E46E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E46E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E46E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E46E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E46E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E46E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E46E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E46E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E4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6E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E46E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E4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6E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E4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6E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E4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6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2E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2E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yperlink" Target="_NCT01101035-ISS.docx" TargetMode="Externa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_NCT01101035-ISE.docx" TargetMode="External" Id="rId11" /><Relationship Type="http://schemas.openxmlformats.org/officeDocument/2006/relationships/hyperlink" Target="https://zensar-my.sharepoint.com/personal/gollapally_vihari_zensar_com/Documents/_NCT01101035%20-%20SAP.docx?web=1" TargetMode="Externa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14" /><Relationship Type="http://schemas.openxmlformats.org/officeDocument/2006/relationships/image" Target="/media/image.png" Id="rId1114661349" /><Relationship Type="http://schemas.openxmlformats.org/officeDocument/2006/relationships/image" Target="/media/image2.png" Id="rId115527130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Gollapally Vihari</dc:creator>
  <keywords/>
  <dc:description/>
  <lastModifiedBy>Gollapally Vihari</lastModifiedBy>
  <revision>13</revision>
  <dcterms:created xsi:type="dcterms:W3CDTF">2026-06-11T10:29:00.0000000Z</dcterms:created>
  <dcterms:modified xsi:type="dcterms:W3CDTF">2026-06-19T06:20:00.4146682Z</dcterms:modified>
</coreProperties>
</file>