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4A49" w:rsidR="00874A49" w:rsidP="00874A49" w:rsidRDefault="00874A49" w14:paraId="46F45B31" w14:textId="7F583A94">
      <w:pPr>
        <w:rPr>
          <w:b/>
          <w:bCs/>
        </w:rPr>
      </w:pPr>
      <w:r w:rsidRPr="00874A49">
        <w:rPr>
          <w:b/>
          <w:bCs/>
        </w:rPr>
        <w:t>MODULE 2.7 – CLINICAL SUMMARY</w:t>
      </w:r>
    </w:p>
    <w:p w:rsidRPr="00874A49" w:rsidR="00874A49" w:rsidP="00874A49" w:rsidRDefault="00874A49" w14:paraId="275B503A" w14:textId="77777777">
      <w:pPr>
        <w:rPr>
          <w:b/>
          <w:bCs/>
        </w:rPr>
      </w:pPr>
      <w:r w:rsidRPr="00874A49">
        <w:rPr>
          <w:b/>
          <w:bCs/>
        </w:rPr>
        <w:t>Study NCT01101035</w:t>
      </w:r>
    </w:p>
    <w:p w:rsidRPr="00874A49" w:rsidR="00874A49" w:rsidP="00874A49" w:rsidRDefault="00874A49" w14:paraId="75218A59" w14:textId="77777777">
      <w:r w:rsidRPr="00874A49">
        <w:pict w14:anchorId="40443F92">
          <v:rect id="_x0000_i1224" style="width:0;height:1.5pt" o:hr="t" o:hrstd="t" o:hralign="center" fillcolor="#a0a0a0" stroked="f"/>
        </w:pict>
      </w:r>
    </w:p>
    <w:p w:rsidRPr="00874A49" w:rsidR="00874A49" w:rsidP="00874A49" w:rsidRDefault="00874A49" w14:paraId="22C56AE6" w14:textId="77777777">
      <w:pPr>
        <w:rPr>
          <w:b/>
          <w:bCs/>
        </w:rPr>
      </w:pPr>
      <w:r w:rsidRPr="00874A49">
        <w:rPr>
          <w:b/>
          <w:bCs/>
        </w:rPr>
        <w:t>2.7.1 SUMMARY OF BIOPHARMACEUTIC STUDIES</w:t>
      </w:r>
    </w:p>
    <w:p w:rsidRPr="00874A49" w:rsidR="00874A49" w:rsidP="00874A49" w:rsidRDefault="00874A49" w14:paraId="0AA2C90F" w14:textId="77777777">
      <w:r w:rsidRPr="00874A49">
        <w:t>Biopharmaceutic evaluations for the investigational product were conducted to support dosing consistency and systemic exposure.</w:t>
      </w:r>
    </w:p>
    <w:p w:rsidRPr="00874A49" w:rsidR="00874A49" w:rsidP="6CF964FD" w:rsidRDefault="00874A49" w14:paraId="2207ED36" w14:textId="263C09DB">
      <w:pPr>
        <w:pStyle w:val="Normal"/>
      </w:pPr>
      <w:r w:rsidR="00874A49">
        <w:rPr/>
        <w:t xml:space="preserve">The formulation used in Study </w:t>
      </w:r>
      <w:r w:rsidRPr="0D7907C7" w:rsidR="009679FC">
        <w:rPr>
          <w:highlight w:val="yellow"/>
        </w:rPr>
        <w:t>NCT01101035</w:t>
      </w:r>
      <w:r w:rsidR="690A443E">
        <w:rPr/>
        <w:t xml:space="preserve"> </w:t>
      </w:r>
      <w:r w:rsidR="00874A49">
        <w:rPr/>
        <w:t xml:space="preserve">demonstrated suitable pharmacokinetic properties, allowing once-daily administration. Exposure levels were consistent across the study population, supporting the dosing regimen applied in </w:t>
      </w:r>
      <w:r w:rsidRPr="0D7907C7" w:rsidR="7ABDDF47">
        <w:rPr>
          <w:b w:val="1"/>
          <w:bCs w:val="1"/>
          <w:highlight w:val="yellow"/>
        </w:rPr>
        <w:t>Study ID</w:t>
      </w:r>
      <w:r w:rsidRPr="0D7907C7" w:rsidR="00874A49">
        <w:rPr>
          <w:b w:val="1"/>
          <w:bCs w:val="1"/>
          <w:highlight w:val="yellow"/>
        </w:rPr>
        <w:t xml:space="preserve"> </w:t>
      </w:r>
      <w:r w:rsidRPr="0D7907C7" w:rsidR="792A8308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 xml:space="preserve">TMX-67_301 </w:t>
      </w:r>
      <w:r w:rsidRPr="0D7907C7" w:rsidR="00874A49">
        <w:rPr>
          <w:b w:val="1"/>
          <w:bCs w:val="1"/>
          <w:highlight w:val="yellow"/>
        </w:rPr>
        <w:t>Section 6.1</w:t>
      </w:r>
      <w:r w:rsidR="00874A49">
        <w:rPr/>
        <w:t>.</w:t>
      </w:r>
    </w:p>
    <w:p w:rsidRPr="00874A49" w:rsidR="00874A49" w:rsidP="6CF964FD" w:rsidRDefault="00874A49" w14:paraId="25240344" w14:textId="425735AE">
      <w:pPr>
        <w:pStyle w:val="Normal"/>
        <w:rPr>
          <w:b w:val="1"/>
          <w:bCs w:val="1"/>
        </w:rPr>
      </w:pPr>
      <w:r w:rsidR="00874A49">
        <w:rPr/>
        <w:t xml:space="preserve">Pharmacokinetic variability did not significantly </w:t>
      </w:r>
      <w:r w:rsidR="00874A49">
        <w:rPr/>
        <w:t>impact</w:t>
      </w:r>
      <w:r w:rsidR="00874A49">
        <w:rPr/>
        <w:t xml:space="preserve"> efficacy outcomes, and no dose adjustments were </w:t>
      </w:r>
      <w:r w:rsidR="00874A49">
        <w:rPr/>
        <w:t>required</w:t>
      </w:r>
      <w:r w:rsidR="00874A49">
        <w:rPr/>
        <w:t xml:space="preserve"> based on exposure</w:t>
      </w:r>
      <w:r w:rsidR="728317A5">
        <w:rPr/>
        <w:t xml:space="preserve"> see </w:t>
      </w:r>
      <w:r w:rsidRPr="6CF964FD" w:rsidR="728317A5">
        <w:rPr>
          <w:b w:val="1"/>
          <w:bCs w:val="1"/>
          <w:highlight w:val="yellow"/>
        </w:rPr>
        <w:t>Table 2.7.3.3</w:t>
      </w:r>
      <w:r w:rsidRPr="6CF964FD" w:rsidR="728317A5">
        <w:rPr>
          <w:b w:val="1"/>
          <w:bCs w:val="1"/>
        </w:rPr>
        <w:t>.</w:t>
      </w:r>
    </w:p>
    <w:p w:rsidRPr="00874A49" w:rsidR="00874A49" w:rsidP="00874A49" w:rsidRDefault="00874A49" w14:paraId="719E0897" w14:textId="77777777">
      <w:r w:rsidRPr="00874A49">
        <w:pict w14:anchorId="1547A453">
          <v:rect id="_x0000_i1225" style="width:0;height:1.5pt" o:hr="t" o:hrstd="t" o:hralign="center" fillcolor="#a0a0a0" stroked="f"/>
        </w:pict>
      </w:r>
    </w:p>
    <w:p w:rsidRPr="00874A49" w:rsidR="00874A49" w:rsidP="00874A49" w:rsidRDefault="00874A49" w14:paraId="56BC6E3B" w14:textId="77777777">
      <w:pPr>
        <w:rPr>
          <w:b/>
          <w:bCs/>
        </w:rPr>
      </w:pPr>
      <w:r w:rsidRPr="00874A49">
        <w:rPr>
          <w:b/>
          <w:bCs/>
        </w:rPr>
        <w:t>2.7.2 SUMMARY OF CLINICAL PHARMACOLOGY</w:t>
      </w:r>
    </w:p>
    <w:p w:rsidRPr="00874A49" w:rsidR="00874A49" w:rsidP="00874A49" w:rsidRDefault="00874A49" w14:paraId="15DDC47F" w14:textId="3930F07D">
      <w:r w:rsidR="00874A49">
        <w:rPr/>
        <w:t xml:space="preserve">Clinical pharmacology findings </w:t>
      </w:r>
      <w:r w:rsidR="00874A49">
        <w:rPr/>
        <w:t>indicate</w:t>
      </w:r>
      <w:r w:rsidR="00874A49">
        <w:rPr/>
        <w:t xml:space="preserve"> that the investigational product achieves steady-state concentrations within the expected </w:t>
      </w:r>
      <w:r w:rsidR="00874A49">
        <w:rPr/>
        <w:t>timeframe</w:t>
      </w:r>
      <w:r w:rsidR="00874A49">
        <w:rPr/>
        <w:t xml:space="preserve"> and </w:t>
      </w:r>
      <w:r w:rsidR="00874A49">
        <w:rPr/>
        <w:t>maintains</w:t>
      </w:r>
      <w:r w:rsidR="00874A49">
        <w:rPr/>
        <w:t xml:space="preserve"> exposure levels adequate for therapeutic activity</w:t>
      </w:r>
      <w:r w:rsidR="598BA9A7">
        <w:rPr/>
        <w:t xml:space="preserve"> see </w:t>
      </w:r>
      <w:r w:rsidRPr="6CF964FD" w:rsidR="598BA9A7">
        <w:rPr>
          <w:b w:val="1"/>
          <w:bCs w:val="1"/>
          <w:highlight w:val="yellow"/>
        </w:rPr>
        <w:t>Section 2.7.3.3</w:t>
      </w:r>
      <w:r w:rsidRPr="6CF964FD" w:rsidR="598BA9A7">
        <w:rPr>
          <w:b w:val="1"/>
          <w:bCs w:val="1"/>
        </w:rPr>
        <w:t>.</w:t>
      </w:r>
    </w:p>
    <w:p w:rsidRPr="00874A49" w:rsidR="00874A49" w:rsidP="00874A49" w:rsidRDefault="00874A49" w14:paraId="77C807A9" w14:textId="77777777">
      <w:r w:rsidRPr="00874A49">
        <w:t>No clinically meaningful effects of demographic variables (e.g., age, gender) on pharmacokinetics were observed.</w:t>
      </w:r>
    </w:p>
    <w:p w:rsidRPr="00874A49" w:rsidR="00874A49" w:rsidP="6CF964FD" w:rsidRDefault="00874A49" w14:paraId="4FDAE231" w14:textId="00BDFF5A">
      <w:pPr>
        <w:pStyle w:val="Normal"/>
      </w:pPr>
      <w:r w:rsidR="00874A49">
        <w:rPr/>
        <w:t xml:space="preserve">These findings support the dosing regimen and are consistent with treatment administration defined in the </w:t>
      </w:r>
      <w:r w:rsidRPr="0D7907C7" w:rsidR="569F9F2C">
        <w:rPr>
          <w:b w:val="1"/>
          <w:bCs w:val="1"/>
          <w:highlight w:val="yellow"/>
        </w:rPr>
        <w:t>Study ID</w:t>
      </w:r>
      <w:r w:rsidR="1F980D50">
        <w:rPr/>
        <w:t xml:space="preserve"> </w:t>
      </w:r>
      <w:r w:rsidRPr="0D7907C7" w:rsidR="1F980D50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="00874A49">
        <w:rPr/>
        <w:t xml:space="preserve">, with safety outcomes aligned with results presented in the </w:t>
      </w:r>
      <w:r w:rsidRPr="0D7907C7" w:rsidR="00874A49">
        <w:rPr>
          <w:highlight w:val="yellow"/>
        </w:rPr>
        <w:t>CSR</w:t>
      </w:r>
      <w:r w:rsidR="00874A49">
        <w:rPr/>
        <w:t>.</w:t>
      </w:r>
    </w:p>
    <w:p w:rsidRPr="00874A49" w:rsidR="00874A49" w:rsidP="00874A49" w:rsidRDefault="00874A49" w14:paraId="1B245F20" w14:textId="77777777">
      <w:r w:rsidRPr="00874A49">
        <w:pict w14:anchorId="7877C749">
          <v:rect id="_x0000_i1226" style="width:0;height:1.5pt" o:hr="t" o:hrstd="t" o:hralign="center" fillcolor="#a0a0a0" stroked="f"/>
        </w:pict>
      </w:r>
    </w:p>
    <w:p w:rsidRPr="00874A49" w:rsidR="00874A49" w:rsidP="00874A49" w:rsidRDefault="00874A49" w14:paraId="5D6202A0" w14:textId="77777777">
      <w:pPr>
        <w:rPr>
          <w:b/>
          <w:bCs/>
        </w:rPr>
      </w:pPr>
      <w:r w:rsidRPr="00874A49">
        <w:rPr>
          <w:b/>
          <w:bCs/>
        </w:rPr>
        <w:t>2.7.3 SUMMARY OF CLINICAL EFFICACY</w:t>
      </w:r>
    </w:p>
    <w:p w:rsidRPr="00874A49" w:rsidR="00874A49" w:rsidP="00874A49" w:rsidRDefault="00874A49" w14:paraId="140B9037" w14:textId="77777777">
      <w:pPr>
        <w:rPr>
          <w:b/>
          <w:bCs/>
        </w:rPr>
      </w:pPr>
      <w:r w:rsidRPr="00874A49">
        <w:rPr>
          <w:b/>
          <w:bCs/>
        </w:rPr>
        <w:t>2.7.3.1 Overview of Efficacy</w:t>
      </w:r>
    </w:p>
    <w:p w:rsidRPr="00874A49" w:rsidR="00874A49" w:rsidP="00874A49" w:rsidRDefault="00874A49" w14:paraId="1AA84A86" w14:textId="77777777">
      <w:r w:rsidRPr="00874A49">
        <w:t>The efficacy of the investigational product was evaluated in Study NCT01101035, a randomized, double-blind, placebo-controlled trial.</w:t>
      </w:r>
    </w:p>
    <w:p w:rsidRPr="00874A49" w:rsidR="00874A49" w:rsidP="6CF964FD" w:rsidRDefault="00874A49" w14:paraId="453FC787" w14:textId="7389DFFF">
      <w:pPr>
        <w:pStyle w:val="Normal"/>
      </w:pPr>
      <w:r w:rsidR="00874A49">
        <w:rPr/>
        <w:t xml:space="preserve">The study design is described in </w:t>
      </w:r>
      <w:r w:rsidRPr="0D7907C7" w:rsidR="377BB8F1">
        <w:rPr>
          <w:b w:val="1"/>
          <w:bCs w:val="1"/>
          <w:highlight w:val="yellow"/>
        </w:rPr>
        <w:t>Study ID</w:t>
      </w:r>
      <w:r w:rsidRPr="0D7907C7" w:rsidR="00874A49">
        <w:rPr>
          <w:b w:val="1"/>
          <w:bCs w:val="1"/>
          <w:highlight w:val="yellow"/>
        </w:rPr>
        <w:t xml:space="preserve"> </w:t>
      </w:r>
      <w:r w:rsidRPr="0D7907C7" w:rsidR="4E442144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 xml:space="preserve">TMX-67_301 </w:t>
      </w:r>
      <w:r w:rsidRPr="0D7907C7" w:rsidR="00874A49">
        <w:rPr>
          <w:b w:val="1"/>
          <w:bCs w:val="1"/>
          <w:highlight w:val="yellow"/>
        </w:rPr>
        <w:t>Section 6.1</w:t>
      </w:r>
      <w:r w:rsidR="00874A49">
        <w:rPr/>
        <w:t xml:space="preserve">, while statistical analyses were conducted as defined in </w:t>
      </w:r>
      <w:r w:rsidRPr="0D7907C7" w:rsidR="00874A49">
        <w:rPr>
          <w:b w:val="1"/>
          <w:bCs w:val="1"/>
          <w:highlight w:val="yellow"/>
        </w:rPr>
        <w:t>SAP</w:t>
      </w:r>
      <w:r w:rsidRPr="0D7907C7" w:rsidR="00874A49">
        <w:rPr>
          <w:b w:val="1"/>
          <w:bCs w:val="1"/>
          <w:highlight w:val="yellow"/>
        </w:rPr>
        <w:t xml:space="preserve"> Section 5</w:t>
      </w:r>
      <w:r w:rsidR="00874A49">
        <w:rPr/>
        <w:t xml:space="preserve">, and detailed results are presented in the </w:t>
      </w:r>
      <w:r w:rsidRPr="0D7907C7" w:rsidR="009679FC">
        <w:rPr>
          <w:highlight w:val="yellow"/>
        </w:rPr>
        <w:t>CSR</w:t>
      </w:r>
      <w:r w:rsidR="009679FC">
        <w:rPr/>
        <w:t xml:space="preserve"> </w:t>
      </w:r>
      <w:r w:rsidR="00874A49">
        <w:rPr/>
        <w:t>and further interpreted in the ISE.</w:t>
      </w:r>
    </w:p>
    <w:p w:rsidRPr="00874A49" w:rsidR="00874A49" w:rsidP="00874A49" w:rsidRDefault="00874A49" w14:paraId="3AD65F82" w14:textId="77777777">
      <w:r w:rsidRPr="00874A49">
        <w:pict w14:anchorId="26253222">
          <v:rect id="_x0000_i1227" style="width:0;height:1.5pt" o:hr="t" o:hrstd="t" o:hralign="center" fillcolor="#a0a0a0" stroked="f"/>
        </w:pict>
      </w:r>
    </w:p>
    <w:p w:rsidRPr="00874A49" w:rsidR="00874A49" w:rsidP="00874A49" w:rsidRDefault="00874A49" w14:paraId="4D1AD36B" w14:textId="77777777">
      <w:pPr>
        <w:rPr>
          <w:b/>
          <w:bCs/>
        </w:rPr>
      </w:pPr>
      <w:r w:rsidRPr="00874A49">
        <w:rPr>
          <w:b/>
          <w:bCs/>
        </w:rPr>
        <w:t>2.7.3.2 Primary Efficacy Results</w:t>
      </w:r>
    </w:p>
    <w:p w:rsidRPr="00874A49" w:rsidR="00874A49" w:rsidP="00874A49" w:rsidRDefault="00874A49" w14:paraId="192D9DDE" w14:textId="77777777">
      <w:r w:rsidRPr="00874A49">
        <w:t>The primary endpoint was the proportion of subjects achieving clinical response at Week 24.</w:t>
      </w:r>
    </w:p>
    <w:p w:rsidRPr="00874A49" w:rsidR="00874A49" w:rsidP="00874A49" w:rsidRDefault="00874A49" w14:paraId="060E1A01" w14:textId="77777777">
      <w:r w:rsidR="00874A49">
        <w:rPr/>
        <w:t xml:space="preserve">The primary efficacy results are summarized in </w:t>
      </w:r>
      <w:r w:rsidRPr="6CF964FD" w:rsidR="00874A49">
        <w:rPr>
          <w:highlight w:val="yellow"/>
        </w:rPr>
        <w:t>Table 2.7.3.1</w:t>
      </w:r>
      <w:r w:rsidR="00874A49">
        <w:rPr/>
        <w:t>.</w:t>
      </w:r>
    </w:p>
    <w:p w:rsidRPr="00874A49" w:rsidR="00874A49" w:rsidP="00874A49" w:rsidRDefault="00874A49" w14:paraId="66084F5C" w14:textId="77777777"/>
    <w:p w:rsidR="6CF964FD" w:rsidRDefault="6CF964FD" w14:paraId="4FD2E195" w14:textId="5EF93AEB"/>
    <w:p w:rsidRPr="00874A49" w:rsidR="00874A49" w:rsidP="00874A49" w:rsidRDefault="00874A49" w14:paraId="67D962B2" w14:textId="77777777">
      <w:pPr>
        <w:rPr>
          <w:b/>
          <w:bCs/>
        </w:rPr>
      </w:pPr>
      <w:r w:rsidRPr="00874A49">
        <w:rPr>
          <w:b/>
          <w:bCs/>
        </w:rPr>
        <w:t>Table 2.7.3.1: Primary Efficacy Results (ITT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17"/>
        <w:gridCol w:w="1708"/>
        <w:gridCol w:w="1146"/>
        <w:gridCol w:w="1158"/>
        <w:gridCol w:w="851"/>
      </w:tblGrid>
      <w:tr w:rsidRPr="00874A49" w:rsidR="00874A49" w14:paraId="18441D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19AC448C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0CE6855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9854492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58A457A6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33C37301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6C1FBA89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P-value</w:t>
            </w:r>
          </w:p>
        </w:tc>
      </w:tr>
      <w:tr w:rsidRPr="00874A49" w:rsidR="00874A49" w14:paraId="30EFF87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8297142" w14:textId="77777777">
            <w:r w:rsidRPr="00874A49">
              <w:t>Responders,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8EAAD38" w14:textId="77777777">
            <w:r w:rsidRPr="00874A49">
              <w:t>162 (67.5%)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1E0418AF" w14:textId="77777777">
            <w:r w:rsidRPr="00874A49">
              <w:t>103 (42.9%)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1E33B529" w14:textId="77777777">
            <w:r w:rsidRPr="00874A49">
              <w:t>+24.6%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0B9B997" w14:textId="77777777">
            <w:r w:rsidRPr="00874A49">
              <w:t>(17.8, 31.4)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011AB93" w14:textId="77777777">
            <w:r w:rsidRPr="00874A49">
              <w:t>&lt;0.001</w:t>
            </w:r>
          </w:p>
        </w:tc>
      </w:tr>
    </w:tbl>
    <w:p w:rsidRPr="00874A49" w:rsidR="00874A49" w:rsidP="00874A49" w:rsidRDefault="00874A49" w14:paraId="011B29A6" w14:textId="77777777">
      <w:r w:rsidRPr="00874A49">
        <w:pict w14:anchorId="4EFCF3FE">
          <v:rect id="_x0000_i1229" style="width:0;height:1.5pt" o:hr="t" o:hrstd="t" o:hralign="center" fillcolor="#a0a0a0" stroked="f"/>
        </w:pict>
      </w:r>
    </w:p>
    <w:p w:rsidRPr="00874A49" w:rsidR="00874A49" w:rsidP="00874A49" w:rsidRDefault="00874A49" w14:paraId="0A197EEE" w14:textId="1AFAE6CA">
      <w:r w:rsidR="00874A49">
        <w:rPr/>
        <w:t xml:space="preserve">The results demonstrate a statistically significant and clinically meaningful improvement in the treatment group compared to placebo. The magnitude of effect supports the primary study hypothesis and aligns with findings reported in the </w:t>
      </w:r>
      <w:r w:rsidRPr="6CF964FD" w:rsidR="009679FC">
        <w:rPr>
          <w:highlight w:val="yellow"/>
        </w:rPr>
        <w:t>CSR</w:t>
      </w:r>
      <w:r w:rsidR="00874A49">
        <w:rPr/>
        <w:t>.</w:t>
      </w:r>
    </w:p>
    <w:p w:rsidRPr="00874A49" w:rsidR="00874A49" w:rsidP="00874A49" w:rsidRDefault="00874A49" w14:paraId="0F2717BA" w14:textId="77777777">
      <w:r w:rsidRPr="00874A49">
        <w:pict w14:anchorId="59293E4C">
          <v:rect id="_x0000_i1230" style="width:0;height:1.5pt" o:hr="t" o:hrstd="t" o:hralign="center" fillcolor="#a0a0a0" stroked="f"/>
        </w:pict>
      </w:r>
    </w:p>
    <w:p w:rsidRPr="00874A49" w:rsidR="00874A49" w:rsidP="00874A49" w:rsidRDefault="00874A49" w14:paraId="69C60070" w14:textId="77777777">
      <w:pPr>
        <w:rPr>
          <w:b/>
          <w:bCs/>
        </w:rPr>
      </w:pPr>
      <w:r w:rsidRPr="00874A49">
        <w:rPr>
          <w:b/>
          <w:bCs/>
        </w:rPr>
        <w:t>2.7.3.3 Secondary Efficacy Results</w:t>
      </w:r>
    </w:p>
    <w:p w:rsidRPr="00874A49" w:rsidR="00874A49" w:rsidP="00874A49" w:rsidRDefault="00874A49" w14:paraId="6C0BC448" w14:textId="72F35DAE">
      <w:r w:rsidR="00874A49">
        <w:rPr/>
        <w:t xml:space="preserve">Secondary endpoints were </w:t>
      </w:r>
      <w:r w:rsidR="00874A49">
        <w:rPr/>
        <w:t>analyzed</w:t>
      </w:r>
      <w:r w:rsidR="00874A49">
        <w:rPr/>
        <w:t xml:space="preserve"> as described in the </w:t>
      </w:r>
      <w:r w:rsidRPr="6CF964FD" w:rsidR="009679FC">
        <w:rPr>
          <w:b w:val="1"/>
          <w:bCs w:val="1"/>
          <w:highlight w:val="yellow"/>
        </w:rPr>
        <w:t>SA</w:t>
      </w:r>
      <w:r w:rsidRPr="6CF964FD" w:rsidR="009679FC">
        <w:rPr>
          <w:b w:val="1"/>
          <w:bCs w:val="1"/>
          <w:highlight w:val="yellow"/>
        </w:rPr>
        <w:t>P</w:t>
      </w:r>
      <w:r w:rsidRPr="6CF964FD" w:rsidR="009679FC">
        <w:rPr>
          <w:b w:val="1"/>
          <w:bCs w:val="1"/>
        </w:rPr>
        <w:t xml:space="preserve"> </w:t>
      </w:r>
      <w:r w:rsidR="00874A49">
        <w:rPr/>
        <w:t>and are consistent with the primary findings.</w:t>
      </w:r>
    </w:p>
    <w:p w:rsidRPr="00874A49" w:rsidR="00874A49" w:rsidP="00874A49" w:rsidRDefault="00874A49" w14:paraId="1A75DC6B" w14:textId="77777777">
      <w:r w:rsidRPr="00874A49">
        <w:pict w14:anchorId="1E47E073">
          <v:rect id="_x0000_i1231" style="width:0;height:1.5pt" o:hr="t" o:hrstd="t" o:hralign="center" fillcolor="#a0a0a0" stroked="f"/>
        </w:pict>
      </w:r>
    </w:p>
    <w:p w:rsidRPr="00874A49" w:rsidR="00874A49" w:rsidP="00874A49" w:rsidRDefault="00874A49" w14:paraId="3695BBD4" w14:textId="77777777">
      <w:pPr>
        <w:rPr>
          <w:b/>
          <w:bCs/>
        </w:rPr>
      </w:pPr>
      <w:r w:rsidRPr="00874A49">
        <w:rPr>
          <w:b/>
          <w:bCs/>
        </w:rPr>
        <w:t>Table 2.7.3.2: Key Secondary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115"/>
        <w:gridCol w:w="905"/>
        <w:gridCol w:w="1146"/>
        <w:gridCol w:w="851"/>
      </w:tblGrid>
      <w:tr w:rsidRPr="00874A49" w:rsidR="00874A49" w14:paraId="7C88F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29538E61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589FB54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197B820F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32394A4C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5AE41F13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P-value</w:t>
            </w:r>
          </w:p>
        </w:tc>
      </w:tr>
      <w:tr w:rsidRPr="00874A49" w:rsidR="00874A49" w14:paraId="618FBE1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C9613B7" w14:textId="77777777">
            <w:r w:rsidRPr="00874A49">
              <w:t>Response Rate 2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147F1FD6" w14:textId="77777777">
            <w:r w:rsidRPr="00874A49">
              <w:t>48.2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BF50BBD" w14:textId="77777777">
            <w:r w:rsidRPr="00874A49">
              <w:t>26.5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2D037F0" w14:textId="77777777">
            <w:r w:rsidRPr="00874A49">
              <w:t>+21.7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78FEC9C7" w14:textId="77777777">
            <w:r w:rsidRPr="00874A49">
              <w:t>&lt;0.001</w:t>
            </w:r>
          </w:p>
        </w:tc>
      </w:tr>
      <w:tr w:rsidRPr="00874A49" w:rsidR="00874A49" w14:paraId="3E76CF5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27C80A6" w14:textId="77777777">
            <w:r w:rsidRPr="00874A49">
              <w:t>Mean Change (Score)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5D6049A7" w14:textId="77777777">
            <w:r w:rsidRPr="00874A49">
              <w:t>-2.1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51F67458" w14:textId="77777777">
            <w:r w:rsidRPr="00874A49">
              <w:t>-1.3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76DA244A" w14:textId="77777777">
            <w:r w:rsidRPr="00874A49">
              <w:t>-0.8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9AF204C" w14:textId="77777777">
            <w:r w:rsidRPr="00874A49">
              <w:t>&lt;0.001</w:t>
            </w:r>
          </w:p>
        </w:tc>
      </w:tr>
    </w:tbl>
    <w:p w:rsidRPr="00874A49" w:rsidR="00874A49" w:rsidP="00874A49" w:rsidRDefault="00874A49" w14:paraId="6EFDEEC3" w14:textId="77777777">
      <w:r w:rsidRPr="00874A49">
        <w:pict w14:anchorId="467A5266">
          <v:rect id="_x0000_i1232" style="width:0;height:1.5pt" o:hr="t" o:hrstd="t" o:hralign="center" fillcolor="#a0a0a0" stroked="f"/>
        </w:pict>
      </w:r>
    </w:p>
    <w:p w:rsidRPr="00874A49" w:rsidR="00874A49" w:rsidP="00874A49" w:rsidRDefault="00874A49" w14:paraId="1EBD8FB9" w14:textId="77777777">
      <w:r w:rsidRPr="00874A49">
        <w:t>Improvements across multiple endpoints support the robustness of the treatment effect and confirm consistent efficacy.</w:t>
      </w:r>
    </w:p>
    <w:p w:rsidRPr="00874A49" w:rsidR="00874A49" w:rsidP="00874A49" w:rsidRDefault="00874A49" w14:paraId="693F80CD" w14:textId="77777777">
      <w:r w:rsidRPr="00874A49">
        <w:pict w14:anchorId="5DB7FCDA">
          <v:rect id="_x0000_i1233" style="width:0;height:1.5pt" o:hr="t" o:hrstd="t" o:hralign="center" fillcolor="#a0a0a0" stroked="f"/>
        </w:pict>
      </w:r>
    </w:p>
    <w:p w:rsidRPr="00874A49" w:rsidR="00874A49" w:rsidP="00874A49" w:rsidRDefault="00874A49" w14:paraId="443D1516" w14:textId="77777777">
      <w:pPr>
        <w:rPr>
          <w:b/>
          <w:bCs/>
        </w:rPr>
      </w:pPr>
      <w:r w:rsidRPr="00874A49">
        <w:rPr>
          <w:b/>
          <w:bCs/>
        </w:rPr>
        <w:t>2.7.3.4 Subgroup Analyses</w:t>
      </w:r>
    </w:p>
    <w:p w:rsidRPr="00874A49" w:rsidR="00874A49" w:rsidP="00874A49" w:rsidRDefault="00874A49" w14:paraId="765EB3F2" w14:textId="77777777">
      <w:r w:rsidRPr="00874A49">
        <w:t>Subgroup analyses were conducted to assess consistency of the treatment effect.</w:t>
      </w:r>
    </w:p>
    <w:p w:rsidRPr="00874A49" w:rsidR="00874A49" w:rsidP="00874A49" w:rsidRDefault="00874A49" w14:paraId="2A2A4BA4" w14:textId="77777777">
      <w:r w:rsidRPr="00874A49">
        <w:pict w14:anchorId="766C2350">
          <v:rect id="_x0000_i1234" style="width:0;height:1.5pt" o:hr="t" o:hrstd="t" o:hralign="center" fillcolor="#a0a0a0" stroked="f"/>
        </w:pict>
      </w:r>
    </w:p>
    <w:p w:rsidRPr="00874A49" w:rsidR="00874A49" w:rsidP="00874A49" w:rsidRDefault="00874A49" w14:paraId="33A4AED1" w14:textId="77777777">
      <w:pPr>
        <w:rPr>
          <w:b/>
          <w:bCs/>
        </w:rPr>
      </w:pPr>
      <w:r w:rsidRPr="00874A49">
        <w:rPr>
          <w:b/>
          <w:bCs/>
        </w:rPr>
        <w:t>Table 2.7.3.3: Primary Endpoint by Subgroup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473"/>
        <w:gridCol w:w="1264"/>
        <w:gridCol w:w="1520"/>
      </w:tblGrid>
      <w:tr w:rsidRPr="00874A49" w:rsidR="00874A49" w14:paraId="03F085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4FD35267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790D2862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8D3382F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2A1F0ADD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Difference (%)</w:t>
            </w:r>
          </w:p>
        </w:tc>
      </w:tr>
      <w:tr w:rsidRPr="00874A49" w:rsidR="00874A49" w14:paraId="1DCAB3E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D2DD3A3" w14:textId="77777777">
            <w:r w:rsidRPr="00874A49">
              <w:t>Age &lt;65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21CF4BA" w14:textId="77777777">
            <w:r w:rsidRPr="00874A49">
              <w:t>68.5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BE5353F" w14:textId="77777777">
            <w:r w:rsidRPr="00874A49">
              <w:t>43.2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3389C23" w14:textId="77777777">
            <w:r w:rsidRPr="00874A49">
              <w:t>+25.3</w:t>
            </w:r>
          </w:p>
        </w:tc>
      </w:tr>
      <w:tr w:rsidRPr="00874A49" w:rsidR="00874A49" w14:paraId="38422F3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46529F9" w14:textId="77777777">
            <w:r w:rsidRPr="00874A49">
              <w:t>Age ≥65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807E2A4" w14:textId="77777777">
            <w:r w:rsidRPr="00874A49">
              <w:t>64.0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18E755D" w14:textId="77777777">
            <w:r w:rsidRPr="00874A49">
              <w:t>40.5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713924B5" w14:textId="77777777">
            <w:r w:rsidRPr="00874A49">
              <w:t>+23.5</w:t>
            </w:r>
          </w:p>
        </w:tc>
      </w:tr>
      <w:tr w:rsidRPr="00874A49" w:rsidR="00874A49" w14:paraId="452983B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5E1AF7D2" w14:textId="77777777">
            <w:r w:rsidRPr="00874A49">
              <w:t>Male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BA22A20" w14:textId="77777777">
            <w:r w:rsidRPr="00874A49">
              <w:t>66.8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736EA9D" w14:textId="77777777">
            <w:r w:rsidRPr="00874A49">
              <w:t>42.1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0D34C7A" w14:textId="77777777">
            <w:r w:rsidRPr="00874A49">
              <w:t>+24.7</w:t>
            </w:r>
          </w:p>
        </w:tc>
      </w:tr>
      <w:tr w:rsidRPr="00874A49" w:rsidR="00874A49" w14:paraId="168D30F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4AEE171" w14:textId="77777777">
            <w:r w:rsidRPr="00874A49">
              <w:t>Female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40B88D0" w14:textId="77777777">
            <w:r w:rsidRPr="00874A49">
              <w:t>68.2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98C6874" w14:textId="77777777">
            <w:r w:rsidRPr="00874A49">
              <w:t>43.5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A9022A0" w14:textId="77777777">
            <w:r w:rsidRPr="00874A49">
              <w:t>+24.7</w:t>
            </w:r>
          </w:p>
        </w:tc>
      </w:tr>
    </w:tbl>
    <w:p w:rsidRPr="00874A49" w:rsidR="00874A49" w:rsidP="00874A49" w:rsidRDefault="00874A49" w14:paraId="419C293B" w14:textId="77777777">
      <w:r w:rsidRPr="00874A49">
        <w:pict w14:anchorId="2D93B863">
          <v:rect id="_x0000_i1235" style="width:0;height:1.5pt" o:hr="t" o:hrstd="t" o:hralign="center" fillcolor="#a0a0a0" stroked="f"/>
        </w:pict>
      </w:r>
    </w:p>
    <w:p w:rsidRPr="00874A49" w:rsidR="00874A49" w:rsidP="00874A49" w:rsidRDefault="00874A49" w14:paraId="1EE68A70" w14:textId="77777777">
      <w:r w:rsidRPr="00874A49">
        <w:t>The treatment effect was consistent across all subgroups, supporting generalizability.</w:t>
      </w:r>
    </w:p>
    <w:p w:rsidRPr="00874A49" w:rsidR="00874A49" w:rsidP="00874A49" w:rsidRDefault="00874A49" w14:paraId="0D59A18A" w14:textId="77777777">
      <w:r w:rsidRPr="00874A49">
        <w:lastRenderedPageBreak/>
        <w:pict w14:anchorId="17157F6A">
          <v:rect id="_x0000_i1236" style="width:0;height:1.5pt" o:hr="t" o:hrstd="t" o:hralign="center" fillcolor="#a0a0a0" stroked="f"/>
        </w:pict>
      </w:r>
    </w:p>
    <w:p w:rsidRPr="00874A49" w:rsidR="00874A49" w:rsidP="00874A49" w:rsidRDefault="00874A49" w14:paraId="4296DD1C" w14:textId="77777777">
      <w:pPr>
        <w:rPr>
          <w:b/>
          <w:bCs/>
        </w:rPr>
      </w:pPr>
      <w:r w:rsidRPr="00874A49">
        <w:rPr>
          <w:b/>
          <w:bCs/>
        </w:rPr>
        <w:t>2.7.3.5 Integrated Interpretation of Efficacy</w:t>
      </w:r>
    </w:p>
    <w:p w:rsidRPr="00874A49" w:rsidR="00874A49" w:rsidP="00874A49" w:rsidRDefault="00874A49" w14:paraId="30AD5AEE" w14:textId="77777777">
      <w:r w:rsidRPr="00874A49">
        <w:t>The efficacy results demonstrate:</w:t>
      </w:r>
    </w:p>
    <w:p w:rsidRPr="00874A49" w:rsidR="00874A49" w:rsidP="00874A49" w:rsidRDefault="00874A49" w14:paraId="05863B8D" w14:textId="77777777">
      <w:pPr>
        <w:numPr>
          <w:ilvl w:val="0"/>
          <w:numId w:val="1"/>
        </w:numPr>
      </w:pPr>
      <w:r w:rsidRPr="00874A49">
        <w:t>Statistically significant improvement</w:t>
      </w:r>
    </w:p>
    <w:p w:rsidRPr="00874A49" w:rsidR="00874A49" w:rsidP="00874A49" w:rsidRDefault="00874A49" w14:paraId="09A73098" w14:textId="77777777">
      <w:pPr>
        <w:numPr>
          <w:ilvl w:val="0"/>
          <w:numId w:val="1"/>
        </w:numPr>
      </w:pPr>
      <w:r w:rsidRPr="00874A49">
        <w:t>Consistent effect across endpoints</w:t>
      </w:r>
    </w:p>
    <w:p w:rsidRPr="00874A49" w:rsidR="00874A49" w:rsidP="00874A49" w:rsidRDefault="00874A49" w14:paraId="6DFFFCAD" w14:textId="77777777">
      <w:pPr>
        <w:numPr>
          <w:ilvl w:val="0"/>
          <w:numId w:val="1"/>
        </w:numPr>
      </w:pPr>
      <w:r w:rsidRPr="00874A49">
        <w:t>Robustness across subgroups</w:t>
      </w:r>
    </w:p>
    <w:p w:rsidRPr="00874A49" w:rsidR="00874A49" w:rsidP="00874A49" w:rsidRDefault="00874A49" w14:paraId="108D614D" w14:textId="77777777">
      <w:r w:rsidRPr="00874A49">
        <w:t>These findings are consistent with the analyses presented in the ISE and support the benefit of treatment.</w:t>
      </w:r>
    </w:p>
    <w:p w:rsidRPr="00874A49" w:rsidR="00874A49" w:rsidP="00874A49" w:rsidRDefault="00874A49" w14:paraId="1ADA828B" w14:textId="77777777">
      <w:r w:rsidRPr="00874A49">
        <w:pict w14:anchorId="2EC5C9FE">
          <v:rect id="_x0000_i1237" style="width:0;height:1.5pt" o:hr="t" o:hrstd="t" o:hralign="center" fillcolor="#a0a0a0" stroked="f"/>
        </w:pict>
      </w:r>
    </w:p>
    <w:p w:rsidRPr="00874A49" w:rsidR="00874A49" w:rsidP="00874A49" w:rsidRDefault="00874A49" w14:paraId="4BCED17B" w14:textId="77777777">
      <w:pPr>
        <w:rPr>
          <w:b/>
          <w:bCs/>
        </w:rPr>
      </w:pPr>
      <w:r w:rsidRPr="00874A49">
        <w:rPr>
          <w:b/>
          <w:bCs/>
        </w:rPr>
        <w:t>2.7.4 SUMMARY OF CLINICAL SAFETY</w:t>
      </w:r>
    </w:p>
    <w:p w:rsidRPr="00874A49" w:rsidR="00874A49" w:rsidP="00874A49" w:rsidRDefault="00874A49" w14:paraId="5847445B" w14:textId="77777777">
      <w:pPr>
        <w:rPr>
          <w:b/>
          <w:bCs/>
        </w:rPr>
      </w:pPr>
      <w:r w:rsidRPr="00874A49">
        <w:rPr>
          <w:b/>
          <w:bCs/>
        </w:rPr>
        <w:t>2.7.4.1 Overview of Safety</w:t>
      </w:r>
    </w:p>
    <w:p w:rsidRPr="00874A49" w:rsidR="00874A49" w:rsidP="00874A49" w:rsidRDefault="00874A49" w14:paraId="41164DBF" w14:textId="77777777">
      <w:r w:rsidRPr="00874A49">
        <w:t>Safety was evaluated in Study NCT01101035 based on adverse events, laboratory data, and vital signs.</w:t>
      </w:r>
    </w:p>
    <w:p w:rsidRPr="00874A49" w:rsidR="00874A49" w:rsidP="6CF964FD" w:rsidRDefault="00874A49" w14:paraId="0FB16770" w14:textId="41E35B77">
      <w:pPr>
        <w:pStyle w:val="Normal"/>
      </w:pPr>
      <w:r w:rsidR="00874A49">
        <w:rPr/>
        <w:t xml:space="preserve">Safety assessments are defined in the </w:t>
      </w:r>
      <w:r w:rsidRPr="0D7907C7" w:rsidR="53B17B07">
        <w:rPr>
          <w:b w:val="1"/>
          <w:bCs w:val="1"/>
          <w:highlight w:val="yellow"/>
        </w:rPr>
        <w:t>Study ID</w:t>
      </w:r>
      <w:r w:rsidRPr="0D7907C7" w:rsidR="009679FC">
        <w:rPr>
          <w:b w:val="1"/>
          <w:bCs w:val="1"/>
          <w:highlight w:val="yellow"/>
        </w:rPr>
        <w:t xml:space="preserve"> </w:t>
      </w:r>
      <w:r w:rsidRPr="0D7907C7" w:rsidR="3C494BEF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Pr="0D7907C7" w:rsidR="3C494BE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</w:t>
      </w:r>
      <w:r w:rsidR="00874A49">
        <w:rPr/>
        <w:t xml:space="preserve">and </w:t>
      </w:r>
      <w:r w:rsidR="00874A49">
        <w:rPr/>
        <w:t>analyzed</w:t>
      </w:r>
      <w:r w:rsidR="00874A49">
        <w:rPr/>
        <w:t xml:space="preserve"> </w:t>
      </w:r>
      <w:r w:rsidR="00874A49">
        <w:rPr/>
        <w:t>in accordance with</w:t>
      </w:r>
      <w:r w:rsidR="00874A49">
        <w:rPr/>
        <w:t xml:space="preserve"> </w:t>
      </w:r>
      <w:r w:rsidRPr="0D7907C7" w:rsidR="009679FC">
        <w:rPr>
          <w:b w:val="1"/>
          <w:bCs w:val="1"/>
          <w:highlight w:val="yellow"/>
        </w:rPr>
        <w:t>SAP</w:t>
      </w:r>
      <w:r w:rsidRPr="0D7907C7" w:rsidR="009679FC">
        <w:rPr>
          <w:b w:val="1"/>
          <w:bCs w:val="1"/>
          <w:highlight w:val="yellow"/>
        </w:rPr>
        <w:t xml:space="preserve"> </w:t>
      </w:r>
      <w:r w:rsidRPr="0D7907C7" w:rsidR="00874A49">
        <w:rPr>
          <w:b w:val="1"/>
          <w:bCs w:val="1"/>
          <w:highlight w:val="yellow"/>
        </w:rPr>
        <w:t>Section 6</w:t>
      </w:r>
      <w:r w:rsidR="00874A49">
        <w:rPr/>
        <w:t xml:space="preserve">, with detailed results presented in the </w:t>
      </w:r>
      <w:r w:rsidRPr="0D7907C7" w:rsidR="009679FC">
        <w:rPr>
          <w:b w:val="1"/>
          <w:bCs w:val="1"/>
          <w:highlight w:val="yellow"/>
        </w:rPr>
        <w:t>CSR</w:t>
      </w:r>
      <w:r w:rsidR="009679FC">
        <w:rPr/>
        <w:t xml:space="preserve"> </w:t>
      </w:r>
      <w:r w:rsidR="00874A49">
        <w:rPr/>
        <w:t>and integrated in the ISS.</w:t>
      </w:r>
    </w:p>
    <w:p w:rsidRPr="00874A49" w:rsidR="00874A49" w:rsidP="00874A49" w:rsidRDefault="00874A49" w14:paraId="23D9FF5E" w14:textId="77777777">
      <w:r w:rsidRPr="00874A49">
        <w:pict w14:anchorId="74E2EFDC">
          <v:rect id="_x0000_i1238" style="width:0;height:1.5pt" o:hr="t" o:hrstd="t" o:hralign="center" fillcolor="#a0a0a0" stroked="f"/>
        </w:pict>
      </w:r>
    </w:p>
    <w:p w:rsidRPr="00874A49" w:rsidR="00874A49" w:rsidP="00874A49" w:rsidRDefault="00874A49" w14:paraId="7D267E27" w14:textId="77777777">
      <w:pPr>
        <w:rPr>
          <w:b/>
          <w:bCs/>
        </w:rPr>
      </w:pPr>
      <w:r w:rsidRPr="00874A49">
        <w:rPr>
          <w:b/>
          <w:bCs/>
        </w:rPr>
        <w:t>2.7.4.2 Extent of Exposure</w:t>
      </w:r>
    </w:p>
    <w:p w:rsidRPr="00874A49" w:rsidR="00874A49" w:rsidP="00874A49" w:rsidRDefault="00874A49" w14:paraId="48C2A989" w14:textId="77777777">
      <w:r w:rsidRPr="00874A49">
        <w:pict w14:anchorId="4118BBEA">
          <v:rect id="_x0000_i1239" style="width:0;height:1.5pt" o:hr="t" o:hrstd="t" o:hralign="center" fillcolor="#a0a0a0" stroked="f"/>
        </w:pict>
      </w:r>
    </w:p>
    <w:p w:rsidRPr="00874A49" w:rsidR="00874A49" w:rsidP="00874A49" w:rsidRDefault="00874A49" w14:paraId="6EEEC0E9" w14:textId="77777777">
      <w:pPr>
        <w:rPr>
          <w:b/>
          <w:bCs/>
        </w:rPr>
      </w:pPr>
      <w:r w:rsidRPr="00874A49">
        <w:rPr>
          <w:b/>
          <w:bCs/>
        </w:rPr>
        <w:t>Table 2.7.4.1: Extent of Exposure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115"/>
        <w:gridCol w:w="920"/>
      </w:tblGrid>
      <w:tr w:rsidRPr="00874A49" w:rsidR="00874A49" w14:paraId="697A1B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586BAA2C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356C39D2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13F2ECFB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</w:t>
            </w:r>
          </w:p>
        </w:tc>
      </w:tr>
      <w:tr w:rsidRPr="00874A49" w:rsidR="00874A49" w14:paraId="549A943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C8926F2" w14:textId="77777777">
            <w:r w:rsidRPr="00874A49">
              <w:t>Mean Exposure (weeks)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4A7D07C" w14:textId="77777777">
            <w:r w:rsidRPr="00874A49">
              <w:t>23.1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4F5CBDC" w14:textId="77777777">
            <w:r w:rsidRPr="00874A49">
              <w:t>22.8</w:t>
            </w:r>
          </w:p>
        </w:tc>
      </w:tr>
      <w:tr w:rsidRPr="00874A49" w:rsidR="00874A49" w14:paraId="5589A5D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9349490" w14:textId="77777777">
            <w:r w:rsidRPr="00874A49">
              <w:t>≥20 weeks exposure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013433F4" w14:textId="77777777">
            <w:r w:rsidRPr="00874A49">
              <w:t>87.5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AB9D0BC" w14:textId="77777777">
            <w:r w:rsidRPr="00874A49">
              <w:t>85.4</w:t>
            </w:r>
          </w:p>
        </w:tc>
      </w:tr>
    </w:tbl>
    <w:p w:rsidRPr="00874A49" w:rsidR="00874A49" w:rsidP="00874A49" w:rsidRDefault="00874A49" w14:paraId="1CAD3EB2" w14:textId="77777777">
      <w:r w:rsidRPr="00874A49">
        <w:pict w14:anchorId="6CEDD68C">
          <v:rect id="_x0000_i1240" style="width:0;height:1.5pt" o:hr="t" o:hrstd="t" o:hralign="center" fillcolor="#a0a0a0" stroked="f"/>
        </w:pict>
      </w:r>
    </w:p>
    <w:p w:rsidRPr="00874A49" w:rsidR="00874A49" w:rsidP="00874A49" w:rsidRDefault="00874A49" w14:paraId="3D4AEE9B" w14:textId="77777777">
      <w:r w:rsidRPr="00874A49">
        <w:t>Exposure was similar across groups, enabling balanced safety evaluation.</w:t>
      </w:r>
    </w:p>
    <w:p w:rsidRPr="00874A49" w:rsidR="00874A49" w:rsidP="00874A49" w:rsidRDefault="00874A49" w14:paraId="7EB09622" w14:textId="77777777"/>
    <w:p w:rsidR="6CF964FD" w:rsidRDefault="6CF964FD" w14:paraId="7BEA112F" w14:textId="5683726F"/>
    <w:p w:rsidR="6CF964FD" w:rsidRDefault="6CF964FD" w14:paraId="43E008CB" w14:textId="41FC9A77"/>
    <w:p w:rsidR="6CF964FD" w:rsidRDefault="6CF964FD" w14:paraId="7AF4F0E9" w14:textId="6EC89D92"/>
    <w:p w:rsidR="6CF964FD" w:rsidRDefault="6CF964FD" w14:paraId="2B8CAC34" w14:textId="64F951A2"/>
    <w:p w:rsidRPr="00874A49" w:rsidR="00874A49" w:rsidP="00874A49" w:rsidRDefault="00874A49" w14:paraId="577C90C9" w14:textId="77777777">
      <w:pPr>
        <w:rPr>
          <w:b/>
          <w:bCs/>
        </w:rPr>
      </w:pPr>
      <w:r w:rsidRPr="00874A49">
        <w:rPr>
          <w:b/>
          <w:bCs/>
        </w:rPr>
        <w:t>2.7.4.3 Adverse Events</w:t>
      </w:r>
    </w:p>
    <w:p w:rsidRPr="00874A49" w:rsidR="00874A49" w:rsidP="00874A49" w:rsidRDefault="00874A49" w14:paraId="60CB415D" w14:textId="77777777">
      <w:r w:rsidRPr="00874A49">
        <w:pict w14:anchorId="48369A37">
          <v:rect id="_x0000_i1242" style="width:0;height:1.5pt" o:hr="t" o:hrstd="t" o:hralign="center" fillcolor="#a0a0a0" stroked="f"/>
        </w:pict>
      </w:r>
    </w:p>
    <w:p w:rsidRPr="00874A49" w:rsidR="00874A49" w:rsidP="00874A49" w:rsidRDefault="00874A49" w14:paraId="70977E86" w14:textId="77777777">
      <w:pPr>
        <w:rPr>
          <w:b/>
          <w:bCs/>
        </w:rPr>
      </w:pPr>
      <w:r w:rsidRPr="00874A49">
        <w:rPr>
          <w:b/>
          <w:bCs/>
        </w:rPr>
        <w:t>Table 2.7.4.2: Summary of Adverse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86"/>
        <w:gridCol w:w="1691"/>
      </w:tblGrid>
      <w:tr w:rsidRPr="00874A49" w:rsidR="00874A49" w14:paraId="4AEF1F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7EDDD08A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1E9633B3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34A0D5B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 (n=240)</w:t>
            </w:r>
          </w:p>
        </w:tc>
      </w:tr>
      <w:tr w:rsidRPr="00874A49" w:rsidR="00874A49" w14:paraId="6727A80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52A39061" w14:textId="77777777">
            <w:r w:rsidRPr="00874A49">
              <w:t>≥1 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7E6BDB7" w14:textId="77777777">
            <w:r w:rsidRPr="00874A49">
              <w:t>78 (32.5%)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1A090593" w14:textId="77777777">
            <w:r w:rsidRPr="00874A49">
              <w:t>71 (29.6%)</w:t>
            </w:r>
          </w:p>
        </w:tc>
      </w:tr>
      <w:tr w:rsidRPr="00874A49" w:rsidR="00874A49" w14:paraId="01C43B0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7766D7C8" w14:textId="77777777">
            <w:r w:rsidRPr="00874A49">
              <w:lastRenderedPageBreak/>
              <w:t>SAE,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F71046C" w14:textId="77777777">
            <w:r w:rsidRPr="00874A49">
              <w:t>7 (2.9%)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DC38B4F" w14:textId="77777777">
            <w:r w:rsidRPr="00874A49">
              <w:t>5 (2.1%)</w:t>
            </w:r>
          </w:p>
        </w:tc>
      </w:tr>
      <w:tr w:rsidRPr="00874A49" w:rsidR="00874A49" w14:paraId="2072D41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0185F04" w14:textId="77777777">
            <w:r w:rsidRPr="00874A49">
              <w:t>Treatment-related AE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2020B80" w14:textId="77777777">
            <w:r w:rsidRPr="00874A49">
              <w:t>34 (14.2%)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37FFF52" w14:textId="77777777">
            <w:r w:rsidRPr="00874A49">
              <w:t>26 (10.8%)</w:t>
            </w:r>
          </w:p>
        </w:tc>
      </w:tr>
    </w:tbl>
    <w:p w:rsidRPr="00874A49" w:rsidR="00874A49" w:rsidP="00874A49" w:rsidRDefault="00874A49" w14:paraId="704048E1" w14:textId="77777777">
      <w:r w:rsidRPr="00874A49">
        <w:pict w14:anchorId="71C6FBBB">
          <v:rect id="_x0000_i1243" style="width:0;height:1.5pt" o:hr="t" o:hrstd="t" o:hralign="center" fillcolor="#a0a0a0" stroked="f"/>
        </w:pict>
      </w:r>
    </w:p>
    <w:p w:rsidRPr="00874A49" w:rsidR="00874A49" w:rsidP="00874A49" w:rsidRDefault="00874A49" w14:paraId="6D38D29A" w14:textId="77777777">
      <w:r w:rsidRPr="00874A49">
        <w:t>The overall incidence of adverse events was comparable between groups, with no clinically meaningful differences.</w:t>
      </w:r>
    </w:p>
    <w:p w:rsidRPr="00874A49" w:rsidR="00874A49" w:rsidP="00874A49" w:rsidRDefault="00874A49" w14:paraId="37F44952" w14:textId="77777777">
      <w:r w:rsidRPr="00874A49">
        <w:pict w14:anchorId="79B42745">
          <v:rect id="_x0000_i1244" style="width:0;height:1.5pt" o:hr="t" o:hrstd="t" o:hralign="center" fillcolor="#a0a0a0" stroked="f"/>
        </w:pict>
      </w:r>
    </w:p>
    <w:p w:rsidRPr="00874A49" w:rsidR="00874A49" w:rsidP="00874A49" w:rsidRDefault="00874A49" w14:paraId="31AD8D81" w14:textId="77777777">
      <w:pPr>
        <w:rPr>
          <w:b/>
          <w:bCs/>
        </w:rPr>
      </w:pPr>
      <w:r w:rsidRPr="00874A49">
        <w:rPr>
          <w:b/>
          <w:bCs/>
        </w:rPr>
        <w:t>2.7.4.4 Common Adverse Events</w:t>
      </w:r>
    </w:p>
    <w:p w:rsidRPr="00874A49" w:rsidR="00874A49" w:rsidP="00874A49" w:rsidRDefault="00874A49" w14:paraId="6A1A68F9" w14:textId="77777777">
      <w:r w:rsidRPr="00874A49">
        <w:pict w14:anchorId="0F538977">
          <v:rect id="_x0000_i1245" style="width:0;height:1.5pt" o:hr="t" o:hrstd="t" o:hralign="center" fillcolor="#a0a0a0" stroked="f"/>
        </w:pict>
      </w:r>
    </w:p>
    <w:p w:rsidRPr="00874A49" w:rsidR="00874A49" w:rsidP="00874A49" w:rsidRDefault="00874A49" w14:paraId="123A13DE" w14:textId="77777777">
      <w:pPr>
        <w:rPr>
          <w:b/>
          <w:bCs/>
        </w:rPr>
      </w:pPr>
      <w:r w:rsidRPr="00874A49">
        <w:rPr>
          <w:b/>
          <w:bCs/>
        </w:rPr>
        <w:t>Table 2.7.4.3: Common Adverse Events (≥5%)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473"/>
        <w:gridCol w:w="1279"/>
      </w:tblGrid>
      <w:tr w:rsidRPr="00874A49" w:rsidR="00874A49" w14:paraId="7B1898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5918E558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2B233590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Treatment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874A49" w:rsidR="00874A49" w:rsidP="00874A49" w:rsidRDefault="00874A49" w14:paraId="00CAB1EE" w14:textId="77777777">
            <w:pPr>
              <w:rPr>
                <w:b/>
                <w:bCs/>
              </w:rPr>
            </w:pPr>
            <w:r w:rsidRPr="00874A49">
              <w:rPr>
                <w:b/>
                <w:bCs/>
              </w:rPr>
              <w:t>Placebo (%)</w:t>
            </w:r>
          </w:p>
        </w:tc>
      </w:tr>
      <w:tr w:rsidRPr="00874A49" w:rsidR="00874A49" w14:paraId="3248FEA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798E2B73" w14:textId="77777777">
            <w:r w:rsidRPr="00874A49">
              <w:t>Headache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5E25C267" w14:textId="77777777">
            <w:r w:rsidRPr="00874A49">
              <w:t>11.2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699FCB59" w14:textId="77777777">
            <w:r w:rsidRPr="00874A49">
              <w:t>9.5</w:t>
            </w:r>
          </w:p>
        </w:tc>
      </w:tr>
      <w:tr w:rsidRPr="00874A49" w:rsidR="00874A49" w14:paraId="7DA86B0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355F41E3" w14:textId="77777777">
            <w:r w:rsidRPr="00874A49">
              <w:t>Nausea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26F71CA" w14:textId="77777777">
            <w:r w:rsidRPr="00874A49">
              <w:t>8.3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86D216F" w14:textId="77777777">
            <w:r w:rsidRPr="00874A49">
              <w:t>6.7</w:t>
            </w:r>
          </w:p>
        </w:tc>
      </w:tr>
      <w:tr w:rsidRPr="00874A49" w:rsidR="00874A49" w14:paraId="3366892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11DCA5F" w14:textId="77777777">
            <w:r w:rsidRPr="00874A49">
              <w:t>URTI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2EE98397" w14:textId="77777777">
            <w:r w:rsidRPr="00874A49">
              <w:t>9.6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874A49" w:rsidR="00874A49" w:rsidP="00874A49" w:rsidRDefault="00874A49" w14:paraId="4F6A12F8" w14:textId="77777777">
            <w:r w:rsidRPr="00874A49">
              <w:t>8.8</w:t>
            </w:r>
          </w:p>
        </w:tc>
      </w:tr>
    </w:tbl>
    <w:p w:rsidRPr="00874A49" w:rsidR="00874A49" w:rsidP="00874A49" w:rsidRDefault="00874A49" w14:paraId="7FA7E3C5" w14:textId="77777777">
      <w:r w:rsidRPr="00874A49">
        <w:pict w14:anchorId="12CD5667">
          <v:rect id="_x0000_i1246" style="width:0;height:1.5pt" o:hr="t" o:hrstd="t" o:hralign="center" fillcolor="#a0a0a0" stroked="f"/>
        </w:pict>
      </w:r>
    </w:p>
    <w:p w:rsidRPr="00874A49" w:rsidR="00874A49" w:rsidP="00874A49" w:rsidRDefault="00874A49" w14:paraId="66D9F786" w14:textId="77777777">
      <w:r w:rsidRPr="00874A49">
        <w:t>Most events were mild or moderate and resolved without intervention.</w:t>
      </w:r>
    </w:p>
    <w:p w:rsidRPr="00874A49" w:rsidR="00874A49" w:rsidP="00874A49" w:rsidRDefault="00874A49" w14:paraId="52F9AC5D" w14:textId="77777777">
      <w:r w:rsidRPr="00874A49">
        <w:pict w14:anchorId="6A785B6C">
          <v:rect id="_x0000_i1247" style="width:0;height:1.5pt" o:hr="t" o:hrstd="t" o:hralign="center" fillcolor="#a0a0a0" stroked="f"/>
        </w:pict>
      </w:r>
    </w:p>
    <w:p w:rsidRPr="00874A49" w:rsidR="00874A49" w:rsidP="00874A49" w:rsidRDefault="00874A49" w14:paraId="4F566013" w14:textId="77777777">
      <w:pPr>
        <w:rPr>
          <w:b/>
          <w:bCs/>
        </w:rPr>
      </w:pPr>
      <w:r w:rsidRPr="00874A49">
        <w:rPr>
          <w:b/>
          <w:bCs/>
        </w:rPr>
        <w:t>2.7.4.5 Laboratory and Vital Signs</w:t>
      </w:r>
    </w:p>
    <w:p w:rsidRPr="00874A49" w:rsidR="00874A49" w:rsidP="00874A49" w:rsidRDefault="00874A49" w14:paraId="3FB08F25" w14:textId="77777777">
      <w:r w:rsidRPr="00874A49">
        <w:t>No clinically meaningful abnormalities were observed in laboratory parameters or vital signs.</w:t>
      </w:r>
    </w:p>
    <w:p w:rsidRPr="00874A49" w:rsidR="00874A49" w:rsidP="6CF964FD" w:rsidRDefault="00874A49" w14:paraId="73705AE6" w14:textId="18910804">
      <w:pPr>
        <w:pStyle w:val="Normal"/>
        <w:rPr>
          <w:b w:val="1"/>
          <w:bCs w:val="1"/>
        </w:rPr>
      </w:pPr>
      <w:r w:rsidR="00874A49">
        <w:rPr/>
        <w:t>Changes were small and consistent across treatment groups</w:t>
      </w:r>
      <w:r w:rsidR="409E8112">
        <w:rPr/>
        <w:t xml:space="preserve"> </w:t>
      </w:r>
      <w:r w:rsidR="409E8112">
        <w:rPr/>
        <w:t xml:space="preserve">see </w:t>
      </w:r>
      <w:r w:rsidRPr="6CF964FD" w:rsidR="409E8112">
        <w:rPr>
          <w:b w:val="1"/>
          <w:bCs w:val="1"/>
          <w:highlight w:val="yellow"/>
        </w:rPr>
        <w:t>Table</w:t>
      </w:r>
      <w:r w:rsidRPr="6CF964FD" w:rsidR="409E8112">
        <w:rPr>
          <w:b w:val="1"/>
          <w:bCs w:val="1"/>
          <w:highlight w:val="yellow"/>
        </w:rPr>
        <w:t xml:space="preserve"> 2.7.3.2</w:t>
      </w:r>
      <w:r w:rsidRPr="6CF964FD" w:rsidR="409E8112">
        <w:rPr>
          <w:b w:val="1"/>
          <w:bCs w:val="1"/>
        </w:rPr>
        <w:t>.</w:t>
      </w:r>
    </w:p>
    <w:p w:rsidRPr="00874A49" w:rsidR="00874A49" w:rsidP="00874A49" w:rsidRDefault="00874A49" w14:paraId="385C2F4D" w14:textId="77777777">
      <w:r w:rsidRPr="00874A49">
        <w:pict w14:anchorId="26582C4E">
          <v:rect id="_x0000_i1248" style="width:0;height:1.5pt" o:hr="t" o:hrstd="t" o:hralign="center" fillcolor="#a0a0a0" stroked="f"/>
        </w:pict>
      </w:r>
    </w:p>
    <w:p w:rsidRPr="00874A49" w:rsidR="00874A49" w:rsidP="00874A49" w:rsidRDefault="00874A49" w14:paraId="438F7FA7" w14:textId="77777777">
      <w:pPr>
        <w:rPr>
          <w:b/>
          <w:bCs/>
        </w:rPr>
      </w:pPr>
      <w:r w:rsidRPr="00874A49">
        <w:rPr>
          <w:b/>
          <w:bCs/>
        </w:rPr>
        <w:t>2.7.4.6 Integrated Interpretation of Safety</w:t>
      </w:r>
    </w:p>
    <w:p w:rsidRPr="00874A49" w:rsidR="00874A49" w:rsidP="00874A49" w:rsidRDefault="00874A49" w14:paraId="73210BF9" w14:textId="77777777">
      <w:r w:rsidRPr="00874A49">
        <w:t>The safety profile is characterized by:</w:t>
      </w:r>
    </w:p>
    <w:p w:rsidRPr="00874A49" w:rsidR="00874A49" w:rsidP="00874A49" w:rsidRDefault="00874A49" w14:paraId="55D53549" w14:textId="77777777">
      <w:pPr>
        <w:numPr>
          <w:ilvl w:val="0"/>
          <w:numId w:val="2"/>
        </w:numPr>
      </w:pPr>
      <w:r w:rsidRPr="00874A49">
        <w:t>Comparable AE incidence</w:t>
      </w:r>
    </w:p>
    <w:p w:rsidRPr="00874A49" w:rsidR="00874A49" w:rsidP="00874A49" w:rsidRDefault="00874A49" w14:paraId="6F6A05A9" w14:textId="77777777">
      <w:pPr>
        <w:numPr>
          <w:ilvl w:val="0"/>
          <w:numId w:val="2"/>
        </w:numPr>
      </w:pPr>
      <w:r w:rsidRPr="00874A49">
        <w:t>Low rate of serious events</w:t>
      </w:r>
    </w:p>
    <w:p w:rsidRPr="00874A49" w:rsidR="00874A49" w:rsidP="00874A49" w:rsidRDefault="00874A49" w14:paraId="516823EC" w14:textId="77777777">
      <w:pPr>
        <w:numPr>
          <w:ilvl w:val="0"/>
          <w:numId w:val="2"/>
        </w:numPr>
      </w:pPr>
      <w:r w:rsidRPr="00874A49">
        <w:t>No new safety signals</w:t>
      </w:r>
    </w:p>
    <w:p w:rsidRPr="00874A49" w:rsidR="00874A49" w:rsidP="00874A49" w:rsidRDefault="00874A49" w14:paraId="2336F492" w14:textId="72B0D14D">
      <w:r w:rsidR="00874A49">
        <w:rPr/>
        <w:t>These findings are consistent with those reported in the ISS</w:t>
      </w:r>
      <w:r w:rsidR="11CFB65B">
        <w:rPr/>
        <w:t xml:space="preserve"> see </w:t>
      </w:r>
      <w:r w:rsidRPr="6CF964FD" w:rsidR="11CFB65B">
        <w:rPr>
          <w:b w:val="1"/>
          <w:bCs w:val="1"/>
          <w:highlight w:val="yellow"/>
        </w:rPr>
        <w:t>Section 2.7.1</w:t>
      </w:r>
      <w:r w:rsidR="11CFB65B">
        <w:rPr/>
        <w:t>.</w:t>
      </w:r>
    </w:p>
    <w:p w:rsidRPr="00874A49" w:rsidR="00874A49" w:rsidP="00874A49" w:rsidRDefault="00874A49" w14:paraId="0E5144BB" w14:textId="77777777">
      <w:r w:rsidRPr="00874A49">
        <w:pict w14:anchorId="1FA87FA9">
          <v:rect id="_x0000_i1249" style="width:0;height:1.5pt" o:hr="t" o:hrstd="t" o:hralign="center" fillcolor="#a0a0a0" stroked="f"/>
        </w:pict>
      </w:r>
    </w:p>
    <w:p w:rsidRPr="00874A49" w:rsidR="00874A49" w:rsidP="00874A49" w:rsidRDefault="00874A49" w14:paraId="5EC67C8B" w14:textId="77777777">
      <w:pPr>
        <w:rPr>
          <w:b/>
          <w:bCs/>
        </w:rPr>
      </w:pPr>
      <w:r w:rsidRPr="00874A49">
        <w:rPr>
          <w:b/>
          <w:bCs/>
        </w:rPr>
        <w:t>2.7.5 BENEFIT-RISK ASSESSMENT</w:t>
      </w:r>
    </w:p>
    <w:p w:rsidRPr="00874A49" w:rsidR="00874A49" w:rsidP="00874A49" w:rsidRDefault="00874A49" w14:paraId="7FA4CCB0" w14:textId="77777777">
      <w:r w:rsidRPr="00874A49">
        <w:t>The benefit-risk profile of the investigational product is supported by:</w:t>
      </w:r>
    </w:p>
    <w:p w:rsidRPr="00874A49" w:rsidR="00874A49" w:rsidP="00874A49" w:rsidRDefault="00874A49" w14:paraId="704D873A" w14:textId="77777777">
      <w:pPr>
        <w:rPr>
          <w:b/>
          <w:bCs/>
        </w:rPr>
      </w:pPr>
      <w:r w:rsidRPr="00874A49">
        <w:rPr>
          <w:b/>
          <w:bCs/>
        </w:rPr>
        <w:lastRenderedPageBreak/>
        <w:t>Benefits</w:t>
      </w:r>
    </w:p>
    <w:p w:rsidRPr="00874A49" w:rsidR="00874A49" w:rsidP="00874A49" w:rsidRDefault="00874A49" w14:paraId="6949AFAF" w14:textId="77777777">
      <w:pPr>
        <w:numPr>
          <w:ilvl w:val="0"/>
          <w:numId w:val="3"/>
        </w:numPr>
      </w:pPr>
      <w:r w:rsidRPr="00874A49">
        <w:t>Significant improvement in primary endpoint</w:t>
      </w:r>
    </w:p>
    <w:p w:rsidRPr="00874A49" w:rsidR="00874A49" w:rsidP="00874A49" w:rsidRDefault="00874A49" w14:paraId="4AE5B0E7" w14:textId="77777777">
      <w:pPr>
        <w:numPr>
          <w:ilvl w:val="0"/>
          <w:numId w:val="3"/>
        </w:numPr>
      </w:pPr>
      <w:r w:rsidRPr="00874A49">
        <w:t>Consistent efficacy across endpoints</w:t>
      </w:r>
    </w:p>
    <w:p w:rsidRPr="00874A49" w:rsidR="00874A49" w:rsidP="00874A49" w:rsidRDefault="00874A49" w14:paraId="68C07012" w14:textId="77777777">
      <w:pPr>
        <w:numPr>
          <w:ilvl w:val="0"/>
          <w:numId w:val="3"/>
        </w:numPr>
      </w:pPr>
      <w:r w:rsidRPr="00874A49">
        <w:t>Robust treatment effect</w:t>
      </w:r>
    </w:p>
    <w:p w:rsidRPr="00874A49" w:rsidR="00874A49" w:rsidP="00874A49" w:rsidRDefault="00874A49" w14:paraId="399860CB" w14:textId="77777777">
      <w:pPr>
        <w:rPr>
          <w:b/>
          <w:bCs/>
        </w:rPr>
      </w:pPr>
      <w:r w:rsidRPr="00874A49">
        <w:rPr>
          <w:b/>
          <w:bCs/>
        </w:rPr>
        <w:t>Risks</w:t>
      </w:r>
    </w:p>
    <w:p w:rsidRPr="00874A49" w:rsidR="00874A49" w:rsidP="00874A49" w:rsidRDefault="00874A49" w14:paraId="25C6280F" w14:textId="77777777">
      <w:pPr>
        <w:numPr>
          <w:ilvl w:val="0"/>
          <w:numId w:val="4"/>
        </w:numPr>
      </w:pPr>
      <w:r w:rsidRPr="00874A49">
        <w:t>Moderate incidence of mild-to-moderate adverse events</w:t>
      </w:r>
    </w:p>
    <w:p w:rsidRPr="00874A49" w:rsidR="00874A49" w:rsidP="00874A49" w:rsidRDefault="00874A49" w14:paraId="3DFB98E6" w14:textId="77777777">
      <w:pPr>
        <w:numPr>
          <w:ilvl w:val="0"/>
          <w:numId w:val="4"/>
        </w:numPr>
      </w:pPr>
      <w:r w:rsidRPr="00874A49">
        <w:t>Low incidence of serious adverse events</w:t>
      </w:r>
    </w:p>
    <w:p w:rsidRPr="00874A49" w:rsidR="00874A49" w:rsidP="00874A49" w:rsidRDefault="00874A49" w14:paraId="78257409" w14:textId="77777777">
      <w:r w:rsidRPr="00874A49">
        <w:pict w14:anchorId="1E362946">
          <v:rect id="_x0000_i1250" style="width:0;height:1.5pt" o:hr="t" o:hrstd="t" o:hralign="center" fillcolor="#a0a0a0" stroked="f"/>
        </w:pict>
      </w:r>
    </w:p>
    <w:p w:rsidRPr="00874A49" w:rsidR="00874A49" w:rsidP="00874A49" w:rsidRDefault="00874A49" w14:paraId="4FE17E38" w14:textId="77777777">
      <w:r w:rsidRPr="00874A49">
        <w:t xml:space="preserve">The overall benefit-risk balance is considered </w:t>
      </w:r>
      <w:proofErr w:type="spellStart"/>
      <w:r w:rsidRPr="00874A49">
        <w:t>favorable</w:t>
      </w:r>
      <w:proofErr w:type="spellEnd"/>
      <w:r w:rsidRPr="00874A49">
        <w:t>, with efficacy benefits outweighing identified risks.</w:t>
      </w:r>
    </w:p>
    <w:p w:rsidRPr="00874A49" w:rsidR="00874A49" w:rsidP="00874A49" w:rsidRDefault="00874A49" w14:paraId="18B41B6A" w14:textId="77777777">
      <w:r w:rsidRPr="00874A49">
        <w:pict w14:anchorId="1EDA22B8">
          <v:rect id="_x0000_i1251" style="width:0;height:1.5pt" o:hr="t" o:hrstd="t" o:hralign="center" fillcolor="#a0a0a0" stroked="f"/>
        </w:pict>
      </w:r>
    </w:p>
    <w:p w:rsidRPr="00874A49" w:rsidR="00874A49" w:rsidP="00874A49" w:rsidRDefault="00874A49" w14:paraId="508C68A8" w14:textId="77777777">
      <w:pPr>
        <w:rPr>
          <w:b/>
          <w:bCs/>
        </w:rPr>
      </w:pPr>
      <w:r w:rsidRPr="00874A49">
        <w:rPr>
          <w:b/>
          <w:bCs/>
        </w:rPr>
        <w:t>2.7.6 CONCLUSIONS</w:t>
      </w:r>
    </w:p>
    <w:p w:rsidRPr="00874A49" w:rsidR="00874A49" w:rsidP="00874A49" w:rsidRDefault="00874A49" w14:paraId="3597C2E2" w14:textId="77777777">
      <w:r w:rsidRPr="00874A49">
        <w:t>The investigational product demonstrated:</w:t>
      </w:r>
    </w:p>
    <w:p w:rsidRPr="00874A49" w:rsidR="00874A49" w:rsidP="00874A49" w:rsidRDefault="00874A49" w14:paraId="1A1C2761" w14:textId="77777777">
      <w:pPr>
        <w:numPr>
          <w:ilvl w:val="0"/>
          <w:numId w:val="5"/>
        </w:numPr>
      </w:pPr>
      <w:r w:rsidRPr="00874A49">
        <w:t>Statistically significant and clinically meaningful efficacy</w:t>
      </w:r>
    </w:p>
    <w:p w:rsidRPr="00874A49" w:rsidR="00874A49" w:rsidP="00874A49" w:rsidRDefault="00874A49" w14:paraId="451F6E75" w14:textId="77777777">
      <w:pPr>
        <w:numPr>
          <w:ilvl w:val="0"/>
          <w:numId w:val="5"/>
        </w:numPr>
      </w:pPr>
      <w:r w:rsidRPr="00874A49">
        <w:t>Acceptable and well-characterized safety profile</w:t>
      </w:r>
    </w:p>
    <w:p w:rsidRPr="00874A49" w:rsidR="00874A49" w:rsidP="00874A49" w:rsidRDefault="00874A49" w14:paraId="61DD5D83" w14:textId="73B72341">
      <w:r w:rsidR="00874A49">
        <w:rPr/>
        <w:t xml:space="preserve">The findings presented in this Clinical Summary are consistent with the results reported in the </w:t>
      </w:r>
      <w:r w:rsidRPr="6CF964FD" w:rsidR="009679FC">
        <w:rPr>
          <w:highlight w:val="yellow"/>
        </w:rPr>
        <w:t>CSR</w:t>
      </w:r>
      <w:r w:rsidR="009679FC">
        <w:rPr/>
        <w:t xml:space="preserve"> </w:t>
      </w:r>
      <w:r w:rsidR="00874A49">
        <w:rPr/>
        <w:t>and integrated analyses in the ISE and ISS.</w:t>
      </w:r>
    </w:p>
    <w:p w:rsidRPr="00874A49" w:rsidR="00874A49" w:rsidP="00874A49" w:rsidRDefault="00874A49" w14:paraId="045950B9" w14:textId="77777777">
      <w:r w:rsidRPr="00874A49">
        <w:t>These results support the proposed use of the investigational product for regulatory consideration.</w:t>
      </w:r>
    </w:p>
    <w:p w:rsidR="009A6CC7" w:rsidRDefault="009A6CC7" w14:paraId="15A01FE7" w14:textId="77777777"/>
    <w:sectPr w:rsidR="009A6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6107"/>
    <w:multiLevelType w:val="multilevel"/>
    <w:tmpl w:val="0F6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1890549"/>
    <w:multiLevelType w:val="multilevel"/>
    <w:tmpl w:val="C06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B15A92"/>
    <w:multiLevelType w:val="multilevel"/>
    <w:tmpl w:val="A3E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97F5C0E"/>
    <w:multiLevelType w:val="multilevel"/>
    <w:tmpl w:val="7AC6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72B73AB"/>
    <w:multiLevelType w:val="multilevel"/>
    <w:tmpl w:val="814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43585039">
    <w:abstractNumId w:val="1"/>
  </w:num>
  <w:num w:numId="2" w16cid:durableId="828448450">
    <w:abstractNumId w:val="0"/>
  </w:num>
  <w:num w:numId="3" w16cid:durableId="632713401">
    <w:abstractNumId w:val="2"/>
  </w:num>
  <w:num w:numId="4" w16cid:durableId="143203092">
    <w:abstractNumId w:val="3"/>
  </w:num>
  <w:num w:numId="5" w16cid:durableId="151580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49"/>
    <w:rsid w:val="00137821"/>
    <w:rsid w:val="002D4759"/>
    <w:rsid w:val="00874A49"/>
    <w:rsid w:val="009679FC"/>
    <w:rsid w:val="009A6CC7"/>
    <w:rsid w:val="00DD2852"/>
    <w:rsid w:val="0505E84A"/>
    <w:rsid w:val="052C1DDB"/>
    <w:rsid w:val="090AADD6"/>
    <w:rsid w:val="0D7907C7"/>
    <w:rsid w:val="0EA908AF"/>
    <w:rsid w:val="11CFB65B"/>
    <w:rsid w:val="125B359A"/>
    <w:rsid w:val="130FF85A"/>
    <w:rsid w:val="13CDCFC2"/>
    <w:rsid w:val="1F980D50"/>
    <w:rsid w:val="23FF467F"/>
    <w:rsid w:val="2424DE92"/>
    <w:rsid w:val="2552E575"/>
    <w:rsid w:val="2B76EC16"/>
    <w:rsid w:val="3342D67F"/>
    <w:rsid w:val="34FC05E9"/>
    <w:rsid w:val="377BB8F1"/>
    <w:rsid w:val="3C494BEF"/>
    <w:rsid w:val="409E8112"/>
    <w:rsid w:val="4C907319"/>
    <w:rsid w:val="4E442144"/>
    <w:rsid w:val="53321A30"/>
    <w:rsid w:val="53B17B07"/>
    <w:rsid w:val="569F9F2C"/>
    <w:rsid w:val="598BA9A7"/>
    <w:rsid w:val="6451B5F1"/>
    <w:rsid w:val="690A443E"/>
    <w:rsid w:val="6ADC1938"/>
    <w:rsid w:val="6BA0FDBD"/>
    <w:rsid w:val="6CF964FD"/>
    <w:rsid w:val="70E5E129"/>
    <w:rsid w:val="728317A5"/>
    <w:rsid w:val="792A8308"/>
    <w:rsid w:val="7ABDDF47"/>
    <w:rsid w:val="7CA1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65FF"/>
  <w15:chartTrackingRefBased/>
  <w15:docId w15:val="{060EF3C4-8992-456A-A294-F72F4C88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74A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74A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74A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74A4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4A4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74A4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74A4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4A4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7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4A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4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7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4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9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Gollapally Vihari</dc:creator>
  <keywords/>
  <dc:description/>
  <lastModifiedBy>Gollapally Vihari</lastModifiedBy>
  <revision>4</revision>
  <dcterms:created xsi:type="dcterms:W3CDTF">2026-06-11T10:11:00.0000000Z</dcterms:created>
  <dcterms:modified xsi:type="dcterms:W3CDTF">2026-06-19T05:51:09.7653166Z</dcterms:modified>
</coreProperties>
</file>