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Pr="004E03B1" w:rsidR="004E03B1" w:rsidP="004E03B1" w:rsidRDefault="004E03B1" w14:paraId="359E43BE" w14:textId="57364C03">
      <w:pPr>
        <w:rPr>
          <w:b/>
          <w:bCs/>
        </w:rPr>
      </w:pPr>
      <w:r w:rsidRPr="004E03B1">
        <w:rPr>
          <w:b/>
          <w:bCs/>
        </w:rPr>
        <w:t>INTEGRATED SUMMARY OF EFFICACY (ISE)</w:t>
      </w:r>
    </w:p>
    <w:p w:rsidRPr="004E03B1" w:rsidR="004E03B1" w:rsidP="004E03B1" w:rsidRDefault="004E03B1" w14:paraId="1399AD2A" w14:textId="77777777">
      <w:pPr>
        <w:rPr>
          <w:b/>
          <w:bCs/>
        </w:rPr>
      </w:pPr>
      <w:r w:rsidRPr="004E03B1">
        <w:rPr>
          <w:b/>
          <w:bCs/>
        </w:rPr>
        <w:t>Study NCT01101035</w:t>
      </w:r>
    </w:p>
    <w:p w:rsidRPr="004E03B1" w:rsidR="004E03B1" w:rsidP="004E03B1" w:rsidRDefault="004E03B1" w14:paraId="0994CF45" w14:textId="77777777">
      <w:r w:rsidRPr="004E03B1">
        <w:pict w14:anchorId="7DF8F06C">
          <v:rect id="_x0000_i1176" style="width:0;height:1.5pt" o:hr="t" o:hrstd="t" o:hralign="center" fillcolor="#a0a0a0" stroked="f"/>
        </w:pict>
      </w:r>
    </w:p>
    <w:p w:rsidRPr="004E03B1" w:rsidR="004E03B1" w:rsidP="004E03B1" w:rsidRDefault="004E03B1" w14:paraId="2CE04796" w14:textId="77777777">
      <w:pPr>
        <w:rPr>
          <w:b/>
          <w:bCs/>
        </w:rPr>
      </w:pPr>
      <w:r w:rsidRPr="004E03B1">
        <w:rPr>
          <w:b/>
          <w:bCs/>
        </w:rPr>
        <w:t>1. INTRODUCTION</w:t>
      </w:r>
    </w:p>
    <w:p w:rsidRPr="004E03B1" w:rsidR="004E03B1" w:rsidP="004E03B1" w:rsidRDefault="004E03B1" w14:paraId="3326FDD7" w14:textId="1438B9B8">
      <w:r w:rsidR="1FB86BDD">
        <w:rPr/>
        <w:t xml:space="preserve">This Integrated Summary of Efficacy (ISE) provides a comprehensive evaluation of the efficacy of the investigational product in Study </w:t>
      </w:r>
      <w:r w:rsidRPr="5CCE3912" w:rsidR="7B8DA563">
        <w:rPr>
          <w:highlight w:val="yellow"/>
        </w:rPr>
        <w:t>NCT01101035</w:t>
      </w:r>
      <w:r w:rsidR="1FB86BDD">
        <w:rPr/>
        <w:t>.</w:t>
      </w:r>
    </w:p>
    <w:p w:rsidRPr="004E03B1" w:rsidR="004E03B1" w:rsidP="004E03B1" w:rsidRDefault="004E03B1" w14:paraId="79E4EB5B" w14:textId="55727B53">
      <w:r w:rsidR="1FB86BDD">
        <w:rPr/>
        <w:t>The analyses presented in this document are based on the statistical methodologies defined in the Statistical Analysis Plan (</w:t>
      </w:r>
      <w:r w:rsidRPr="5CCE3912" w:rsidR="1FB86BDD">
        <w:rPr>
          <w:highlight w:val="yellow"/>
        </w:rPr>
        <w:t>SAP</w:t>
      </w:r>
      <w:r w:rsidR="1FB86BDD">
        <w:rPr/>
        <w:t>), while the detailed study design is described in the study protocol. The efficacy results summarized here correspond to those presented in the Clinical Study Report (</w:t>
      </w:r>
      <w:r w:rsidRPr="5CCE3912" w:rsidR="7B8DA563">
        <w:rPr>
          <w:b w:val="0"/>
          <w:bCs w:val="0"/>
          <w:highlight w:val="yellow"/>
        </w:rPr>
        <w:t>CSR</w:t>
      </w:r>
      <w:r w:rsidR="1FB86BDD">
        <w:rPr/>
        <w:t>).</w:t>
      </w:r>
    </w:p>
    <w:p w:rsidRPr="004E03B1" w:rsidR="004E03B1" w:rsidP="004E03B1" w:rsidRDefault="004E03B1" w14:paraId="5E26027C" w14:textId="57738B9E">
      <w:r w:rsidR="1FB86BDD">
        <w:rPr/>
        <w:t>The purpose of this ISE is to integrate efficacy findings and provide an overall assessment of treatment benefit across endpoints</w:t>
      </w:r>
      <w:r w:rsidR="0B86531F">
        <w:rPr/>
        <w:t xml:space="preserve"> refer </w:t>
      </w:r>
      <w:r w:rsidRPr="5CCE3912" w:rsidR="0B86531F">
        <w:rPr>
          <w:highlight w:val="yellow"/>
        </w:rPr>
        <w:t>Table 5.1.1</w:t>
      </w:r>
      <w:r w:rsidR="0B86531F">
        <w:rPr/>
        <w:t>.</w:t>
      </w:r>
    </w:p>
    <w:p w:rsidRPr="004E03B1" w:rsidR="004E03B1" w:rsidP="004E03B1" w:rsidRDefault="004E03B1" w14:paraId="733A35C5" w14:textId="77777777">
      <w:r w:rsidRPr="004E03B1">
        <w:pict w14:anchorId="522C498F">
          <v:rect id="_x0000_i1177" style="width:0;height:1.5pt" o:hr="t" o:hrstd="t" o:hralign="center" fillcolor="#a0a0a0" stroked="f"/>
        </w:pict>
      </w:r>
    </w:p>
    <w:p w:rsidRPr="004E03B1" w:rsidR="004E03B1" w:rsidP="004E03B1" w:rsidRDefault="004E03B1" w14:paraId="1B2DC7E5" w14:textId="77777777">
      <w:pPr>
        <w:rPr>
          <w:b/>
          <w:bCs/>
        </w:rPr>
      </w:pPr>
      <w:r w:rsidRPr="004E03B1">
        <w:rPr>
          <w:b/>
          <w:bCs/>
        </w:rPr>
        <w:t>2. STUDY OVERVIEW</w:t>
      </w:r>
    </w:p>
    <w:p w:rsidRPr="004E03B1" w:rsidR="004E03B1" w:rsidP="004E03B1" w:rsidRDefault="004E03B1" w14:paraId="465A6373" w14:textId="77777777">
      <w:r w:rsidR="1FB86BDD">
        <w:rPr/>
        <w:t xml:space="preserve">Study </w:t>
      </w:r>
      <w:r w:rsidRPr="5CCE3912" w:rsidR="1FB86BDD">
        <w:rPr>
          <w:highlight w:val="yellow"/>
        </w:rPr>
        <w:t>NCT01101035</w:t>
      </w:r>
      <w:r w:rsidR="1FB86BDD">
        <w:rPr/>
        <w:t xml:space="preserve"> is a randomized, double-blind, placebo-controlled clinical trial evaluating the efficacy of the investigational product over a 24-week treatment period.</w:t>
      </w:r>
    </w:p>
    <w:p w:rsidRPr="004E03B1" w:rsidR="004E03B1" w:rsidP="5BA592CD" w:rsidRDefault="004E03B1" w14:paraId="14A602A7" w14:textId="3F623C2F">
      <w:pPr>
        <w:pStyle w:val="Normal"/>
      </w:pPr>
      <w:r w:rsidR="1FB86BDD">
        <w:rPr/>
        <w:t xml:space="preserve">The study design, including randomization and treatment allocation, is described in </w:t>
      </w:r>
      <w:r w:rsidRPr="746356F0" w:rsidR="5B76701E">
        <w:rPr>
          <w:b w:val="1"/>
          <w:bCs w:val="1"/>
          <w:highlight w:val="yellow"/>
        </w:rPr>
        <w:t>Study ID</w:t>
      </w:r>
      <w:r w:rsidRPr="746356F0" w:rsidR="2360B0AB">
        <w:rPr>
          <w:b w:val="1"/>
          <w:bCs w:val="1"/>
          <w:highlight w:val="yellow"/>
        </w:rPr>
        <w:t xml:space="preserve"> </w:t>
      </w:r>
      <w:r w:rsidRPr="746356F0" w:rsidR="2360B0AB">
        <w:rPr>
          <w:rFonts w:ascii="Aptos" w:hAnsi="Aptos" w:eastAsia="Aptos" w:cs="Aptos"/>
          <w:b w:val="1"/>
          <w:bCs w:val="1"/>
          <w:noProof w:val="0"/>
          <w:sz w:val="22"/>
          <w:szCs w:val="22"/>
          <w:highlight w:val="yellow"/>
          <w:lang w:val="en-IN"/>
        </w:rPr>
        <w:t>TMX-67_301</w:t>
      </w:r>
      <w:r w:rsidRPr="746356F0" w:rsidR="1FB86BDD">
        <w:rPr>
          <w:b w:val="1"/>
          <w:bCs w:val="1"/>
          <w:highlight w:val="yellow"/>
        </w:rPr>
        <w:t xml:space="preserve"> </w:t>
      </w:r>
      <w:r w:rsidRPr="746356F0" w:rsidR="1FB86BDD">
        <w:rPr>
          <w:b w:val="1"/>
          <w:bCs w:val="1"/>
          <w:highlight w:val="yellow"/>
        </w:rPr>
        <w:t>Section 6.1</w:t>
      </w:r>
      <w:r w:rsidR="1FB86BDD">
        <w:rPr/>
        <w:t xml:space="preserve">, while the statistical analysis framework is defined in </w:t>
      </w:r>
      <w:r w:rsidRPr="746356F0" w:rsidR="1FB86BDD">
        <w:rPr>
          <w:b w:val="1"/>
          <w:bCs w:val="1"/>
          <w:highlight w:val="yellow"/>
        </w:rPr>
        <w:t>SAP</w:t>
      </w:r>
      <w:r w:rsidRPr="746356F0" w:rsidR="1FB86BDD">
        <w:rPr>
          <w:b w:val="1"/>
          <w:bCs w:val="1"/>
          <w:highlight w:val="yellow"/>
        </w:rPr>
        <w:t xml:space="preserve"> Section 5</w:t>
      </w:r>
      <w:r w:rsidR="1FB86BDD">
        <w:rPr/>
        <w:t xml:space="preserve">. Efficacy results summarized here are derived from the analyses presented in the </w:t>
      </w:r>
      <w:r w:rsidRPr="746356F0" w:rsidR="7B8DA563">
        <w:rPr>
          <w:highlight w:val="yellow"/>
        </w:rPr>
        <w:t>CSR</w:t>
      </w:r>
      <w:r w:rsidR="1FB86BDD">
        <w:rPr/>
        <w:t>.</w:t>
      </w:r>
    </w:p>
    <w:p w:rsidRPr="004E03B1" w:rsidR="004E03B1" w:rsidP="004E03B1" w:rsidRDefault="004E03B1" w14:paraId="3FC08C45" w14:textId="77777777">
      <w:r w:rsidRPr="004E03B1">
        <w:pict w14:anchorId="080EC333">
          <v:rect id="_x0000_i1178" style="width:0;height:1.5pt" o:hr="t" o:hrstd="t" o:hralign="center" fillcolor="#a0a0a0" stroked="f"/>
        </w:pict>
      </w:r>
    </w:p>
    <w:p w:rsidRPr="004E03B1" w:rsidR="004E03B1" w:rsidP="004E03B1" w:rsidRDefault="004E03B1" w14:paraId="58D21778" w14:textId="77777777">
      <w:pPr>
        <w:rPr>
          <w:b/>
          <w:bCs/>
        </w:rPr>
      </w:pPr>
      <w:r w:rsidRPr="004E03B1">
        <w:rPr>
          <w:b/>
          <w:bCs/>
        </w:rPr>
        <w:t>3. EFFICACY ENDPOINTS</w:t>
      </w:r>
    </w:p>
    <w:p w:rsidRPr="004E03B1" w:rsidR="004E03B1" w:rsidP="004E03B1" w:rsidRDefault="004E03B1" w14:paraId="0EDB3FB9" w14:textId="77777777">
      <w:pPr>
        <w:rPr>
          <w:b/>
          <w:bCs/>
        </w:rPr>
      </w:pPr>
      <w:r w:rsidRPr="004E03B1">
        <w:rPr>
          <w:b/>
          <w:bCs/>
        </w:rPr>
        <w:t>3.1 Primary Endpoint</w:t>
      </w:r>
    </w:p>
    <w:p w:rsidRPr="004E03B1" w:rsidR="004E03B1" w:rsidP="004E03B1" w:rsidRDefault="004E03B1" w14:paraId="0C28499E" w14:textId="77777777">
      <w:r w:rsidRPr="004E03B1">
        <w:t xml:space="preserve">The primary endpoint is the </w:t>
      </w:r>
      <w:r w:rsidRPr="004E03B1">
        <w:rPr>
          <w:b/>
          <w:bCs/>
        </w:rPr>
        <w:t>proportion of subjects achieving clinical response at Week 24</w:t>
      </w:r>
      <w:r w:rsidRPr="004E03B1">
        <w:t>.</w:t>
      </w:r>
    </w:p>
    <w:p w:rsidRPr="004E03B1" w:rsidR="004E03B1" w:rsidP="004E03B1" w:rsidRDefault="004E03B1" w14:paraId="38943C55" w14:textId="059F42CB">
      <w:pPr/>
    </w:p>
    <w:p w:rsidRPr="004E03B1" w:rsidR="004E03B1" w:rsidP="5BA592CD" w:rsidRDefault="004E03B1" w14:paraId="1E98CF23" w14:textId="1DFFD9F2">
      <w:pPr>
        <w:pStyle w:val="Heading2"/>
        <w:rPr>
          <w:rFonts w:ascii="Aptos" w:hAnsi="Aptos" w:eastAsia="Aptos" w:cs="Aptos" w:asciiTheme="minorAscii" w:hAnsiTheme="minorAscii" w:eastAsiaTheme="minorAscii" w:cstheme="minorAscii"/>
          <w:b w:val="1"/>
          <w:bCs w:val="1"/>
          <w:color w:val="auto"/>
          <w:sz w:val="22"/>
          <w:szCs w:val="22"/>
        </w:rPr>
      </w:pPr>
      <w:r w:rsidRPr="5BA592CD" w:rsidR="004E03B1">
        <w:rPr>
          <w:rFonts w:ascii="Aptos" w:hAnsi="Aptos" w:eastAsia="Aptos" w:cs="Aptos" w:asciiTheme="minorAscii" w:hAnsiTheme="minorAscii" w:eastAsiaTheme="minorAscii" w:cstheme="minorAscii"/>
          <w:b w:val="1"/>
          <w:bCs w:val="1"/>
          <w:color w:val="auto"/>
          <w:sz w:val="22"/>
          <w:szCs w:val="22"/>
        </w:rPr>
        <w:t>3.2 Secondary Endpoints</w:t>
      </w:r>
    </w:p>
    <w:p w:rsidRPr="004E03B1" w:rsidR="004E03B1" w:rsidP="004E03B1" w:rsidRDefault="004E03B1" w14:paraId="674F2198" w14:textId="77777777">
      <w:r w:rsidRPr="004E03B1">
        <w:t>Secondary endpoints include:</w:t>
      </w:r>
    </w:p>
    <w:p w:rsidRPr="004E03B1" w:rsidR="004E03B1" w:rsidP="004E03B1" w:rsidRDefault="004E03B1" w14:paraId="61C8AC2E" w14:textId="77777777">
      <w:pPr>
        <w:numPr>
          <w:ilvl w:val="0"/>
          <w:numId w:val="2"/>
        </w:numPr>
      </w:pPr>
      <w:r w:rsidRPr="004E03B1">
        <w:t>Change from baseline in disease severity score</w:t>
      </w:r>
    </w:p>
    <w:p w:rsidRPr="004E03B1" w:rsidR="004E03B1" w:rsidP="004E03B1" w:rsidRDefault="004E03B1" w14:paraId="6A824EB4" w14:textId="77777777">
      <w:pPr>
        <w:numPr>
          <w:ilvl w:val="0"/>
          <w:numId w:val="2"/>
        </w:numPr>
      </w:pPr>
      <w:r w:rsidRPr="004E03B1">
        <w:t>Additional response rates</w:t>
      </w:r>
    </w:p>
    <w:p w:rsidRPr="004E03B1" w:rsidR="004E03B1" w:rsidP="004E03B1" w:rsidRDefault="004E03B1" w14:paraId="2412421C" w14:textId="77777777">
      <w:pPr>
        <w:numPr>
          <w:ilvl w:val="0"/>
          <w:numId w:val="2"/>
        </w:numPr>
      </w:pPr>
      <w:r w:rsidRPr="004E03B1">
        <w:t>Time-to-response measures</w:t>
      </w:r>
    </w:p>
    <w:p w:rsidRPr="004E03B1" w:rsidR="004E03B1" w:rsidP="004E03B1" w:rsidRDefault="004E03B1" w14:paraId="6B7EE32B" w14:textId="77777777">
      <w:r w:rsidR="1FB86BDD">
        <w:rPr/>
        <w:t xml:space="preserve">The statistical evaluation of these endpoints is performed as defined in the </w:t>
      </w:r>
      <w:r w:rsidRPr="5CCE3912" w:rsidR="1FB86BDD">
        <w:rPr>
          <w:highlight w:val="yellow"/>
        </w:rPr>
        <w:t>SAP</w:t>
      </w:r>
      <w:r w:rsidR="1FB86BDD">
        <w:rPr/>
        <w:t>.</w:t>
      </w:r>
    </w:p>
    <w:p w:rsidRPr="004E03B1" w:rsidR="004E03B1" w:rsidP="004E03B1" w:rsidRDefault="004E03B1" w14:paraId="7DDDCEE5" w14:textId="77777777">
      <w:r w:rsidRPr="004E03B1">
        <w:pict w14:anchorId="30258779">
          <v:rect id="_x0000_i1180" style="width:0;height:1.5pt" o:hr="t" o:hrstd="t" o:hralign="center" fillcolor="#a0a0a0" stroked="f"/>
        </w:pict>
      </w:r>
    </w:p>
    <w:p w:rsidRPr="004E03B1" w:rsidR="004E03B1" w:rsidP="004E03B1" w:rsidRDefault="004E03B1" w14:paraId="41572525" w14:textId="77777777">
      <w:pPr>
        <w:rPr>
          <w:b/>
          <w:bCs/>
        </w:rPr>
      </w:pPr>
      <w:r w:rsidRPr="004E03B1">
        <w:rPr>
          <w:b/>
          <w:bCs/>
        </w:rPr>
        <w:t>4. ANALYSIS POPULATIONS</w:t>
      </w:r>
    </w:p>
    <w:p w:rsidRPr="004E03B1" w:rsidR="004E03B1" w:rsidP="004E03B1" w:rsidRDefault="004E03B1" w14:paraId="4738E351" w14:textId="77777777">
      <w:r w:rsidR="1FB86BDD">
        <w:rPr/>
        <w:t xml:space="preserve">Efficacy analyses presented in this ISE are based primarily on the </w:t>
      </w:r>
      <w:r w:rsidRPr="5CCE3912" w:rsidR="1FB86BDD">
        <w:rPr>
          <w:b w:val="1"/>
          <w:bCs w:val="1"/>
        </w:rPr>
        <w:t>Intent-to-Treat (ITT) population</w:t>
      </w:r>
      <w:r w:rsidR="1FB86BDD">
        <w:rPr/>
        <w:t xml:space="preserve">, consistent with the analysis populations defined in the </w:t>
      </w:r>
      <w:r w:rsidRPr="5CCE3912" w:rsidR="1FB86BDD">
        <w:rPr>
          <w:highlight w:val="yellow"/>
        </w:rPr>
        <w:t>SAP</w:t>
      </w:r>
      <w:r w:rsidR="1FB86BDD">
        <w:rPr/>
        <w:t>.</w:t>
      </w:r>
    </w:p>
    <w:p w:rsidRPr="004E03B1" w:rsidR="004E03B1" w:rsidP="5BA592CD" w:rsidRDefault="004E03B1" w14:paraId="6C758353" w14:textId="463D1050">
      <w:pPr>
        <w:pStyle w:val="Normal"/>
      </w:pPr>
      <w:r w:rsidR="1FB86BDD">
        <w:rPr/>
        <w:t xml:space="preserve">The population definitions align with the study design specified in </w:t>
      </w:r>
      <w:r w:rsidRPr="746356F0" w:rsidR="2BFB5568">
        <w:rPr>
          <w:b w:val="1"/>
          <w:bCs w:val="1"/>
          <w:highlight w:val="yellow"/>
        </w:rPr>
        <w:t>Study ID</w:t>
      </w:r>
      <w:r w:rsidRPr="746356F0" w:rsidR="1FB86BDD">
        <w:rPr>
          <w:b w:val="1"/>
          <w:bCs w:val="1"/>
          <w:highlight w:val="yellow"/>
        </w:rPr>
        <w:t xml:space="preserve"> </w:t>
      </w:r>
      <w:r w:rsidRPr="746356F0" w:rsidR="38790EDF">
        <w:rPr>
          <w:rFonts w:ascii="Aptos" w:hAnsi="Aptos" w:eastAsia="Aptos" w:cs="Aptos"/>
          <w:b w:val="1"/>
          <w:bCs w:val="1"/>
          <w:noProof w:val="0"/>
          <w:sz w:val="22"/>
          <w:szCs w:val="22"/>
          <w:highlight w:val="yellow"/>
          <w:lang w:val="en-IN"/>
        </w:rPr>
        <w:t>TMX-67_301</w:t>
      </w:r>
      <w:r w:rsidRPr="746356F0" w:rsidR="38790EDF">
        <w:rPr>
          <w:rFonts w:ascii="Aptos" w:hAnsi="Aptos" w:eastAsia="Aptos" w:cs="Aptos"/>
          <w:noProof w:val="0"/>
          <w:sz w:val="22"/>
          <w:szCs w:val="22"/>
          <w:lang w:val="en-IN"/>
        </w:rPr>
        <w:t xml:space="preserve"> </w:t>
      </w:r>
      <w:r w:rsidRPr="746356F0" w:rsidR="1FB86BDD">
        <w:rPr>
          <w:b w:val="1"/>
          <w:bCs w:val="1"/>
          <w:highlight w:val="yellow"/>
        </w:rPr>
        <w:t>Section 6.1</w:t>
      </w:r>
      <w:r w:rsidR="1FB86BDD">
        <w:rPr/>
        <w:t xml:space="preserve"> and are described in detail in the </w:t>
      </w:r>
      <w:r w:rsidRPr="746356F0" w:rsidR="1FB86BDD">
        <w:rPr>
          <w:highlight w:val="yellow"/>
        </w:rPr>
        <w:t>SAP</w:t>
      </w:r>
      <w:r w:rsidR="1FB86BDD">
        <w:rPr/>
        <w:t>.</w:t>
      </w:r>
    </w:p>
    <w:p w:rsidRPr="004E03B1" w:rsidR="004E03B1" w:rsidP="004E03B1" w:rsidRDefault="004E03B1" w14:paraId="733BEC61" w14:textId="77777777">
      <w:r w:rsidRPr="004E03B1">
        <w:pict w14:anchorId="2ACAF198">
          <v:rect id="_x0000_i1181" style="width:0;height:1.5pt" o:hr="t" o:hrstd="t" o:hralign="center" fillcolor="#a0a0a0" stroked="f"/>
        </w:pict>
      </w:r>
    </w:p>
    <w:p w:rsidRPr="004E03B1" w:rsidR="004E03B1" w:rsidP="004E03B1" w:rsidRDefault="004E03B1" w14:paraId="5CE82E5C" w14:textId="77777777">
      <w:pPr>
        <w:rPr>
          <w:b/>
          <w:bCs/>
        </w:rPr>
      </w:pPr>
      <w:r w:rsidRPr="004E03B1">
        <w:rPr>
          <w:b/>
          <w:bCs/>
        </w:rPr>
        <w:t>5. PRIMARY EFFICACY RESULTS</w:t>
      </w:r>
    </w:p>
    <w:p w:rsidRPr="004E03B1" w:rsidR="004E03B1" w:rsidP="004E03B1" w:rsidRDefault="004E03B1" w14:paraId="524779A1" w14:textId="634D0FEF">
      <w:r w:rsidR="1FB86BDD">
        <w:rPr/>
        <w:t xml:space="preserve">The primary endpoint was analyzed using the statistical methods defined in </w:t>
      </w:r>
      <w:r w:rsidRPr="5CCE3912" w:rsidR="1FB86BDD">
        <w:rPr>
          <w:b w:val="1"/>
          <w:bCs w:val="1"/>
          <w:highlight w:val="yellow"/>
        </w:rPr>
        <w:t>SAP</w:t>
      </w:r>
      <w:r w:rsidRPr="5CCE3912" w:rsidR="1FB86BDD">
        <w:rPr>
          <w:b w:val="1"/>
          <w:bCs w:val="1"/>
          <w:highlight w:val="yellow"/>
        </w:rPr>
        <w:t xml:space="preserve"> Section 5.3</w:t>
      </w:r>
      <w:r w:rsidR="1FB86BDD">
        <w:rPr/>
        <w:t xml:space="preserve">, with results presented in the </w:t>
      </w:r>
      <w:r w:rsidRPr="5CCE3912" w:rsidR="7B8DA563">
        <w:rPr>
          <w:highlight w:val="yellow"/>
        </w:rPr>
        <w:t>CSR</w:t>
      </w:r>
      <w:r w:rsidR="1FB86BDD">
        <w:rPr/>
        <w:t>.</w:t>
      </w:r>
    </w:p>
    <w:p w:rsidRPr="004E03B1" w:rsidR="004E03B1" w:rsidP="004E03B1" w:rsidRDefault="004E03B1" w14:paraId="1B11F925" w14:textId="77777777">
      <w:r w:rsidRPr="004E03B1">
        <w:t>Treatment with the investigational product resulted in a higher proportion of responders compared to placebo.</w:t>
      </w:r>
    </w:p>
    <w:p w:rsidRPr="004E03B1" w:rsidR="004E03B1" w:rsidP="004E03B1" w:rsidRDefault="004E03B1" w14:paraId="1B8FCA40" w14:textId="77777777">
      <w:r w:rsidR="1FB86BDD">
        <w:rPr/>
        <w:t xml:space="preserve">The primary efficacy results are summarized in </w:t>
      </w:r>
      <w:r w:rsidRPr="5CCE3912" w:rsidR="1FB86BDD">
        <w:rPr>
          <w:b w:val="1"/>
          <w:bCs w:val="1"/>
          <w:highlight w:val="yellow"/>
        </w:rPr>
        <w:t>Table 5.1.1</w:t>
      </w:r>
      <w:r w:rsidR="1FB86BDD">
        <w:rPr/>
        <w:t>.</w:t>
      </w:r>
    </w:p>
    <w:p w:rsidRPr="004E03B1" w:rsidR="004E03B1" w:rsidP="004E03B1" w:rsidRDefault="004E03B1" w14:paraId="764EA980" w14:textId="77777777">
      <w:r w:rsidRPr="004E03B1">
        <w:pict w14:anchorId="46A31661">
          <v:rect id="_x0000_i1182" style="width:0;height:1.5pt" o:hr="t" o:hrstd="t" o:hralign="center" fillcolor="#a0a0a0" stroked="f"/>
        </w:pict>
      </w:r>
    </w:p>
    <w:p w:rsidRPr="004E03B1" w:rsidR="004E03B1" w:rsidP="004E03B1" w:rsidRDefault="004E03B1" w14:paraId="42C992CE" w14:textId="77777777">
      <w:pPr>
        <w:rPr>
          <w:b/>
          <w:bCs/>
        </w:rPr>
      </w:pPr>
      <w:r w:rsidRPr="004E03B1">
        <w:rPr>
          <w:b/>
          <w:bCs/>
        </w:rPr>
        <w:t>Table 5.1.1: Primary Efficacy Results (Week 24, ITT Population)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25"/>
        <w:gridCol w:w="1917"/>
        <w:gridCol w:w="1708"/>
        <w:gridCol w:w="1505"/>
        <w:gridCol w:w="1158"/>
        <w:gridCol w:w="851"/>
      </w:tblGrid>
      <w:tr w:rsidRPr="004E03B1" w:rsidR="004E03B1" w14:paraId="2D667C66" w14:textId="77777777">
        <w:trPr>
          <w:tblHeader/>
          <w:tblCellSpacing w:w="15" w:type="dxa"/>
        </w:trPr>
        <w:tc>
          <w:tcPr>
            <w:tcW w:w="0" w:type="auto"/>
            <w:tcBorders>
              <w:top w:val="single" w:color="E6E6E6" w:sz="6" w:space="0"/>
              <w:left w:val="single" w:color="E6E6E6" w:sz="6" w:space="0"/>
              <w:bottom w:val="single" w:color="E6E6E6" w:sz="6" w:space="0"/>
              <w:right w:val="single" w:color="E6E6E6" w:sz="6" w:space="0"/>
            </w:tcBorders>
            <w:shd w:val="clear" w:color="auto" w:fill="F5F5F5"/>
            <w:vAlign w:val="center"/>
            <w:hideMark/>
          </w:tcPr>
          <w:p w:rsidRPr="004E03B1" w:rsidR="004E03B1" w:rsidP="004E03B1" w:rsidRDefault="004E03B1" w14:paraId="4A11B3B0" w14:textId="77777777">
            <w:pPr>
              <w:rPr>
                <w:b/>
                <w:bCs/>
              </w:rPr>
            </w:pPr>
            <w:r w:rsidRPr="004E03B1">
              <w:rPr>
                <w:b/>
                <w:bCs/>
              </w:rPr>
              <w:t>Endpoint</w:t>
            </w:r>
          </w:p>
        </w:tc>
        <w:tc>
          <w:tcPr>
            <w:tcW w:w="0" w:type="auto"/>
            <w:tcBorders>
              <w:top w:val="single" w:color="E6E6E6" w:sz="6" w:space="0"/>
              <w:left w:val="single" w:color="E6E6E6" w:sz="6" w:space="0"/>
              <w:bottom w:val="single" w:color="E6E6E6" w:sz="6" w:space="0"/>
              <w:right w:val="single" w:color="E6E6E6" w:sz="6" w:space="0"/>
            </w:tcBorders>
            <w:shd w:val="clear" w:color="auto" w:fill="F5F5F5"/>
            <w:vAlign w:val="center"/>
            <w:hideMark/>
          </w:tcPr>
          <w:p w:rsidRPr="004E03B1" w:rsidR="004E03B1" w:rsidP="004E03B1" w:rsidRDefault="004E03B1" w14:paraId="24275263" w14:textId="77777777">
            <w:pPr>
              <w:rPr>
                <w:b/>
                <w:bCs/>
              </w:rPr>
            </w:pPr>
            <w:r w:rsidRPr="004E03B1">
              <w:rPr>
                <w:b/>
                <w:bCs/>
              </w:rPr>
              <w:t>Treatment (N=240)</w:t>
            </w:r>
          </w:p>
        </w:tc>
        <w:tc>
          <w:tcPr>
            <w:tcW w:w="0" w:type="auto"/>
            <w:tcBorders>
              <w:top w:val="single" w:color="E6E6E6" w:sz="6" w:space="0"/>
              <w:left w:val="single" w:color="E6E6E6" w:sz="6" w:space="0"/>
              <w:bottom w:val="single" w:color="E6E6E6" w:sz="6" w:space="0"/>
              <w:right w:val="single" w:color="E6E6E6" w:sz="6" w:space="0"/>
            </w:tcBorders>
            <w:shd w:val="clear" w:color="auto" w:fill="F5F5F5"/>
            <w:vAlign w:val="center"/>
            <w:hideMark/>
          </w:tcPr>
          <w:p w:rsidRPr="004E03B1" w:rsidR="004E03B1" w:rsidP="004E03B1" w:rsidRDefault="004E03B1" w14:paraId="13906594" w14:textId="77777777">
            <w:pPr>
              <w:rPr>
                <w:b/>
                <w:bCs/>
              </w:rPr>
            </w:pPr>
            <w:r w:rsidRPr="004E03B1">
              <w:rPr>
                <w:b/>
                <w:bCs/>
              </w:rPr>
              <w:t>Placebo (N=240)</w:t>
            </w:r>
          </w:p>
        </w:tc>
        <w:tc>
          <w:tcPr>
            <w:tcW w:w="0" w:type="auto"/>
            <w:tcBorders>
              <w:top w:val="single" w:color="E6E6E6" w:sz="6" w:space="0"/>
              <w:left w:val="single" w:color="E6E6E6" w:sz="6" w:space="0"/>
              <w:bottom w:val="single" w:color="E6E6E6" w:sz="6" w:space="0"/>
              <w:right w:val="single" w:color="E6E6E6" w:sz="6" w:space="0"/>
            </w:tcBorders>
            <w:shd w:val="clear" w:color="auto" w:fill="F5F5F5"/>
            <w:vAlign w:val="center"/>
            <w:hideMark/>
          </w:tcPr>
          <w:p w:rsidRPr="004E03B1" w:rsidR="004E03B1" w:rsidP="004E03B1" w:rsidRDefault="004E03B1" w14:paraId="2595886D" w14:textId="77777777">
            <w:pPr>
              <w:rPr>
                <w:b/>
                <w:bCs/>
              </w:rPr>
            </w:pPr>
            <w:r w:rsidRPr="004E03B1">
              <w:rPr>
                <w:b/>
                <w:bCs/>
              </w:rPr>
              <w:t>Difference (%)</w:t>
            </w:r>
          </w:p>
        </w:tc>
        <w:tc>
          <w:tcPr>
            <w:tcW w:w="0" w:type="auto"/>
            <w:tcBorders>
              <w:top w:val="single" w:color="E6E6E6" w:sz="6" w:space="0"/>
              <w:left w:val="single" w:color="E6E6E6" w:sz="6" w:space="0"/>
              <w:bottom w:val="single" w:color="E6E6E6" w:sz="6" w:space="0"/>
              <w:right w:val="single" w:color="E6E6E6" w:sz="6" w:space="0"/>
            </w:tcBorders>
            <w:shd w:val="clear" w:color="auto" w:fill="F5F5F5"/>
            <w:vAlign w:val="center"/>
            <w:hideMark/>
          </w:tcPr>
          <w:p w:rsidRPr="004E03B1" w:rsidR="004E03B1" w:rsidP="004E03B1" w:rsidRDefault="004E03B1" w14:paraId="749F9722" w14:textId="77777777">
            <w:pPr>
              <w:rPr>
                <w:b/>
                <w:bCs/>
              </w:rPr>
            </w:pPr>
            <w:r w:rsidRPr="004E03B1">
              <w:rPr>
                <w:b/>
                <w:bCs/>
              </w:rPr>
              <w:t>95% CI</w:t>
            </w:r>
          </w:p>
        </w:tc>
        <w:tc>
          <w:tcPr>
            <w:tcW w:w="0" w:type="auto"/>
            <w:tcBorders>
              <w:top w:val="single" w:color="E6E6E6" w:sz="6" w:space="0"/>
              <w:left w:val="single" w:color="E6E6E6" w:sz="6" w:space="0"/>
              <w:bottom w:val="single" w:color="E6E6E6" w:sz="6" w:space="0"/>
              <w:right w:val="single" w:color="E6E6E6" w:sz="6" w:space="0"/>
            </w:tcBorders>
            <w:shd w:val="clear" w:color="auto" w:fill="F5F5F5"/>
            <w:vAlign w:val="center"/>
            <w:hideMark/>
          </w:tcPr>
          <w:p w:rsidRPr="004E03B1" w:rsidR="004E03B1" w:rsidP="004E03B1" w:rsidRDefault="004E03B1" w14:paraId="2975F5E1" w14:textId="77777777">
            <w:pPr>
              <w:rPr>
                <w:b/>
                <w:bCs/>
              </w:rPr>
            </w:pPr>
            <w:r w:rsidRPr="004E03B1">
              <w:rPr>
                <w:b/>
                <w:bCs/>
              </w:rPr>
              <w:t>P-value</w:t>
            </w:r>
          </w:p>
        </w:tc>
      </w:tr>
      <w:tr w:rsidRPr="004E03B1" w:rsidR="004E03B1" w14:paraId="6E75EE4E" w14:textId="77777777">
        <w:trPr>
          <w:tblCellSpacing w:w="15" w:type="dxa"/>
        </w:trPr>
        <w:tc>
          <w:tcPr>
            <w:tcW w:w="0" w:type="auto"/>
            <w:tcBorders>
              <w:top w:val="single" w:color="E6E6E6" w:sz="6" w:space="0"/>
              <w:left w:val="single" w:color="E6E6E6" w:sz="6" w:space="0"/>
              <w:bottom w:val="single" w:color="E6E6E6" w:sz="6" w:space="0"/>
              <w:right w:val="single" w:color="E6E6E6" w:sz="6" w:space="0"/>
            </w:tcBorders>
            <w:vAlign w:val="center"/>
            <w:hideMark/>
          </w:tcPr>
          <w:p w:rsidRPr="004E03B1" w:rsidR="004E03B1" w:rsidP="004E03B1" w:rsidRDefault="004E03B1" w14:paraId="4FBF2FB8" w14:textId="77777777">
            <w:r w:rsidRPr="004E03B1">
              <w:t>Responders, n (%)</w:t>
            </w:r>
          </w:p>
        </w:tc>
        <w:tc>
          <w:tcPr>
            <w:tcW w:w="0" w:type="auto"/>
            <w:tcBorders>
              <w:top w:val="single" w:color="E6E6E6" w:sz="6" w:space="0"/>
              <w:left w:val="single" w:color="E6E6E6" w:sz="6" w:space="0"/>
              <w:bottom w:val="single" w:color="E6E6E6" w:sz="6" w:space="0"/>
              <w:right w:val="single" w:color="E6E6E6" w:sz="6" w:space="0"/>
            </w:tcBorders>
            <w:vAlign w:val="center"/>
            <w:hideMark/>
          </w:tcPr>
          <w:p w:rsidRPr="004E03B1" w:rsidR="004E03B1" w:rsidP="004E03B1" w:rsidRDefault="004E03B1" w14:paraId="74967770" w14:textId="77777777">
            <w:r w:rsidRPr="004E03B1">
              <w:t>162 (67.5%)</w:t>
            </w:r>
          </w:p>
        </w:tc>
        <w:tc>
          <w:tcPr>
            <w:tcW w:w="0" w:type="auto"/>
            <w:tcBorders>
              <w:top w:val="single" w:color="E6E6E6" w:sz="6" w:space="0"/>
              <w:left w:val="single" w:color="E6E6E6" w:sz="6" w:space="0"/>
              <w:bottom w:val="single" w:color="E6E6E6" w:sz="6" w:space="0"/>
              <w:right w:val="single" w:color="E6E6E6" w:sz="6" w:space="0"/>
            </w:tcBorders>
            <w:vAlign w:val="center"/>
            <w:hideMark/>
          </w:tcPr>
          <w:p w:rsidRPr="004E03B1" w:rsidR="004E03B1" w:rsidP="004E03B1" w:rsidRDefault="004E03B1" w14:paraId="4B70FC79" w14:textId="77777777">
            <w:r w:rsidRPr="004E03B1">
              <w:t>103 (42.9%)</w:t>
            </w:r>
          </w:p>
        </w:tc>
        <w:tc>
          <w:tcPr>
            <w:tcW w:w="0" w:type="auto"/>
            <w:tcBorders>
              <w:top w:val="single" w:color="E6E6E6" w:sz="6" w:space="0"/>
              <w:left w:val="single" w:color="E6E6E6" w:sz="6" w:space="0"/>
              <w:bottom w:val="single" w:color="E6E6E6" w:sz="6" w:space="0"/>
              <w:right w:val="single" w:color="E6E6E6" w:sz="6" w:space="0"/>
            </w:tcBorders>
            <w:vAlign w:val="center"/>
            <w:hideMark/>
          </w:tcPr>
          <w:p w:rsidRPr="004E03B1" w:rsidR="004E03B1" w:rsidP="004E03B1" w:rsidRDefault="004E03B1" w14:paraId="4892804E" w14:textId="77777777">
            <w:r w:rsidRPr="004E03B1">
              <w:t>+24.6</w:t>
            </w:r>
          </w:p>
        </w:tc>
        <w:tc>
          <w:tcPr>
            <w:tcW w:w="0" w:type="auto"/>
            <w:tcBorders>
              <w:top w:val="single" w:color="E6E6E6" w:sz="6" w:space="0"/>
              <w:left w:val="single" w:color="E6E6E6" w:sz="6" w:space="0"/>
              <w:bottom w:val="single" w:color="E6E6E6" w:sz="6" w:space="0"/>
              <w:right w:val="single" w:color="E6E6E6" w:sz="6" w:space="0"/>
            </w:tcBorders>
            <w:vAlign w:val="center"/>
            <w:hideMark/>
          </w:tcPr>
          <w:p w:rsidRPr="004E03B1" w:rsidR="004E03B1" w:rsidP="004E03B1" w:rsidRDefault="004E03B1" w14:paraId="3750FBB7" w14:textId="77777777">
            <w:r w:rsidRPr="004E03B1">
              <w:t>(17.8, 31.4)</w:t>
            </w:r>
          </w:p>
        </w:tc>
        <w:tc>
          <w:tcPr>
            <w:tcW w:w="0" w:type="auto"/>
            <w:tcBorders>
              <w:top w:val="single" w:color="E6E6E6" w:sz="6" w:space="0"/>
              <w:left w:val="single" w:color="E6E6E6" w:sz="6" w:space="0"/>
              <w:bottom w:val="single" w:color="E6E6E6" w:sz="6" w:space="0"/>
              <w:right w:val="single" w:color="E6E6E6" w:sz="6" w:space="0"/>
            </w:tcBorders>
            <w:vAlign w:val="center"/>
            <w:hideMark/>
          </w:tcPr>
          <w:p w:rsidRPr="004E03B1" w:rsidR="004E03B1" w:rsidP="004E03B1" w:rsidRDefault="004E03B1" w14:paraId="38D56AFB" w14:textId="77777777">
            <w:r w:rsidRPr="004E03B1">
              <w:t>&lt;0.001</w:t>
            </w:r>
          </w:p>
        </w:tc>
      </w:tr>
    </w:tbl>
    <w:p w:rsidRPr="004E03B1" w:rsidR="004E03B1" w:rsidP="004E03B1" w:rsidRDefault="004E03B1" w14:paraId="3D441F58" w14:textId="77777777">
      <w:r w:rsidRPr="004E03B1">
        <w:pict w14:anchorId="799E6FFC">
          <v:rect id="_x0000_i1183" style="width:0;height:1.5pt" o:hr="t" o:hrstd="t" o:hralign="center" fillcolor="#a0a0a0" stroked="f"/>
        </w:pict>
      </w:r>
    </w:p>
    <w:p w:rsidRPr="004E03B1" w:rsidR="004E03B1" w:rsidP="004E03B1" w:rsidRDefault="004E03B1" w14:paraId="79735A4B" w14:textId="77777777">
      <w:r w:rsidRPr="004E03B1">
        <w:t>The analysis demonstrates a statistically significant and clinically meaningful treatment effect. The difference between treatment groups is robust and consistent with the primary hypothesis defined in the protocol.</w:t>
      </w:r>
    </w:p>
    <w:p w:rsidRPr="004E03B1" w:rsidR="004E03B1" w:rsidP="004E03B1" w:rsidRDefault="004E03B1" w14:paraId="595BDB97" w14:textId="77777777">
      <w:r w:rsidRPr="004E03B1">
        <w:pict w14:anchorId="4E3B1433">
          <v:rect id="_x0000_i1184" style="width:0;height:1.5pt" o:hr="t" o:hrstd="t" o:hralign="center" fillcolor="#a0a0a0" stroked="f"/>
        </w:pict>
      </w:r>
    </w:p>
    <w:p w:rsidRPr="004E03B1" w:rsidR="004E03B1" w:rsidP="004E03B1" w:rsidRDefault="004E03B1" w14:paraId="340422DF" w14:textId="77777777">
      <w:pPr>
        <w:rPr>
          <w:b/>
          <w:bCs/>
        </w:rPr>
      </w:pPr>
      <w:r w:rsidRPr="004E03B1">
        <w:rPr>
          <w:b/>
          <w:bCs/>
        </w:rPr>
        <w:t>6. SECONDARY EFFICACY RESULTS</w:t>
      </w:r>
    </w:p>
    <w:p w:rsidRPr="004E03B1" w:rsidR="004E03B1" w:rsidP="004E03B1" w:rsidRDefault="004E03B1" w14:paraId="1DBA97E3" w14:textId="7DC4350D">
      <w:r w:rsidR="1FB86BDD">
        <w:rPr/>
        <w:t xml:space="preserve">Secondary endpoint analyses were performed as described in the </w:t>
      </w:r>
      <w:r w:rsidRPr="5CCE3912" w:rsidR="1FB86BDD">
        <w:rPr>
          <w:highlight w:val="yellow"/>
        </w:rPr>
        <w:t>SAP</w:t>
      </w:r>
      <w:r w:rsidR="1FB86BDD">
        <w:rPr/>
        <w:t>. Results across multiple endpoints were consistent with the primary efficacy findings.</w:t>
      </w:r>
    </w:p>
    <w:p w:rsidRPr="004E03B1" w:rsidR="004E03B1" w:rsidP="004E03B1" w:rsidRDefault="004E03B1" w14:paraId="1A618EE6" w14:textId="77777777">
      <w:r w:rsidR="1FB86BDD">
        <w:rPr/>
        <w:t xml:space="preserve">The key secondary efficacy results are summarized in </w:t>
      </w:r>
      <w:r w:rsidRPr="5CCE3912" w:rsidR="1FB86BDD">
        <w:rPr>
          <w:b w:val="1"/>
          <w:bCs w:val="1"/>
          <w:highlight w:val="yellow"/>
        </w:rPr>
        <w:t>Table 6.1.1</w:t>
      </w:r>
      <w:r w:rsidR="1FB86BDD">
        <w:rPr/>
        <w:t>.</w:t>
      </w:r>
    </w:p>
    <w:p w:rsidRPr="004E03B1" w:rsidR="004E03B1" w:rsidP="004E03B1" w:rsidRDefault="004E03B1" w14:paraId="2BB3C035" w14:textId="77777777">
      <w:r w:rsidRPr="004E03B1">
        <w:pict w14:anchorId="4B82D9E5">
          <v:rect id="_x0000_i1185" style="width:0;height:1.5pt" o:hr="t" o:hrstd="t" o:hralign="center" fillcolor="#a0a0a0" stroked="f"/>
        </w:pict>
      </w:r>
    </w:p>
    <w:p w:rsidRPr="004E03B1" w:rsidR="004E03B1" w:rsidP="004E03B1" w:rsidRDefault="004E03B1" w14:paraId="29E18301" w14:textId="77777777">
      <w:pPr>
        <w:rPr>
          <w:b/>
          <w:bCs/>
        </w:rPr>
      </w:pPr>
      <w:r w:rsidRPr="004E03B1">
        <w:rPr>
          <w:b/>
          <w:bCs/>
        </w:rPr>
        <w:t>Table 6.1.1: Summary of Secondary Efficacy Endpoints</w:t>
      </w:r>
    </w:p>
    <w:tbl>
      <w:tblPr>
        <w:tblW w:w="6404" w:type="dxa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35"/>
        <w:gridCol w:w="1266"/>
        <w:gridCol w:w="936"/>
        <w:gridCol w:w="1146"/>
        <w:gridCol w:w="921"/>
      </w:tblGrid>
      <w:tr w:rsidRPr="004E03B1" w:rsidR="004E03B1" w:rsidTr="5BA592CD" w14:paraId="7A940D0E" w14:textId="77777777">
        <w:trPr>
          <w:tblHeader/>
          <w:tblCellSpacing w:w="15" w:type="dxa"/>
        </w:trPr>
        <w:tc>
          <w:tcPr>
            <w:tcW w:w="2135" w:type="dxa"/>
            <w:tcBorders>
              <w:top w:val="single" w:color="E6E6E6" w:sz="6" w:space="0"/>
              <w:left w:val="single" w:color="E6E6E6" w:sz="6" w:space="0"/>
              <w:bottom w:val="single" w:color="E6E6E6" w:sz="6" w:space="0"/>
              <w:right w:val="single" w:color="E6E6E6" w:sz="6" w:space="0"/>
            </w:tcBorders>
            <w:shd w:val="clear" w:color="auto" w:fill="F5F5F5"/>
            <w:tcMar/>
            <w:vAlign w:val="center"/>
            <w:hideMark/>
          </w:tcPr>
          <w:p w:rsidRPr="004E03B1" w:rsidR="004E03B1" w:rsidP="004E03B1" w:rsidRDefault="004E03B1" w14:paraId="4B6B775B" w14:textId="77777777">
            <w:pPr>
              <w:rPr>
                <w:b/>
                <w:bCs/>
              </w:rPr>
            </w:pPr>
            <w:r w:rsidRPr="004E03B1">
              <w:rPr>
                <w:b/>
                <w:bCs/>
              </w:rPr>
              <w:t>Endpoint</w:t>
            </w:r>
          </w:p>
        </w:tc>
        <w:tc>
          <w:tcPr>
            <w:tcW w:w="1266" w:type="dxa"/>
            <w:tcBorders>
              <w:top w:val="single" w:color="E6E6E6" w:sz="6" w:space="0"/>
              <w:left w:val="single" w:color="E6E6E6" w:sz="6" w:space="0"/>
              <w:bottom w:val="single" w:color="E6E6E6" w:sz="6" w:space="0"/>
              <w:right w:val="single" w:color="E6E6E6" w:sz="6" w:space="0"/>
            </w:tcBorders>
            <w:shd w:val="clear" w:color="auto" w:fill="F5F5F5"/>
            <w:tcMar/>
            <w:vAlign w:val="center"/>
            <w:hideMark/>
          </w:tcPr>
          <w:p w:rsidRPr="004E03B1" w:rsidR="004E03B1" w:rsidP="004E03B1" w:rsidRDefault="004E03B1" w14:paraId="74CECE86" w14:textId="77777777">
            <w:pPr>
              <w:rPr>
                <w:b/>
                <w:bCs/>
              </w:rPr>
            </w:pPr>
            <w:r w:rsidRPr="004E03B1">
              <w:rPr>
                <w:b/>
                <w:bCs/>
              </w:rPr>
              <w:t>Treatment</w:t>
            </w:r>
          </w:p>
        </w:tc>
        <w:tc>
          <w:tcPr>
            <w:tcW w:w="936" w:type="dxa"/>
            <w:tcBorders>
              <w:top w:val="single" w:color="E6E6E6" w:sz="6" w:space="0"/>
              <w:left w:val="single" w:color="E6E6E6" w:sz="6" w:space="0"/>
              <w:bottom w:val="single" w:color="E6E6E6" w:sz="6" w:space="0"/>
              <w:right w:val="single" w:color="E6E6E6" w:sz="6" w:space="0"/>
            </w:tcBorders>
            <w:shd w:val="clear" w:color="auto" w:fill="F5F5F5"/>
            <w:tcMar/>
            <w:vAlign w:val="center"/>
            <w:hideMark/>
          </w:tcPr>
          <w:p w:rsidRPr="004E03B1" w:rsidR="004E03B1" w:rsidP="004E03B1" w:rsidRDefault="004E03B1" w14:paraId="3CD5DD2C" w14:textId="77777777">
            <w:pPr>
              <w:rPr>
                <w:b/>
                <w:bCs/>
              </w:rPr>
            </w:pPr>
            <w:r w:rsidRPr="004E03B1">
              <w:rPr>
                <w:b/>
                <w:bCs/>
              </w:rPr>
              <w:t>Placebo</w:t>
            </w:r>
          </w:p>
        </w:tc>
        <w:tc>
          <w:tcPr>
            <w:tcW w:w="1146" w:type="dxa"/>
            <w:tcBorders>
              <w:top w:val="single" w:color="E6E6E6" w:sz="6" w:space="0"/>
              <w:left w:val="single" w:color="E6E6E6" w:sz="6" w:space="0"/>
              <w:bottom w:val="single" w:color="E6E6E6" w:sz="6" w:space="0"/>
              <w:right w:val="single" w:color="E6E6E6" w:sz="6" w:space="0"/>
            </w:tcBorders>
            <w:shd w:val="clear" w:color="auto" w:fill="F5F5F5"/>
            <w:tcMar/>
            <w:vAlign w:val="center"/>
            <w:hideMark/>
          </w:tcPr>
          <w:p w:rsidRPr="004E03B1" w:rsidR="004E03B1" w:rsidP="004E03B1" w:rsidRDefault="004E03B1" w14:paraId="7392A970" w14:textId="77777777">
            <w:pPr>
              <w:rPr>
                <w:b/>
                <w:bCs/>
              </w:rPr>
            </w:pPr>
            <w:r w:rsidRPr="004E03B1">
              <w:rPr>
                <w:b/>
                <w:bCs/>
              </w:rPr>
              <w:t>Difference</w:t>
            </w:r>
          </w:p>
        </w:tc>
        <w:tc>
          <w:tcPr>
            <w:tcW w:w="921" w:type="dxa"/>
            <w:tcBorders>
              <w:top w:val="single" w:color="E6E6E6" w:sz="6" w:space="0"/>
              <w:left w:val="single" w:color="E6E6E6" w:sz="6" w:space="0"/>
              <w:bottom w:val="single" w:color="E6E6E6" w:sz="6" w:space="0"/>
              <w:right w:val="single" w:color="E6E6E6" w:sz="6" w:space="0"/>
            </w:tcBorders>
            <w:shd w:val="clear" w:color="auto" w:fill="F5F5F5"/>
            <w:tcMar/>
            <w:vAlign w:val="center"/>
            <w:hideMark/>
          </w:tcPr>
          <w:p w:rsidRPr="004E03B1" w:rsidR="004E03B1" w:rsidP="004E03B1" w:rsidRDefault="004E03B1" w14:paraId="5C7B2054" w14:textId="77777777">
            <w:pPr>
              <w:rPr>
                <w:b/>
                <w:bCs/>
              </w:rPr>
            </w:pPr>
            <w:r w:rsidRPr="004E03B1">
              <w:rPr>
                <w:b/>
                <w:bCs/>
              </w:rPr>
              <w:t>P-value</w:t>
            </w:r>
          </w:p>
        </w:tc>
      </w:tr>
      <w:tr w:rsidRPr="004E03B1" w:rsidR="004E03B1" w:rsidTr="5BA592CD" w14:paraId="37170CDB" w14:textId="77777777">
        <w:trPr>
          <w:tblCellSpacing w:w="15" w:type="dxa"/>
        </w:trPr>
        <w:tc>
          <w:tcPr>
            <w:tcW w:w="2135" w:type="dxa"/>
            <w:tcBorders>
              <w:top w:val="single" w:color="E6E6E6" w:sz="6" w:space="0"/>
              <w:left w:val="single" w:color="E6E6E6" w:sz="6" w:space="0"/>
              <w:bottom w:val="single" w:color="E6E6E6" w:sz="6" w:space="0"/>
              <w:right w:val="single" w:color="E6E6E6" w:sz="6" w:space="0"/>
            </w:tcBorders>
            <w:tcMar/>
            <w:vAlign w:val="center"/>
            <w:hideMark/>
          </w:tcPr>
          <w:p w:rsidRPr="004E03B1" w:rsidR="004E03B1" w:rsidP="004E03B1" w:rsidRDefault="004E03B1" w14:paraId="1CC5CA6C" w14:textId="77777777">
            <w:r w:rsidRPr="004E03B1">
              <w:t>Response Rate 2 (%)</w:t>
            </w:r>
          </w:p>
        </w:tc>
        <w:tc>
          <w:tcPr>
            <w:tcW w:w="1266" w:type="dxa"/>
            <w:tcBorders>
              <w:top w:val="single" w:color="E6E6E6" w:sz="6" w:space="0"/>
              <w:left w:val="single" w:color="E6E6E6" w:sz="6" w:space="0"/>
              <w:bottom w:val="single" w:color="E6E6E6" w:sz="6" w:space="0"/>
              <w:right w:val="single" w:color="E6E6E6" w:sz="6" w:space="0"/>
            </w:tcBorders>
            <w:tcMar/>
            <w:vAlign w:val="center"/>
            <w:hideMark/>
          </w:tcPr>
          <w:p w:rsidRPr="004E03B1" w:rsidR="004E03B1" w:rsidP="004E03B1" w:rsidRDefault="004E03B1" w14:paraId="6AF36048" w14:textId="77777777">
            <w:r w:rsidRPr="004E03B1">
              <w:t>48.2</w:t>
            </w:r>
          </w:p>
        </w:tc>
        <w:tc>
          <w:tcPr>
            <w:tcW w:w="936" w:type="dxa"/>
            <w:tcBorders>
              <w:top w:val="single" w:color="E6E6E6" w:sz="6" w:space="0"/>
              <w:left w:val="single" w:color="E6E6E6" w:sz="6" w:space="0"/>
              <w:bottom w:val="single" w:color="E6E6E6" w:sz="6" w:space="0"/>
              <w:right w:val="single" w:color="E6E6E6" w:sz="6" w:space="0"/>
            </w:tcBorders>
            <w:tcMar/>
            <w:vAlign w:val="center"/>
            <w:hideMark/>
          </w:tcPr>
          <w:p w:rsidRPr="004E03B1" w:rsidR="004E03B1" w:rsidP="004E03B1" w:rsidRDefault="004E03B1" w14:paraId="15C19C33" w14:textId="77777777">
            <w:r w:rsidRPr="004E03B1">
              <w:t>26.5</w:t>
            </w:r>
          </w:p>
        </w:tc>
        <w:tc>
          <w:tcPr>
            <w:tcW w:w="1146" w:type="dxa"/>
            <w:tcBorders>
              <w:top w:val="single" w:color="E6E6E6" w:sz="6" w:space="0"/>
              <w:left w:val="single" w:color="E6E6E6" w:sz="6" w:space="0"/>
              <w:bottom w:val="single" w:color="E6E6E6" w:sz="6" w:space="0"/>
              <w:right w:val="single" w:color="E6E6E6" w:sz="6" w:space="0"/>
            </w:tcBorders>
            <w:tcMar/>
            <w:vAlign w:val="center"/>
            <w:hideMark/>
          </w:tcPr>
          <w:p w:rsidRPr="004E03B1" w:rsidR="004E03B1" w:rsidP="004E03B1" w:rsidRDefault="004E03B1" w14:paraId="3F9215B0" w14:textId="77777777">
            <w:r w:rsidRPr="004E03B1">
              <w:t>+21.7</w:t>
            </w:r>
          </w:p>
        </w:tc>
        <w:tc>
          <w:tcPr>
            <w:tcW w:w="921" w:type="dxa"/>
            <w:tcBorders>
              <w:top w:val="single" w:color="E6E6E6" w:sz="6" w:space="0"/>
              <w:left w:val="single" w:color="E6E6E6" w:sz="6" w:space="0"/>
              <w:bottom w:val="single" w:color="E6E6E6" w:sz="6" w:space="0"/>
              <w:right w:val="single" w:color="E6E6E6" w:sz="6" w:space="0"/>
            </w:tcBorders>
            <w:tcMar/>
            <w:vAlign w:val="center"/>
            <w:hideMark/>
          </w:tcPr>
          <w:p w:rsidRPr="004E03B1" w:rsidR="004E03B1" w:rsidP="004E03B1" w:rsidRDefault="004E03B1" w14:paraId="6256CD83" w14:textId="77777777">
            <w:r w:rsidRPr="004E03B1">
              <w:t>&lt;0.001</w:t>
            </w:r>
          </w:p>
        </w:tc>
      </w:tr>
      <w:tr w:rsidRPr="004E03B1" w:rsidR="004E03B1" w:rsidTr="5BA592CD" w14:paraId="71C9CD1F" w14:textId="77777777">
        <w:trPr>
          <w:tblCellSpacing w:w="15" w:type="dxa"/>
        </w:trPr>
        <w:tc>
          <w:tcPr>
            <w:tcW w:w="2135" w:type="dxa"/>
            <w:tcBorders>
              <w:top w:val="single" w:color="E6E6E6" w:sz="6" w:space="0"/>
              <w:left w:val="single" w:color="E6E6E6" w:sz="6" w:space="0"/>
              <w:bottom w:val="single" w:color="E6E6E6" w:sz="6" w:space="0"/>
              <w:right w:val="single" w:color="E6E6E6" w:sz="6" w:space="0"/>
            </w:tcBorders>
            <w:tcMar/>
            <w:vAlign w:val="center"/>
            <w:hideMark/>
          </w:tcPr>
          <w:p w:rsidRPr="004E03B1" w:rsidR="004E03B1" w:rsidP="004E03B1" w:rsidRDefault="004E03B1" w14:paraId="0A55077A" w14:textId="77777777">
            <w:r w:rsidRPr="004E03B1">
              <w:t>Mean Change (Score)</w:t>
            </w:r>
          </w:p>
        </w:tc>
        <w:tc>
          <w:tcPr>
            <w:tcW w:w="1266" w:type="dxa"/>
            <w:tcBorders>
              <w:top w:val="single" w:color="E6E6E6" w:sz="6" w:space="0"/>
              <w:left w:val="single" w:color="E6E6E6" w:sz="6" w:space="0"/>
              <w:bottom w:val="single" w:color="E6E6E6" w:sz="6" w:space="0"/>
              <w:right w:val="single" w:color="E6E6E6" w:sz="6" w:space="0"/>
            </w:tcBorders>
            <w:tcMar/>
            <w:vAlign w:val="center"/>
            <w:hideMark/>
          </w:tcPr>
          <w:p w:rsidRPr="004E03B1" w:rsidR="004E03B1" w:rsidP="004E03B1" w:rsidRDefault="004E03B1" w14:paraId="7B0C8598" w14:textId="77777777">
            <w:r w:rsidRPr="004E03B1">
              <w:t>-2.1</w:t>
            </w:r>
          </w:p>
        </w:tc>
        <w:tc>
          <w:tcPr>
            <w:tcW w:w="936" w:type="dxa"/>
            <w:tcBorders>
              <w:top w:val="single" w:color="E6E6E6" w:sz="6" w:space="0"/>
              <w:left w:val="single" w:color="E6E6E6" w:sz="6" w:space="0"/>
              <w:bottom w:val="single" w:color="E6E6E6" w:sz="6" w:space="0"/>
              <w:right w:val="single" w:color="E6E6E6" w:sz="6" w:space="0"/>
            </w:tcBorders>
            <w:tcMar/>
            <w:vAlign w:val="center"/>
            <w:hideMark/>
          </w:tcPr>
          <w:p w:rsidRPr="004E03B1" w:rsidR="004E03B1" w:rsidP="004E03B1" w:rsidRDefault="004E03B1" w14:paraId="2A6E13DA" w14:textId="77777777">
            <w:r w:rsidRPr="004E03B1">
              <w:t>-1.3</w:t>
            </w:r>
          </w:p>
        </w:tc>
        <w:tc>
          <w:tcPr>
            <w:tcW w:w="1146" w:type="dxa"/>
            <w:tcBorders>
              <w:top w:val="single" w:color="E6E6E6" w:sz="6" w:space="0"/>
              <w:left w:val="single" w:color="E6E6E6" w:sz="6" w:space="0"/>
              <w:bottom w:val="single" w:color="E6E6E6" w:sz="6" w:space="0"/>
              <w:right w:val="single" w:color="E6E6E6" w:sz="6" w:space="0"/>
            </w:tcBorders>
            <w:tcMar/>
            <w:vAlign w:val="center"/>
            <w:hideMark/>
          </w:tcPr>
          <w:p w:rsidRPr="004E03B1" w:rsidR="004E03B1" w:rsidP="004E03B1" w:rsidRDefault="004E03B1" w14:paraId="5BFC60F2" w14:textId="77777777">
            <w:r w:rsidRPr="004E03B1">
              <w:t>-0.8</w:t>
            </w:r>
          </w:p>
        </w:tc>
        <w:tc>
          <w:tcPr>
            <w:tcW w:w="921" w:type="dxa"/>
            <w:tcBorders>
              <w:top w:val="single" w:color="E6E6E6" w:sz="6" w:space="0"/>
              <w:left w:val="single" w:color="E6E6E6" w:sz="6" w:space="0"/>
              <w:bottom w:val="single" w:color="E6E6E6" w:sz="6" w:space="0"/>
              <w:right w:val="single" w:color="E6E6E6" w:sz="6" w:space="0"/>
            </w:tcBorders>
            <w:tcMar/>
            <w:vAlign w:val="center"/>
            <w:hideMark/>
          </w:tcPr>
          <w:p w:rsidRPr="004E03B1" w:rsidR="004E03B1" w:rsidP="004E03B1" w:rsidRDefault="004E03B1" w14:paraId="7C1FFA14" w14:textId="77777777">
            <w:r w:rsidRPr="004E03B1">
              <w:t>&lt;0.001</w:t>
            </w:r>
          </w:p>
        </w:tc>
      </w:tr>
    </w:tbl>
    <w:p w:rsidRPr="004E03B1" w:rsidR="004E03B1" w:rsidP="004E03B1" w:rsidRDefault="004E03B1" w14:paraId="65CF01D7" w14:textId="77777777">
      <w:r w:rsidRPr="004E03B1">
        <w:pict w14:anchorId="75EDF936">
          <v:rect id="_x0000_i1186" style="width:0;height:1.5pt" o:hr="t" o:hrstd="t" o:hralign="center" fillcolor="#a0a0a0" stroked="f"/>
        </w:pict>
      </w:r>
    </w:p>
    <w:p w:rsidRPr="004E03B1" w:rsidR="004E03B1" w:rsidP="004E03B1" w:rsidRDefault="004E03B1" w14:paraId="51867E61" w14:textId="77777777">
      <w:r w:rsidRPr="004E03B1">
        <w:t>These results support the robustness of the primary endpoint and demonstrate consistent improvement across multiple efficacy measures.</w:t>
      </w:r>
    </w:p>
    <w:p w:rsidRPr="004E03B1" w:rsidR="004E03B1" w:rsidP="004E03B1" w:rsidRDefault="004E03B1" w14:paraId="2FAB30F2" w14:textId="77777777">
      <w:r w:rsidRPr="004E03B1">
        <w:pict w14:anchorId="457E7059">
          <v:rect id="_x0000_i1187" style="width:0;height:1.5pt" o:hr="t" o:hrstd="t" o:hralign="center" fillcolor="#a0a0a0" stroked="f"/>
        </w:pict>
      </w:r>
    </w:p>
    <w:p w:rsidRPr="004E03B1" w:rsidR="004E03B1" w:rsidP="004E03B1" w:rsidRDefault="004E03B1" w14:paraId="5581885B" w14:textId="77777777">
      <w:pPr>
        <w:rPr>
          <w:b/>
          <w:bCs/>
        </w:rPr>
      </w:pPr>
      <w:r w:rsidRPr="004E03B1">
        <w:rPr>
          <w:b/>
          <w:bCs/>
        </w:rPr>
        <w:t>7. SUBGROUP ANALYSES</w:t>
      </w:r>
    </w:p>
    <w:p w:rsidRPr="004E03B1" w:rsidR="004E03B1" w:rsidP="004E03B1" w:rsidRDefault="004E03B1" w14:paraId="65590018" w14:textId="77777777">
      <w:r w:rsidRPr="004E03B1">
        <w:lastRenderedPageBreak/>
        <w:t>Subgroup analyses were conducted to evaluate the consistency of treatment effect across key demographic and baseline characteristics.</w:t>
      </w:r>
    </w:p>
    <w:p w:rsidRPr="004E03B1" w:rsidR="004E03B1" w:rsidP="004E03B1" w:rsidRDefault="004E03B1" w14:paraId="22658E49" w14:textId="1C803643">
      <w:r w:rsidR="1FB86BDD">
        <w:rPr/>
        <w:t xml:space="preserve">The subgroup definitions used in this analysis align with those specified in the </w:t>
      </w:r>
      <w:r w:rsidRPr="5CCE3912" w:rsidR="1FB86BDD">
        <w:rPr>
          <w:highlight w:val="yellow"/>
        </w:rPr>
        <w:t>SAP</w:t>
      </w:r>
      <w:r w:rsidR="1FB86BDD">
        <w:rPr/>
        <w:t>.</w:t>
      </w:r>
    </w:p>
    <w:p w:rsidRPr="004E03B1" w:rsidR="004E03B1" w:rsidP="004E03B1" w:rsidRDefault="004E03B1" w14:paraId="2D1039C6" w14:textId="77777777">
      <w:r w:rsidRPr="004E03B1">
        <w:pict w14:anchorId="1EA8D72F">
          <v:rect id="_x0000_i1188" style="width:0;height:1.5pt" o:hr="t" o:hrstd="t" o:hralign="center" fillcolor="#a0a0a0" stroked="f"/>
        </w:pict>
      </w:r>
    </w:p>
    <w:p w:rsidRPr="004E03B1" w:rsidR="004E03B1" w:rsidP="004E03B1" w:rsidRDefault="004E03B1" w14:paraId="62851DB2" w14:textId="77777777">
      <w:pPr>
        <w:rPr>
          <w:b/>
          <w:bCs/>
        </w:rPr>
      </w:pPr>
      <w:r w:rsidRPr="004E03B1">
        <w:rPr>
          <w:b/>
          <w:bCs/>
        </w:rPr>
        <w:t>Table 7.1.1: Primary Endpoint by Subgroup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67"/>
        <w:gridCol w:w="1473"/>
        <w:gridCol w:w="1264"/>
        <w:gridCol w:w="1520"/>
      </w:tblGrid>
      <w:tr w:rsidRPr="004E03B1" w:rsidR="004E03B1" w14:paraId="25C4A1B0" w14:textId="77777777">
        <w:trPr>
          <w:tblHeader/>
          <w:tblCellSpacing w:w="15" w:type="dxa"/>
        </w:trPr>
        <w:tc>
          <w:tcPr>
            <w:tcW w:w="0" w:type="auto"/>
            <w:tcBorders>
              <w:top w:val="single" w:color="E6E6E6" w:sz="6" w:space="0"/>
              <w:left w:val="single" w:color="E6E6E6" w:sz="6" w:space="0"/>
              <w:bottom w:val="single" w:color="E6E6E6" w:sz="6" w:space="0"/>
              <w:right w:val="single" w:color="E6E6E6" w:sz="6" w:space="0"/>
            </w:tcBorders>
            <w:shd w:val="clear" w:color="auto" w:fill="F5F5F5"/>
            <w:vAlign w:val="center"/>
            <w:hideMark/>
          </w:tcPr>
          <w:p w:rsidRPr="004E03B1" w:rsidR="004E03B1" w:rsidP="004E03B1" w:rsidRDefault="004E03B1" w14:paraId="27D11B6B" w14:textId="77777777">
            <w:pPr>
              <w:rPr>
                <w:b/>
                <w:bCs/>
              </w:rPr>
            </w:pPr>
            <w:r w:rsidRPr="004E03B1">
              <w:rPr>
                <w:b/>
                <w:bCs/>
              </w:rPr>
              <w:t>Subgroup</w:t>
            </w:r>
          </w:p>
        </w:tc>
        <w:tc>
          <w:tcPr>
            <w:tcW w:w="0" w:type="auto"/>
            <w:tcBorders>
              <w:top w:val="single" w:color="E6E6E6" w:sz="6" w:space="0"/>
              <w:left w:val="single" w:color="E6E6E6" w:sz="6" w:space="0"/>
              <w:bottom w:val="single" w:color="E6E6E6" w:sz="6" w:space="0"/>
              <w:right w:val="single" w:color="E6E6E6" w:sz="6" w:space="0"/>
            </w:tcBorders>
            <w:shd w:val="clear" w:color="auto" w:fill="F5F5F5"/>
            <w:vAlign w:val="center"/>
            <w:hideMark/>
          </w:tcPr>
          <w:p w:rsidRPr="004E03B1" w:rsidR="004E03B1" w:rsidP="004E03B1" w:rsidRDefault="004E03B1" w14:paraId="1C15A4FA" w14:textId="77777777">
            <w:pPr>
              <w:rPr>
                <w:b/>
                <w:bCs/>
              </w:rPr>
            </w:pPr>
            <w:r w:rsidRPr="004E03B1">
              <w:rPr>
                <w:b/>
                <w:bCs/>
              </w:rPr>
              <w:t>Treatment (%)</w:t>
            </w:r>
          </w:p>
        </w:tc>
        <w:tc>
          <w:tcPr>
            <w:tcW w:w="0" w:type="auto"/>
            <w:tcBorders>
              <w:top w:val="single" w:color="E6E6E6" w:sz="6" w:space="0"/>
              <w:left w:val="single" w:color="E6E6E6" w:sz="6" w:space="0"/>
              <w:bottom w:val="single" w:color="E6E6E6" w:sz="6" w:space="0"/>
              <w:right w:val="single" w:color="E6E6E6" w:sz="6" w:space="0"/>
            </w:tcBorders>
            <w:shd w:val="clear" w:color="auto" w:fill="F5F5F5"/>
            <w:vAlign w:val="center"/>
            <w:hideMark/>
          </w:tcPr>
          <w:p w:rsidRPr="004E03B1" w:rsidR="004E03B1" w:rsidP="004E03B1" w:rsidRDefault="004E03B1" w14:paraId="0566BAC7" w14:textId="77777777">
            <w:pPr>
              <w:rPr>
                <w:b/>
                <w:bCs/>
              </w:rPr>
            </w:pPr>
            <w:r w:rsidRPr="004E03B1">
              <w:rPr>
                <w:b/>
                <w:bCs/>
              </w:rPr>
              <w:t>Placebo (%)</w:t>
            </w:r>
          </w:p>
        </w:tc>
        <w:tc>
          <w:tcPr>
            <w:tcW w:w="0" w:type="auto"/>
            <w:tcBorders>
              <w:top w:val="single" w:color="E6E6E6" w:sz="6" w:space="0"/>
              <w:left w:val="single" w:color="E6E6E6" w:sz="6" w:space="0"/>
              <w:bottom w:val="single" w:color="E6E6E6" w:sz="6" w:space="0"/>
              <w:right w:val="single" w:color="E6E6E6" w:sz="6" w:space="0"/>
            </w:tcBorders>
            <w:shd w:val="clear" w:color="auto" w:fill="F5F5F5"/>
            <w:vAlign w:val="center"/>
            <w:hideMark/>
          </w:tcPr>
          <w:p w:rsidRPr="004E03B1" w:rsidR="004E03B1" w:rsidP="004E03B1" w:rsidRDefault="004E03B1" w14:paraId="5118215C" w14:textId="77777777">
            <w:pPr>
              <w:rPr>
                <w:b/>
                <w:bCs/>
              </w:rPr>
            </w:pPr>
            <w:r w:rsidRPr="004E03B1">
              <w:rPr>
                <w:b/>
                <w:bCs/>
              </w:rPr>
              <w:t>Difference (%)</w:t>
            </w:r>
          </w:p>
        </w:tc>
      </w:tr>
      <w:tr w:rsidRPr="004E03B1" w:rsidR="004E03B1" w14:paraId="0A367E42" w14:textId="77777777">
        <w:trPr>
          <w:tblCellSpacing w:w="15" w:type="dxa"/>
        </w:trPr>
        <w:tc>
          <w:tcPr>
            <w:tcW w:w="0" w:type="auto"/>
            <w:tcBorders>
              <w:top w:val="single" w:color="E6E6E6" w:sz="6" w:space="0"/>
              <w:left w:val="single" w:color="E6E6E6" w:sz="6" w:space="0"/>
              <w:bottom w:val="single" w:color="E6E6E6" w:sz="6" w:space="0"/>
              <w:right w:val="single" w:color="E6E6E6" w:sz="6" w:space="0"/>
            </w:tcBorders>
            <w:vAlign w:val="center"/>
            <w:hideMark/>
          </w:tcPr>
          <w:p w:rsidRPr="004E03B1" w:rsidR="004E03B1" w:rsidP="004E03B1" w:rsidRDefault="004E03B1" w14:paraId="037B998F" w14:textId="77777777">
            <w:r w:rsidRPr="004E03B1">
              <w:t>Age &lt;65</w:t>
            </w:r>
          </w:p>
        </w:tc>
        <w:tc>
          <w:tcPr>
            <w:tcW w:w="0" w:type="auto"/>
            <w:tcBorders>
              <w:top w:val="single" w:color="E6E6E6" w:sz="6" w:space="0"/>
              <w:left w:val="single" w:color="E6E6E6" w:sz="6" w:space="0"/>
              <w:bottom w:val="single" w:color="E6E6E6" w:sz="6" w:space="0"/>
              <w:right w:val="single" w:color="E6E6E6" w:sz="6" w:space="0"/>
            </w:tcBorders>
            <w:vAlign w:val="center"/>
            <w:hideMark/>
          </w:tcPr>
          <w:p w:rsidRPr="004E03B1" w:rsidR="004E03B1" w:rsidP="004E03B1" w:rsidRDefault="004E03B1" w14:paraId="37BEB467" w14:textId="77777777">
            <w:r w:rsidRPr="004E03B1">
              <w:t>68.5</w:t>
            </w:r>
          </w:p>
        </w:tc>
        <w:tc>
          <w:tcPr>
            <w:tcW w:w="0" w:type="auto"/>
            <w:tcBorders>
              <w:top w:val="single" w:color="E6E6E6" w:sz="6" w:space="0"/>
              <w:left w:val="single" w:color="E6E6E6" w:sz="6" w:space="0"/>
              <w:bottom w:val="single" w:color="E6E6E6" w:sz="6" w:space="0"/>
              <w:right w:val="single" w:color="E6E6E6" w:sz="6" w:space="0"/>
            </w:tcBorders>
            <w:vAlign w:val="center"/>
            <w:hideMark/>
          </w:tcPr>
          <w:p w:rsidRPr="004E03B1" w:rsidR="004E03B1" w:rsidP="004E03B1" w:rsidRDefault="004E03B1" w14:paraId="2A1BA8C3" w14:textId="77777777">
            <w:r w:rsidRPr="004E03B1">
              <w:t>43.2</w:t>
            </w:r>
          </w:p>
        </w:tc>
        <w:tc>
          <w:tcPr>
            <w:tcW w:w="0" w:type="auto"/>
            <w:tcBorders>
              <w:top w:val="single" w:color="E6E6E6" w:sz="6" w:space="0"/>
              <w:left w:val="single" w:color="E6E6E6" w:sz="6" w:space="0"/>
              <w:bottom w:val="single" w:color="E6E6E6" w:sz="6" w:space="0"/>
              <w:right w:val="single" w:color="E6E6E6" w:sz="6" w:space="0"/>
            </w:tcBorders>
            <w:vAlign w:val="center"/>
            <w:hideMark/>
          </w:tcPr>
          <w:p w:rsidRPr="004E03B1" w:rsidR="004E03B1" w:rsidP="004E03B1" w:rsidRDefault="004E03B1" w14:paraId="02261669" w14:textId="77777777">
            <w:r w:rsidRPr="004E03B1">
              <w:t>+25.3</w:t>
            </w:r>
          </w:p>
        </w:tc>
      </w:tr>
      <w:tr w:rsidRPr="004E03B1" w:rsidR="004E03B1" w14:paraId="6EC076F2" w14:textId="77777777">
        <w:trPr>
          <w:tblCellSpacing w:w="15" w:type="dxa"/>
        </w:trPr>
        <w:tc>
          <w:tcPr>
            <w:tcW w:w="0" w:type="auto"/>
            <w:tcBorders>
              <w:top w:val="single" w:color="E6E6E6" w:sz="6" w:space="0"/>
              <w:left w:val="single" w:color="E6E6E6" w:sz="6" w:space="0"/>
              <w:bottom w:val="single" w:color="E6E6E6" w:sz="6" w:space="0"/>
              <w:right w:val="single" w:color="E6E6E6" w:sz="6" w:space="0"/>
            </w:tcBorders>
            <w:vAlign w:val="center"/>
            <w:hideMark/>
          </w:tcPr>
          <w:p w:rsidRPr="004E03B1" w:rsidR="004E03B1" w:rsidP="004E03B1" w:rsidRDefault="004E03B1" w14:paraId="679661B9" w14:textId="77777777">
            <w:r w:rsidRPr="004E03B1">
              <w:t>Age ≥65</w:t>
            </w:r>
          </w:p>
        </w:tc>
        <w:tc>
          <w:tcPr>
            <w:tcW w:w="0" w:type="auto"/>
            <w:tcBorders>
              <w:top w:val="single" w:color="E6E6E6" w:sz="6" w:space="0"/>
              <w:left w:val="single" w:color="E6E6E6" w:sz="6" w:space="0"/>
              <w:bottom w:val="single" w:color="E6E6E6" w:sz="6" w:space="0"/>
              <w:right w:val="single" w:color="E6E6E6" w:sz="6" w:space="0"/>
            </w:tcBorders>
            <w:vAlign w:val="center"/>
            <w:hideMark/>
          </w:tcPr>
          <w:p w:rsidRPr="004E03B1" w:rsidR="004E03B1" w:rsidP="004E03B1" w:rsidRDefault="004E03B1" w14:paraId="0F2FEC70" w14:textId="77777777">
            <w:r w:rsidRPr="004E03B1">
              <w:t>64.0</w:t>
            </w:r>
          </w:p>
        </w:tc>
        <w:tc>
          <w:tcPr>
            <w:tcW w:w="0" w:type="auto"/>
            <w:tcBorders>
              <w:top w:val="single" w:color="E6E6E6" w:sz="6" w:space="0"/>
              <w:left w:val="single" w:color="E6E6E6" w:sz="6" w:space="0"/>
              <w:bottom w:val="single" w:color="E6E6E6" w:sz="6" w:space="0"/>
              <w:right w:val="single" w:color="E6E6E6" w:sz="6" w:space="0"/>
            </w:tcBorders>
            <w:vAlign w:val="center"/>
            <w:hideMark/>
          </w:tcPr>
          <w:p w:rsidRPr="004E03B1" w:rsidR="004E03B1" w:rsidP="004E03B1" w:rsidRDefault="004E03B1" w14:paraId="3C8E4101" w14:textId="77777777">
            <w:r w:rsidRPr="004E03B1">
              <w:t>40.5</w:t>
            </w:r>
          </w:p>
        </w:tc>
        <w:tc>
          <w:tcPr>
            <w:tcW w:w="0" w:type="auto"/>
            <w:tcBorders>
              <w:top w:val="single" w:color="E6E6E6" w:sz="6" w:space="0"/>
              <w:left w:val="single" w:color="E6E6E6" w:sz="6" w:space="0"/>
              <w:bottom w:val="single" w:color="E6E6E6" w:sz="6" w:space="0"/>
              <w:right w:val="single" w:color="E6E6E6" w:sz="6" w:space="0"/>
            </w:tcBorders>
            <w:vAlign w:val="center"/>
            <w:hideMark/>
          </w:tcPr>
          <w:p w:rsidRPr="004E03B1" w:rsidR="004E03B1" w:rsidP="004E03B1" w:rsidRDefault="004E03B1" w14:paraId="3860A5AC" w14:textId="77777777">
            <w:r w:rsidRPr="004E03B1">
              <w:t>+23.5</w:t>
            </w:r>
          </w:p>
        </w:tc>
      </w:tr>
      <w:tr w:rsidRPr="004E03B1" w:rsidR="004E03B1" w14:paraId="23C2142F" w14:textId="77777777">
        <w:trPr>
          <w:tblCellSpacing w:w="15" w:type="dxa"/>
        </w:trPr>
        <w:tc>
          <w:tcPr>
            <w:tcW w:w="0" w:type="auto"/>
            <w:tcBorders>
              <w:top w:val="single" w:color="E6E6E6" w:sz="6" w:space="0"/>
              <w:left w:val="single" w:color="E6E6E6" w:sz="6" w:space="0"/>
              <w:bottom w:val="single" w:color="E6E6E6" w:sz="6" w:space="0"/>
              <w:right w:val="single" w:color="E6E6E6" w:sz="6" w:space="0"/>
            </w:tcBorders>
            <w:vAlign w:val="center"/>
            <w:hideMark/>
          </w:tcPr>
          <w:p w:rsidRPr="004E03B1" w:rsidR="004E03B1" w:rsidP="004E03B1" w:rsidRDefault="004E03B1" w14:paraId="68A01C58" w14:textId="77777777">
            <w:r w:rsidRPr="004E03B1">
              <w:t>Male</w:t>
            </w:r>
          </w:p>
        </w:tc>
        <w:tc>
          <w:tcPr>
            <w:tcW w:w="0" w:type="auto"/>
            <w:tcBorders>
              <w:top w:val="single" w:color="E6E6E6" w:sz="6" w:space="0"/>
              <w:left w:val="single" w:color="E6E6E6" w:sz="6" w:space="0"/>
              <w:bottom w:val="single" w:color="E6E6E6" w:sz="6" w:space="0"/>
              <w:right w:val="single" w:color="E6E6E6" w:sz="6" w:space="0"/>
            </w:tcBorders>
            <w:vAlign w:val="center"/>
            <w:hideMark/>
          </w:tcPr>
          <w:p w:rsidRPr="004E03B1" w:rsidR="004E03B1" w:rsidP="004E03B1" w:rsidRDefault="004E03B1" w14:paraId="616C54AD" w14:textId="77777777">
            <w:r w:rsidRPr="004E03B1">
              <w:t>66.8</w:t>
            </w:r>
          </w:p>
        </w:tc>
        <w:tc>
          <w:tcPr>
            <w:tcW w:w="0" w:type="auto"/>
            <w:tcBorders>
              <w:top w:val="single" w:color="E6E6E6" w:sz="6" w:space="0"/>
              <w:left w:val="single" w:color="E6E6E6" w:sz="6" w:space="0"/>
              <w:bottom w:val="single" w:color="E6E6E6" w:sz="6" w:space="0"/>
              <w:right w:val="single" w:color="E6E6E6" w:sz="6" w:space="0"/>
            </w:tcBorders>
            <w:vAlign w:val="center"/>
            <w:hideMark/>
          </w:tcPr>
          <w:p w:rsidRPr="004E03B1" w:rsidR="004E03B1" w:rsidP="004E03B1" w:rsidRDefault="004E03B1" w14:paraId="13F96298" w14:textId="77777777">
            <w:r w:rsidRPr="004E03B1">
              <w:t>42.1</w:t>
            </w:r>
          </w:p>
        </w:tc>
        <w:tc>
          <w:tcPr>
            <w:tcW w:w="0" w:type="auto"/>
            <w:tcBorders>
              <w:top w:val="single" w:color="E6E6E6" w:sz="6" w:space="0"/>
              <w:left w:val="single" w:color="E6E6E6" w:sz="6" w:space="0"/>
              <w:bottom w:val="single" w:color="E6E6E6" w:sz="6" w:space="0"/>
              <w:right w:val="single" w:color="E6E6E6" w:sz="6" w:space="0"/>
            </w:tcBorders>
            <w:vAlign w:val="center"/>
            <w:hideMark/>
          </w:tcPr>
          <w:p w:rsidRPr="004E03B1" w:rsidR="004E03B1" w:rsidP="004E03B1" w:rsidRDefault="004E03B1" w14:paraId="61480A5A" w14:textId="77777777">
            <w:r w:rsidRPr="004E03B1">
              <w:t>+24.7</w:t>
            </w:r>
          </w:p>
        </w:tc>
      </w:tr>
      <w:tr w:rsidRPr="004E03B1" w:rsidR="004E03B1" w14:paraId="7BF8184F" w14:textId="77777777">
        <w:trPr>
          <w:tblCellSpacing w:w="15" w:type="dxa"/>
        </w:trPr>
        <w:tc>
          <w:tcPr>
            <w:tcW w:w="0" w:type="auto"/>
            <w:tcBorders>
              <w:top w:val="single" w:color="E6E6E6" w:sz="6" w:space="0"/>
              <w:left w:val="single" w:color="E6E6E6" w:sz="6" w:space="0"/>
              <w:bottom w:val="single" w:color="E6E6E6" w:sz="6" w:space="0"/>
              <w:right w:val="single" w:color="E6E6E6" w:sz="6" w:space="0"/>
            </w:tcBorders>
            <w:vAlign w:val="center"/>
            <w:hideMark/>
          </w:tcPr>
          <w:p w:rsidRPr="004E03B1" w:rsidR="004E03B1" w:rsidP="004E03B1" w:rsidRDefault="004E03B1" w14:paraId="678D21B8" w14:textId="77777777">
            <w:r w:rsidRPr="004E03B1">
              <w:t>Female</w:t>
            </w:r>
          </w:p>
        </w:tc>
        <w:tc>
          <w:tcPr>
            <w:tcW w:w="0" w:type="auto"/>
            <w:tcBorders>
              <w:top w:val="single" w:color="E6E6E6" w:sz="6" w:space="0"/>
              <w:left w:val="single" w:color="E6E6E6" w:sz="6" w:space="0"/>
              <w:bottom w:val="single" w:color="E6E6E6" w:sz="6" w:space="0"/>
              <w:right w:val="single" w:color="E6E6E6" w:sz="6" w:space="0"/>
            </w:tcBorders>
            <w:vAlign w:val="center"/>
            <w:hideMark/>
          </w:tcPr>
          <w:p w:rsidRPr="004E03B1" w:rsidR="004E03B1" w:rsidP="004E03B1" w:rsidRDefault="004E03B1" w14:paraId="2C537719" w14:textId="77777777">
            <w:r w:rsidRPr="004E03B1">
              <w:t>68.2</w:t>
            </w:r>
          </w:p>
        </w:tc>
        <w:tc>
          <w:tcPr>
            <w:tcW w:w="0" w:type="auto"/>
            <w:tcBorders>
              <w:top w:val="single" w:color="E6E6E6" w:sz="6" w:space="0"/>
              <w:left w:val="single" w:color="E6E6E6" w:sz="6" w:space="0"/>
              <w:bottom w:val="single" w:color="E6E6E6" w:sz="6" w:space="0"/>
              <w:right w:val="single" w:color="E6E6E6" w:sz="6" w:space="0"/>
            </w:tcBorders>
            <w:vAlign w:val="center"/>
            <w:hideMark/>
          </w:tcPr>
          <w:p w:rsidRPr="004E03B1" w:rsidR="004E03B1" w:rsidP="004E03B1" w:rsidRDefault="004E03B1" w14:paraId="190CB919" w14:textId="77777777">
            <w:r w:rsidRPr="004E03B1">
              <w:t>43.5</w:t>
            </w:r>
          </w:p>
        </w:tc>
        <w:tc>
          <w:tcPr>
            <w:tcW w:w="0" w:type="auto"/>
            <w:tcBorders>
              <w:top w:val="single" w:color="E6E6E6" w:sz="6" w:space="0"/>
              <w:left w:val="single" w:color="E6E6E6" w:sz="6" w:space="0"/>
              <w:bottom w:val="single" w:color="E6E6E6" w:sz="6" w:space="0"/>
              <w:right w:val="single" w:color="E6E6E6" w:sz="6" w:space="0"/>
            </w:tcBorders>
            <w:vAlign w:val="center"/>
            <w:hideMark/>
          </w:tcPr>
          <w:p w:rsidRPr="004E03B1" w:rsidR="004E03B1" w:rsidP="004E03B1" w:rsidRDefault="004E03B1" w14:paraId="1825C4B5" w14:textId="77777777">
            <w:r w:rsidRPr="004E03B1">
              <w:t>+24.7</w:t>
            </w:r>
          </w:p>
        </w:tc>
      </w:tr>
    </w:tbl>
    <w:p w:rsidRPr="004E03B1" w:rsidR="004E03B1" w:rsidP="004E03B1" w:rsidRDefault="004E03B1" w14:paraId="77C9969E" w14:textId="77777777">
      <w:r w:rsidRPr="004E03B1">
        <w:pict w14:anchorId="4E53D92D">
          <v:rect id="_x0000_i1189" style="width:0;height:1.5pt" o:hr="t" o:hrstd="t" o:hralign="center" fillcolor="#a0a0a0" stroked="f"/>
        </w:pict>
      </w:r>
    </w:p>
    <w:p w:rsidRPr="004E03B1" w:rsidR="004E03B1" w:rsidP="004E03B1" w:rsidRDefault="004E03B1" w14:paraId="0BA4186C" w14:textId="77777777">
      <w:r w:rsidRPr="004E03B1">
        <w:t>The treatment effect was consistent across all subgroups analyzed, with no evidence of heterogeneity. This supports the generalizability of the study findings across the target population.</w:t>
      </w:r>
    </w:p>
    <w:p w:rsidRPr="004E03B1" w:rsidR="004E03B1" w:rsidP="004E03B1" w:rsidRDefault="004E03B1" w14:paraId="3149A5CD" w14:textId="77777777">
      <w:r w:rsidRPr="004E03B1">
        <w:pict w14:anchorId="01BF688C">
          <v:rect id="_x0000_i1190" style="width:0;height:1.5pt" o:hr="t" o:hrstd="t" o:hralign="center" fillcolor="#a0a0a0" stroked="f"/>
        </w:pict>
      </w:r>
    </w:p>
    <w:p w:rsidRPr="004E03B1" w:rsidR="004E03B1" w:rsidP="004E03B1" w:rsidRDefault="004E03B1" w14:paraId="716A76A5" w14:textId="77777777">
      <w:pPr>
        <w:rPr>
          <w:b/>
          <w:bCs/>
        </w:rPr>
      </w:pPr>
      <w:r w:rsidRPr="004E03B1">
        <w:rPr>
          <w:b/>
          <w:bCs/>
        </w:rPr>
        <w:t>8. SENSITIVITY ANALYSES</w:t>
      </w:r>
    </w:p>
    <w:p w:rsidRPr="004E03B1" w:rsidR="004E03B1" w:rsidP="004E03B1" w:rsidRDefault="004E03B1" w14:paraId="1C569B98" w14:textId="77777777">
      <w:r w:rsidRPr="004E03B1">
        <w:t>Sensitivity analyses were conducted to assess the robustness of the primary endpoint results under alternative assumptions.</w:t>
      </w:r>
    </w:p>
    <w:p w:rsidRPr="004E03B1" w:rsidR="004E03B1" w:rsidP="004E03B1" w:rsidRDefault="004E03B1" w14:paraId="419BCF3D" w14:textId="77777777">
      <w:r w:rsidRPr="004E03B1">
        <w:t>These analyses included:</w:t>
      </w:r>
    </w:p>
    <w:p w:rsidRPr="004E03B1" w:rsidR="004E03B1" w:rsidP="004E03B1" w:rsidRDefault="004E03B1" w14:paraId="116A39C5" w14:textId="77777777">
      <w:pPr>
        <w:numPr>
          <w:ilvl w:val="0"/>
          <w:numId w:val="3"/>
        </w:numPr>
      </w:pPr>
      <w:r w:rsidRPr="004E03B1">
        <w:t>Alternate imputation methods for missing data</w:t>
      </w:r>
    </w:p>
    <w:p w:rsidRPr="004E03B1" w:rsidR="004E03B1" w:rsidP="004E03B1" w:rsidRDefault="004E03B1" w14:paraId="3336EF8B" w14:textId="77777777">
      <w:pPr>
        <w:numPr>
          <w:ilvl w:val="0"/>
          <w:numId w:val="3"/>
        </w:numPr>
      </w:pPr>
      <w:r w:rsidRPr="004E03B1">
        <w:t>Per-Protocol population analysis</w:t>
      </w:r>
    </w:p>
    <w:p w:rsidRPr="004E03B1" w:rsidR="004E03B1" w:rsidP="004E03B1" w:rsidRDefault="004E03B1" w14:paraId="5D906B14" w14:textId="77777777">
      <w:r w:rsidRPr="004E03B1">
        <w:t>Results from sensitivity analyses were consistent with the primary findings, supporting the reliability of conclusions.</w:t>
      </w:r>
    </w:p>
    <w:p w:rsidRPr="004E03B1" w:rsidR="004E03B1" w:rsidP="004E03B1" w:rsidRDefault="004E03B1" w14:paraId="0868D854" w14:textId="77777777">
      <w:r w:rsidRPr="004E03B1">
        <w:pict w14:anchorId="271A6421">
          <v:rect id="_x0000_i1191" style="width:0;height:1.5pt" o:hr="t" o:hrstd="t" o:hralign="center" fillcolor="#a0a0a0" stroked="f"/>
        </w:pict>
      </w:r>
    </w:p>
    <w:p w:rsidRPr="004E03B1" w:rsidR="004E03B1" w:rsidP="004E03B1" w:rsidRDefault="004E03B1" w14:paraId="393FBDDF" w14:textId="77777777">
      <w:pPr>
        <w:rPr>
          <w:b/>
          <w:bCs/>
        </w:rPr>
      </w:pPr>
      <w:r w:rsidRPr="004E03B1">
        <w:rPr>
          <w:b/>
          <w:bCs/>
        </w:rPr>
        <w:t>9. DISCUSSION OF EFFICACY</w:t>
      </w:r>
    </w:p>
    <w:p w:rsidRPr="004E03B1" w:rsidR="004E03B1" w:rsidP="004E03B1" w:rsidRDefault="004E03B1" w14:paraId="5D63E60F" w14:textId="77777777">
      <w:r w:rsidR="1FB86BDD">
        <w:rPr/>
        <w:t xml:space="preserve">The efficacy results from Study </w:t>
      </w:r>
      <w:r w:rsidRPr="5CCE3912" w:rsidR="1FB86BDD">
        <w:rPr>
          <w:highlight w:val="yellow"/>
        </w:rPr>
        <w:t>NCT01101035</w:t>
      </w:r>
      <w:r w:rsidR="1FB86BDD">
        <w:rPr/>
        <w:t xml:space="preserve"> demonstrate a clear and consistent treatment benefit of the investigational product compared to placebo.</w:t>
      </w:r>
    </w:p>
    <w:p w:rsidRPr="004E03B1" w:rsidR="004E03B1" w:rsidP="004E03B1" w:rsidRDefault="004E03B1" w14:paraId="5C7DA351" w14:textId="77777777">
      <w:r w:rsidRPr="004E03B1">
        <w:t>The primary endpoint showed a statistically significant improvement, supported by consistent findings across secondary endpoints and subgroup analyses. The magnitude of treatment effect observed is clinically meaningful.</w:t>
      </w:r>
    </w:p>
    <w:p w:rsidRPr="004E03B1" w:rsidR="004E03B1" w:rsidP="004E03B1" w:rsidRDefault="004E03B1" w14:paraId="5AEF3A68" w14:textId="485BD626">
      <w:r w:rsidR="1FB86BDD">
        <w:rPr/>
        <w:t xml:space="preserve">The results presented in this ISE are aligned with the efficacy findings reported in the </w:t>
      </w:r>
      <w:r w:rsidRPr="5CCE3912" w:rsidR="7B8DA563">
        <w:rPr>
          <w:highlight w:val="yellow"/>
        </w:rPr>
        <w:t>CSR</w:t>
      </w:r>
      <w:r w:rsidR="7B8DA563">
        <w:rPr/>
        <w:t xml:space="preserve"> </w:t>
      </w:r>
      <w:r w:rsidR="1FB86BDD">
        <w:rPr/>
        <w:t>and support the overall interpretation of treatment benefit.</w:t>
      </w:r>
    </w:p>
    <w:p w:rsidRPr="004E03B1" w:rsidR="004E03B1" w:rsidP="004E03B1" w:rsidRDefault="004E03B1" w14:paraId="26A09BC6" w14:textId="77777777">
      <w:r w:rsidRPr="004E03B1">
        <w:pict w14:anchorId="3A801258">
          <v:rect id="_x0000_i1192" style="width:0;height:1.5pt" o:hr="t" o:hrstd="t" o:hralign="center" fillcolor="#a0a0a0" stroked="f"/>
        </w:pict>
      </w:r>
    </w:p>
    <w:p w:rsidRPr="004E03B1" w:rsidR="004E03B1" w:rsidP="004E03B1" w:rsidRDefault="004E03B1" w14:paraId="7A84B54C" w14:textId="77777777">
      <w:pPr>
        <w:rPr>
          <w:b/>
          <w:bCs/>
        </w:rPr>
      </w:pPr>
      <w:r w:rsidRPr="004E03B1">
        <w:rPr>
          <w:b/>
          <w:bCs/>
        </w:rPr>
        <w:lastRenderedPageBreak/>
        <w:t>10. CONCLUSION</w:t>
      </w:r>
    </w:p>
    <w:p w:rsidRPr="004E03B1" w:rsidR="004E03B1" w:rsidP="004E03B1" w:rsidRDefault="004E03B1" w14:paraId="502C118E" w14:textId="77777777">
      <w:r w:rsidRPr="004E03B1">
        <w:t>In conclusion, treatment with the investigational product resulted in significant improvements in efficacy outcomes compared to placebo.</w:t>
      </w:r>
    </w:p>
    <w:p w:rsidRPr="004E03B1" w:rsidR="004E03B1" w:rsidP="004E03B1" w:rsidRDefault="004E03B1" w14:paraId="45AA529F" w14:textId="0FA7FE48">
      <w:r w:rsidR="1FB86BDD">
        <w:rPr/>
        <w:t>The evidence presented in this ISE supports the conclusions drawn in</w:t>
      </w:r>
      <w:r w:rsidR="1FB86BDD">
        <w:rPr/>
        <w:t xml:space="preserve"> the </w:t>
      </w:r>
      <w:r w:rsidR="7B8DA563">
        <w:rPr/>
        <w:t>CSR</w:t>
      </w:r>
      <w:r w:rsidR="7B8DA563">
        <w:rPr/>
        <w:t xml:space="preserve"> </w:t>
      </w:r>
      <w:r w:rsidR="1FB86BDD">
        <w:rPr/>
        <w:t>and p</w:t>
      </w:r>
      <w:r w:rsidR="1FB86BDD">
        <w:rPr/>
        <w:t>rovides a comprehensive assessment of efficacy for regulatory consideration.</w:t>
      </w:r>
    </w:p>
    <w:p w:rsidR="009A6CC7" w:rsidRDefault="009A6CC7" w14:paraId="43842DB3" w14:textId="77777777"/>
    <w:sectPr w:rsidR="009A6CC7">
      <w:pgSz w:w="11906" w:h="16838" w:orient="portrait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8811C7"/>
    <w:multiLevelType w:val="multilevel"/>
    <w:tmpl w:val="6A048F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" w15:restartNumberingAfterBreak="0">
    <w:nsid w:val="0BCC3F8D"/>
    <w:multiLevelType w:val="multilevel"/>
    <w:tmpl w:val="6506F6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2" w15:restartNumberingAfterBreak="0">
    <w:nsid w:val="2E675CCF"/>
    <w:multiLevelType w:val="multilevel"/>
    <w:tmpl w:val="7CCACB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3" w15:restartNumberingAfterBreak="0">
    <w:nsid w:val="3FC10967"/>
    <w:multiLevelType w:val="multilevel"/>
    <w:tmpl w:val="A52ACD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4" w15:restartNumberingAfterBreak="0">
    <w:nsid w:val="4D810A3B"/>
    <w:multiLevelType w:val="multilevel"/>
    <w:tmpl w:val="7158DA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5" w15:restartNumberingAfterBreak="0">
    <w:nsid w:val="53326CC8"/>
    <w:multiLevelType w:val="multilevel"/>
    <w:tmpl w:val="10AAC7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6" w15:restartNumberingAfterBreak="0">
    <w:nsid w:val="568B58C6"/>
    <w:multiLevelType w:val="multilevel"/>
    <w:tmpl w:val="FD1C9F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7" w15:restartNumberingAfterBreak="0">
    <w:nsid w:val="654A185E"/>
    <w:multiLevelType w:val="multilevel"/>
    <w:tmpl w:val="2220A6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num w:numId="1" w16cid:durableId="2043939849">
    <w:abstractNumId w:val="1"/>
  </w:num>
  <w:num w:numId="2" w16cid:durableId="1577011150">
    <w:abstractNumId w:val="6"/>
  </w:num>
  <w:num w:numId="3" w16cid:durableId="845481050">
    <w:abstractNumId w:val="7"/>
  </w:num>
  <w:num w:numId="4" w16cid:durableId="1741555361">
    <w:abstractNumId w:val="2"/>
  </w:num>
  <w:num w:numId="5" w16cid:durableId="931595979">
    <w:abstractNumId w:val="0"/>
  </w:num>
  <w:num w:numId="6" w16cid:durableId="314342699">
    <w:abstractNumId w:val="4"/>
  </w:num>
  <w:num w:numId="7" w16cid:durableId="1043093731">
    <w:abstractNumId w:val="3"/>
  </w:num>
  <w:num w:numId="8" w16cid:durableId="402795625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E03B1"/>
    <w:rsid w:val="00137821"/>
    <w:rsid w:val="0018C191"/>
    <w:rsid w:val="002D4759"/>
    <w:rsid w:val="004E03B1"/>
    <w:rsid w:val="006661A4"/>
    <w:rsid w:val="009A6CC7"/>
    <w:rsid w:val="00DD2852"/>
    <w:rsid w:val="09851DF0"/>
    <w:rsid w:val="0B86531F"/>
    <w:rsid w:val="1605C262"/>
    <w:rsid w:val="164175B6"/>
    <w:rsid w:val="199E23CC"/>
    <w:rsid w:val="1FB86BDD"/>
    <w:rsid w:val="2360B0AB"/>
    <w:rsid w:val="252BE76D"/>
    <w:rsid w:val="2BFB5568"/>
    <w:rsid w:val="310EF8E8"/>
    <w:rsid w:val="3347CEDA"/>
    <w:rsid w:val="38790EDF"/>
    <w:rsid w:val="392521A8"/>
    <w:rsid w:val="3D1BE1C5"/>
    <w:rsid w:val="3E6BE014"/>
    <w:rsid w:val="43182FEF"/>
    <w:rsid w:val="4B68E37C"/>
    <w:rsid w:val="52A7BDBC"/>
    <w:rsid w:val="5B76701E"/>
    <w:rsid w:val="5BA592CD"/>
    <w:rsid w:val="5CCE3912"/>
    <w:rsid w:val="6BD20F7E"/>
    <w:rsid w:val="746356F0"/>
    <w:rsid w:val="7B8DA56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783F174"/>
  <w15:chartTrackingRefBased/>
  <w15:docId w15:val="{64A56D90-E638-4F24-AE1B-B1213C1DA02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hAnsiTheme="minorHAnsi" w:eastAsia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E03B1"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E03B1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E03B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E03B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E03B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E03B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E03B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E03B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E03B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styleId="DefaultParagraphFont" w:default="1">
    <w:name w:val="Default Paragraph Font"/>
    <w:uiPriority w:val="1"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character" w:styleId="Heading1Char" w:customStyle="1">
    <w:name w:val="Heading 1 Char"/>
    <w:basedOn w:val="DefaultParagraphFont"/>
    <w:link w:val="Heading1"/>
    <w:uiPriority w:val="9"/>
    <w:rsid w:val="004E03B1"/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character" w:styleId="Heading2Char" w:customStyle="1">
    <w:name w:val="Heading 2 Char"/>
    <w:basedOn w:val="DefaultParagraphFont"/>
    <w:link w:val="Heading2"/>
    <w:uiPriority w:val="9"/>
    <w:semiHidden/>
    <w:rsid w:val="004E03B1"/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character" w:styleId="Heading3Char" w:customStyle="1">
    <w:name w:val="Heading 3 Char"/>
    <w:basedOn w:val="DefaultParagraphFont"/>
    <w:link w:val="Heading3"/>
    <w:uiPriority w:val="9"/>
    <w:semiHidden/>
    <w:rsid w:val="004E03B1"/>
    <w:rPr>
      <w:rFonts w:eastAsiaTheme="majorEastAsia" w:cstheme="majorBidi"/>
      <w:color w:val="0F4761" w:themeColor="accent1" w:themeShade="BF"/>
      <w:sz w:val="28"/>
      <w:szCs w:val="28"/>
    </w:rPr>
  </w:style>
  <w:style w:type="character" w:styleId="Heading4Char" w:customStyle="1">
    <w:name w:val="Heading 4 Char"/>
    <w:basedOn w:val="DefaultParagraphFont"/>
    <w:link w:val="Heading4"/>
    <w:uiPriority w:val="9"/>
    <w:semiHidden/>
    <w:rsid w:val="004E03B1"/>
    <w:rPr>
      <w:rFonts w:eastAsiaTheme="majorEastAsia" w:cstheme="majorBidi"/>
      <w:i/>
      <w:iCs/>
      <w:color w:val="0F4761" w:themeColor="accent1" w:themeShade="BF"/>
    </w:rPr>
  </w:style>
  <w:style w:type="character" w:styleId="Heading5Char" w:customStyle="1">
    <w:name w:val="Heading 5 Char"/>
    <w:basedOn w:val="DefaultParagraphFont"/>
    <w:link w:val="Heading5"/>
    <w:uiPriority w:val="9"/>
    <w:semiHidden/>
    <w:rsid w:val="004E03B1"/>
    <w:rPr>
      <w:rFonts w:eastAsiaTheme="majorEastAsia" w:cstheme="majorBidi"/>
      <w:color w:val="0F4761" w:themeColor="accent1" w:themeShade="BF"/>
    </w:rPr>
  </w:style>
  <w:style w:type="character" w:styleId="Heading6Char" w:customStyle="1">
    <w:name w:val="Heading 6 Char"/>
    <w:basedOn w:val="DefaultParagraphFont"/>
    <w:link w:val="Heading6"/>
    <w:uiPriority w:val="9"/>
    <w:semiHidden/>
    <w:rsid w:val="004E03B1"/>
    <w:rPr>
      <w:rFonts w:eastAsiaTheme="majorEastAsia" w:cstheme="majorBidi"/>
      <w:i/>
      <w:iCs/>
      <w:color w:val="595959" w:themeColor="text1" w:themeTint="A6"/>
    </w:rPr>
  </w:style>
  <w:style w:type="character" w:styleId="Heading7Char" w:customStyle="1">
    <w:name w:val="Heading 7 Char"/>
    <w:basedOn w:val="DefaultParagraphFont"/>
    <w:link w:val="Heading7"/>
    <w:uiPriority w:val="9"/>
    <w:semiHidden/>
    <w:rsid w:val="004E03B1"/>
    <w:rPr>
      <w:rFonts w:eastAsiaTheme="majorEastAsia" w:cstheme="majorBidi"/>
      <w:color w:val="595959" w:themeColor="text1" w:themeTint="A6"/>
    </w:rPr>
  </w:style>
  <w:style w:type="character" w:styleId="Heading8Char" w:customStyle="1">
    <w:name w:val="Heading 8 Char"/>
    <w:basedOn w:val="DefaultParagraphFont"/>
    <w:link w:val="Heading8"/>
    <w:uiPriority w:val="9"/>
    <w:semiHidden/>
    <w:rsid w:val="004E03B1"/>
    <w:rPr>
      <w:rFonts w:eastAsiaTheme="majorEastAsia" w:cstheme="majorBidi"/>
      <w:i/>
      <w:iCs/>
      <w:color w:val="272727" w:themeColor="text1" w:themeTint="D8"/>
    </w:rPr>
  </w:style>
  <w:style w:type="character" w:styleId="Heading9Char" w:customStyle="1">
    <w:name w:val="Heading 9 Char"/>
    <w:basedOn w:val="DefaultParagraphFont"/>
    <w:link w:val="Heading9"/>
    <w:uiPriority w:val="9"/>
    <w:semiHidden/>
    <w:rsid w:val="004E03B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E03B1"/>
    <w:pPr>
      <w:spacing w:after="80" w:line="240" w:lineRule="auto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styleId="TitleChar" w:customStyle="1">
    <w:name w:val="Title Char"/>
    <w:basedOn w:val="DefaultParagraphFont"/>
    <w:link w:val="Title"/>
    <w:uiPriority w:val="10"/>
    <w:rsid w:val="004E03B1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E03B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styleId="SubtitleChar" w:customStyle="1">
    <w:name w:val="Subtitle Char"/>
    <w:basedOn w:val="DefaultParagraphFont"/>
    <w:link w:val="Subtitle"/>
    <w:uiPriority w:val="11"/>
    <w:rsid w:val="004E03B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E03B1"/>
    <w:pPr>
      <w:spacing w:before="160"/>
      <w:jc w:val="center"/>
    </w:pPr>
    <w:rPr>
      <w:i/>
      <w:iCs/>
      <w:color w:val="404040" w:themeColor="text1" w:themeTint="BF"/>
    </w:rPr>
  </w:style>
  <w:style w:type="character" w:styleId="QuoteChar" w:customStyle="1">
    <w:name w:val="Quote Char"/>
    <w:basedOn w:val="DefaultParagraphFont"/>
    <w:link w:val="Quote"/>
    <w:uiPriority w:val="29"/>
    <w:rsid w:val="004E03B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E03B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E03B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E03B1"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styleId="IntenseQuoteChar" w:customStyle="1">
    <w:name w:val="Intense Quote Char"/>
    <w:basedOn w:val="DefaultParagraphFont"/>
    <w:link w:val="IntenseQuote"/>
    <w:uiPriority w:val="30"/>
    <w:rsid w:val="004E03B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E03B1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6661A4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6661A4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fontTable" Target="fontTable.xml" Id="rId18" /><Relationship Type="http://schemas.openxmlformats.org/officeDocument/2006/relationships/settings" Target="settings.xml" Id="rId3" /><Relationship Type="http://schemas.openxmlformats.org/officeDocument/2006/relationships/styles" Target="styles.xml" Id="rId2" /><Relationship Type="http://schemas.openxmlformats.org/officeDocument/2006/relationships/numbering" Target="numbering.xml" Id="rId1" /><Relationship Type="http://schemas.openxmlformats.org/officeDocument/2006/relationships/theme" Target="theme/theme1.xml" Id="rId19" /><Relationship Type="http://schemas.openxmlformats.org/officeDocument/2006/relationships/webSettings" Target="webSettings.xml" Id="rId4" /></Relationships>
</file>

<file path=word/theme/theme1.xml><?xml version="1.0" encoding="utf-8"?>
<a:theme xmlns:a="http://schemas.openxmlformats.org/drawingml/2006/main" xmlns:thm15="http://schemas.microsoft.com/office/thememl/2012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Normal.dotm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Gollapally Vihari</dc:creator>
  <keywords/>
  <dc:description/>
  <lastModifiedBy>Gollapally Vihari</lastModifiedBy>
  <revision>5</revision>
  <dcterms:created xsi:type="dcterms:W3CDTF">2026-06-11T09:57:00.0000000Z</dcterms:created>
  <dcterms:modified xsi:type="dcterms:W3CDTF">2026-06-19T05:52:17.6613359Z</dcterms:modified>
</coreProperties>
</file>