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003E2" w:rsidR="008003E2" w:rsidP="008003E2" w:rsidRDefault="008003E2" w14:paraId="4FA1B6C0" w14:textId="6EE339D2">
      <w:pPr>
        <w:rPr>
          <w:b/>
          <w:bCs/>
        </w:rPr>
      </w:pPr>
      <w:r w:rsidRPr="008003E2">
        <w:rPr>
          <w:b/>
          <w:bCs/>
        </w:rPr>
        <w:t>INTEGRATED SUMMARY OF SAFETY (ISS)</w:t>
      </w:r>
    </w:p>
    <w:p w:rsidRPr="008003E2" w:rsidR="008003E2" w:rsidP="008003E2" w:rsidRDefault="008003E2" w14:paraId="09ECD39F" w14:textId="77777777">
      <w:pPr>
        <w:rPr>
          <w:b/>
          <w:bCs/>
        </w:rPr>
      </w:pPr>
      <w:r w:rsidRPr="008003E2">
        <w:rPr>
          <w:b/>
          <w:bCs/>
        </w:rPr>
        <w:t>Study NCT01101035</w:t>
      </w:r>
    </w:p>
    <w:p w:rsidRPr="008003E2" w:rsidR="008003E2" w:rsidP="008003E2" w:rsidRDefault="008003E2" w14:paraId="5D7F3581" w14:textId="77777777">
      <w:r w:rsidRPr="008003E2">
        <w:pict w14:anchorId="4A700125">
          <v:rect id="_x0000_i1182" style="width:0;height:1.5pt" o:hr="t" o:hrstd="t" o:hralign="center" fillcolor="#a0a0a0" stroked="f"/>
        </w:pict>
      </w:r>
    </w:p>
    <w:p w:rsidRPr="008003E2" w:rsidR="008003E2" w:rsidP="008003E2" w:rsidRDefault="008003E2" w14:paraId="74347F49" w14:textId="77777777">
      <w:pPr>
        <w:rPr>
          <w:b/>
          <w:bCs/>
        </w:rPr>
      </w:pPr>
      <w:r w:rsidRPr="008003E2">
        <w:rPr>
          <w:b/>
          <w:bCs/>
        </w:rPr>
        <w:t>1. INTRODUCTION</w:t>
      </w:r>
    </w:p>
    <w:p w:rsidRPr="008003E2" w:rsidR="008003E2" w:rsidP="008003E2" w:rsidRDefault="008003E2" w14:paraId="1D04032A" w14:textId="2E1F9790">
      <w:r w:rsidR="008003E2">
        <w:rPr/>
        <w:t xml:space="preserve">This Integrated Summary of Safety (ISS) provides a comprehensive evaluation of the safety profile of the investigational product in Study </w:t>
      </w:r>
      <w:r w:rsidRPr="796AF954" w:rsidR="004A6168">
        <w:rPr>
          <w:highlight w:val="yellow"/>
        </w:rPr>
        <w:t>NCT01101035</w:t>
      </w:r>
      <w:r w:rsidR="008003E2">
        <w:rPr/>
        <w:t>.</w:t>
      </w:r>
    </w:p>
    <w:p w:rsidRPr="008003E2" w:rsidR="008003E2" w:rsidP="008003E2" w:rsidRDefault="008003E2" w14:paraId="3DFA2E9C" w14:textId="60C8C862">
      <w:r w:rsidR="008003E2">
        <w:rPr/>
        <w:t>Safety analyses presented in this document are based on the predefined methodologies described in the Statistical Analysis Plan (</w:t>
      </w:r>
      <w:r w:rsidRPr="796AF954" w:rsidR="008003E2">
        <w:rPr>
          <w:highlight w:val="yellow"/>
        </w:rPr>
        <w:t>SAP</w:t>
      </w:r>
      <w:r w:rsidR="008003E2">
        <w:rPr/>
        <w:t>). The study design and safety assessments are described in the study protocol, and the detailed safety results are reported in the Clinical Study Report (</w:t>
      </w:r>
      <w:r w:rsidRPr="796AF954" w:rsidR="008003E2">
        <w:rPr>
          <w:highlight w:val="yellow"/>
        </w:rPr>
        <w:t>CSR</w:t>
      </w:r>
      <w:r w:rsidR="008003E2">
        <w:rPr/>
        <w:t>).</w:t>
      </w:r>
    </w:p>
    <w:p w:rsidRPr="008003E2" w:rsidR="008003E2" w:rsidP="008003E2" w:rsidRDefault="008003E2" w14:paraId="41DAF408" w14:textId="77777777">
      <w:r w:rsidRPr="008003E2">
        <w:t>The purpose of this ISS is to integrate safety findings and assess the overall safety and tolerability of the investigational product.</w:t>
      </w:r>
    </w:p>
    <w:p w:rsidRPr="008003E2" w:rsidR="008003E2" w:rsidP="008003E2" w:rsidRDefault="008003E2" w14:paraId="07D0BD30" w14:textId="77777777">
      <w:r w:rsidRPr="008003E2">
        <w:pict w14:anchorId="45E8B70B">
          <v:rect id="_x0000_i1183" style="width:0;height:1.5pt" o:hr="t" o:hrstd="t" o:hralign="center" fillcolor="#a0a0a0" stroked="f"/>
        </w:pict>
      </w:r>
    </w:p>
    <w:p w:rsidRPr="008003E2" w:rsidR="008003E2" w:rsidP="008003E2" w:rsidRDefault="008003E2" w14:paraId="6DF68B97" w14:textId="77777777">
      <w:pPr>
        <w:rPr>
          <w:b/>
          <w:bCs/>
        </w:rPr>
      </w:pPr>
      <w:r w:rsidRPr="008003E2">
        <w:rPr>
          <w:b/>
          <w:bCs/>
        </w:rPr>
        <w:t>2. STUDY OVERVIEW AND SAFETY FRAMEWORK</w:t>
      </w:r>
    </w:p>
    <w:p w:rsidRPr="008003E2" w:rsidR="008003E2" w:rsidP="008003E2" w:rsidRDefault="008003E2" w14:paraId="2655FFB1" w14:textId="77777777">
      <w:r w:rsidRPr="008003E2">
        <w:t>Study NCT01101035 is a randomized, double-blind, placebo-controlled clinical trial conducted over a 24-week treatment period.</w:t>
      </w:r>
    </w:p>
    <w:p w:rsidRPr="004A6168" w:rsidR="008003E2" w:rsidP="796AF954" w:rsidRDefault="008003E2" w14:paraId="4C3EE910" w14:textId="5C1FB0F9">
      <w:pPr>
        <w:pStyle w:val="Normal"/>
        <w:rPr>
          <w:b w:val="1"/>
          <w:bCs w:val="1"/>
        </w:rPr>
      </w:pPr>
      <w:r w:rsidR="008003E2">
        <w:rPr/>
        <w:t xml:space="preserve">The study design and treatment exposure are described in </w:t>
      </w:r>
      <w:r w:rsidRPr="403BAFD6" w:rsidR="12C79EC1">
        <w:rPr>
          <w:b w:val="1"/>
          <w:bCs w:val="1"/>
          <w:highlight w:val="yellow"/>
        </w:rPr>
        <w:t>Study ID</w:t>
      </w:r>
      <w:r w:rsidRPr="403BAFD6" w:rsidR="008003E2">
        <w:rPr>
          <w:b w:val="1"/>
          <w:bCs w:val="1"/>
          <w:highlight w:val="yellow"/>
        </w:rPr>
        <w:t xml:space="preserve"> </w:t>
      </w:r>
      <w:r w:rsidRPr="403BAFD6" w:rsidR="6905F9FF">
        <w:rPr>
          <w:rFonts w:ascii="Aptos" w:hAnsi="Aptos" w:eastAsia="Aptos" w:cs="Aptos"/>
          <w:b w:val="1"/>
          <w:bCs w:val="1"/>
          <w:noProof w:val="0"/>
          <w:sz w:val="22"/>
          <w:szCs w:val="22"/>
          <w:highlight w:val="yellow"/>
          <w:lang w:val="en-IN"/>
        </w:rPr>
        <w:t xml:space="preserve">TMX-67_301 </w:t>
      </w:r>
      <w:r w:rsidRPr="403BAFD6" w:rsidR="008003E2">
        <w:rPr>
          <w:b w:val="1"/>
          <w:bCs w:val="1"/>
          <w:highlight w:val="yellow"/>
        </w:rPr>
        <w:t>Section 6.1</w:t>
      </w:r>
      <w:r w:rsidR="008003E2">
        <w:rPr/>
        <w:t xml:space="preserve">, while safety analyses are conducted </w:t>
      </w:r>
      <w:r w:rsidR="008003E2">
        <w:rPr/>
        <w:t>in accordance with</w:t>
      </w:r>
      <w:r w:rsidR="008003E2">
        <w:rPr/>
        <w:t xml:space="preserve"> </w:t>
      </w:r>
      <w:r w:rsidRPr="403BAFD6" w:rsidR="008003E2">
        <w:rPr>
          <w:b w:val="1"/>
          <w:bCs w:val="1"/>
          <w:highlight w:val="yellow"/>
        </w:rPr>
        <w:t>SAP</w:t>
      </w:r>
      <w:r w:rsidRPr="403BAFD6" w:rsidR="008003E2">
        <w:rPr>
          <w:b w:val="1"/>
          <w:bCs w:val="1"/>
          <w:highlight w:val="yellow"/>
        </w:rPr>
        <w:t xml:space="preserve"> Section 6</w:t>
      </w:r>
      <w:r w:rsidR="008003E2">
        <w:rPr/>
        <w:t xml:space="preserve">. The results summarized here are derived from the safety analyses presented in the </w:t>
      </w:r>
      <w:r w:rsidRPr="403BAFD6" w:rsidR="008003E2">
        <w:rPr>
          <w:highlight w:val="yellow"/>
        </w:rPr>
        <w:t>CSR</w:t>
      </w:r>
      <w:r w:rsidR="008003E2">
        <w:rPr/>
        <w:t>.</w:t>
      </w:r>
    </w:p>
    <w:p w:rsidRPr="008003E2" w:rsidR="008003E2" w:rsidP="008003E2" w:rsidRDefault="008003E2" w14:paraId="247FFAC2" w14:textId="77777777">
      <w:r w:rsidRPr="008003E2">
        <w:t>Safety evaluation includes adverse events, laboratory parameters, and vital signs.</w:t>
      </w:r>
    </w:p>
    <w:p w:rsidRPr="008003E2" w:rsidR="008003E2" w:rsidP="008003E2" w:rsidRDefault="008003E2" w14:paraId="5CC3A630" w14:textId="77777777">
      <w:r w:rsidRPr="008003E2">
        <w:pict w14:anchorId="0BC2E93B">
          <v:rect id="_x0000_i1184" style="width:0;height:1.5pt" o:hr="t" o:hrstd="t" o:hralign="center" fillcolor="#a0a0a0" stroked="f"/>
        </w:pict>
      </w:r>
    </w:p>
    <w:p w:rsidRPr="008003E2" w:rsidR="008003E2" w:rsidP="008003E2" w:rsidRDefault="008003E2" w14:paraId="58CB64BD" w14:textId="77777777">
      <w:pPr>
        <w:rPr>
          <w:b/>
          <w:bCs/>
        </w:rPr>
      </w:pPr>
      <w:r w:rsidRPr="008003E2">
        <w:rPr>
          <w:b/>
          <w:bCs/>
        </w:rPr>
        <w:t>3. ANALYSIS POPULATIONS</w:t>
      </w:r>
    </w:p>
    <w:p w:rsidRPr="008003E2" w:rsidR="008003E2" w:rsidP="008003E2" w:rsidRDefault="008003E2" w14:paraId="0DE496AE" w14:textId="77777777">
      <w:r w:rsidRPr="008003E2">
        <w:t xml:space="preserve">Safety analyses are based on the </w:t>
      </w:r>
      <w:r w:rsidRPr="008003E2">
        <w:rPr>
          <w:b/>
          <w:bCs/>
        </w:rPr>
        <w:t>Safety Population</w:t>
      </w:r>
      <w:r w:rsidRPr="008003E2">
        <w:t>, defined as all subjects who received at least one dose of study medication.</w:t>
      </w:r>
    </w:p>
    <w:p w:rsidRPr="008003E2" w:rsidR="008003E2" w:rsidP="008003E2" w:rsidRDefault="008003E2" w14:paraId="157559E5" w14:textId="77777777">
      <w:r w:rsidR="008003E2">
        <w:rPr/>
        <w:t xml:space="preserve">The definition of the Safety population aligns with the analysis populations described in the </w:t>
      </w:r>
      <w:r w:rsidRPr="796AF954" w:rsidR="008003E2">
        <w:rPr>
          <w:highlight w:val="yellow"/>
        </w:rPr>
        <w:t>SAP</w:t>
      </w:r>
      <w:r w:rsidR="008003E2">
        <w:rPr/>
        <w:t xml:space="preserve"> and is consistent with subject treatment exposure defined in the protocol.</w:t>
      </w:r>
    </w:p>
    <w:p w:rsidRPr="008003E2" w:rsidR="008003E2" w:rsidP="008003E2" w:rsidRDefault="008003E2" w14:paraId="52066102" w14:textId="77777777">
      <w:r w:rsidRPr="008003E2">
        <w:pict w14:anchorId="4F7A33CE">
          <v:rect id="_x0000_i1185" style="width:0;height:1.5pt" o:hr="t" o:hrstd="t" o:hralign="center" fillcolor="#a0a0a0" stroked="f"/>
        </w:pict>
      </w:r>
    </w:p>
    <w:p w:rsidRPr="008003E2" w:rsidR="008003E2" w:rsidP="008003E2" w:rsidRDefault="008003E2" w14:paraId="59C47A1E" w14:textId="77777777">
      <w:pPr>
        <w:rPr>
          <w:b/>
          <w:bCs/>
        </w:rPr>
      </w:pPr>
      <w:r w:rsidRPr="008003E2">
        <w:rPr>
          <w:b/>
          <w:bCs/>
        </w:rPr>
        <w:t>4. EXTENT OF EXPOSURE</w:t>
      </w:r>
    </w:p>
    <w:p w:rsidRPr="008003E2" w:rsidR="008003E2" w:rsidP="008003E2" w:rsidRDefault="008003E2" w14:paraId="618DBC6B" w14:textId="77777777">
      <w:r w:rsidRPr="008003E2">
        <w:t>The extent of exposure to study treatment is an important factor in the interpretation of safety outcomes.</w:t>
      </w:r>
    </w:p>
    <w:p w:rsidRPr="008003E2" w:rsidR="008003E2" w:rsidP="008003E2" w:rsidRDefault="008003E2" w14:paraId="158247D0" w14:textId="77777777">
      <w:r w:rsidR="008003E2">
        <w:rPr/>
        <w:t xml:space="preserve">Exposure duration and treatment compliance were assessed as part of safety evaluation and are summarized in </w:t>
      </w:r>
      <w:r w:rsidRPr="796AF954" w:rsidR="008003E2">
        <w:rPr>
          <w:highlight w:val="yellow"/>
        </w:rPr>
        <w:t>Table 4.1.1</w:t>
      </w:r>
      <w:r w:rsidR="008003E2">
        <w:rPr/>
        <w:t>.</w:t>
      </w:r>
    </w:p>
    <w:p w:rsidRPr="008003E2" w:rsidR="008003E2" w:rsidP="008003E2" w:rsidRDefault="008003E2" w14:paraId="4209C277" w14:textId="77777777"/>
    <w:p w:rsidR="796AF954" w:rsidRDefault="796AF954" w14:paraId="546238C7" w14:textId="02D6B71A"/>
    <w:p w:rsidR="796AF954" w:rsidRDefault="796AF954" w14:paraId="15C698D9" w14:textId="15502B3C"/>
    <w:p w:rsidRPr="008003E2" w:rsidR="008003E2" w:rsidP="008003E2" w:rsidRDefault="008003E2" w14:paraId="0B762926" w14:textId="77777777">
      <w:pPr>
        <w:rPr>
          <w:b/>
          <w:bCs/>
        </w:rPr>
      </w:pPr>
      <w:r w:rsidRPr="008003E2">
        <w:rPr>
          <w:b/>
          <w:bCs/>
        </w:rPr>
        <w:t>Table 4.1.1: Extent of Exposure (Safety Population)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1917"/>
        <w:gridCol w:w="1708"/>
        <w:gridCol w:w="1392"/>
      </w:tblGrid>
      <w:tr w:rsidRPr="008003E2" w:rsidR="008003E2" w14:paraId="048E55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4F154915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7EA17FE5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Treatment (N=240)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14B46928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Placebo (N=240)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6832EBD6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Total (N=480)</w:t>
            </w:r>
          </w:p>
        </w:tc>
      </w:tr>
      <w:tr w:rsidRPr="008003E2" w:rsidR="008003E2" w14:paraId="1C11324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6370D50C" w14:textId="77777777">
            <w:r w:rsidRPr="008003E2">
              <w:t>Subjects exposed,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7AAA1701" w14:textId="77777777">
            <w:r w:rsidRPr="008003E2">
              <w:t>240 (100%)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6A4185E9" w14:textId="77777777">
            <w:r w:rsidRPr="008003E2">
              <w:t>240 (100%)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6EBB21EB" w14:textId="77777777">
            <w:r w:rsidRPr="008003E2">
              <w:t>480 (100%)</w:t>
            </w:r>
          </w:p>
        </w:tc>
      </w:tr>
      <w:tr w:rsidRPr="008003E2" w:rsidR="008003E2" w14:paraId="466D7AF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5AC1A115" w14:textId="77777777">
            <w:r w:rsidRPr="008003E2">
              <w:t>Mean duration of exposure (weeks)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514D88AE" w14:textId="77777777">
            <w:r w:rsidRPr="008003E2">
              <w:t>23.1 (4.2)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26816430" w14:textId="77777777">
            <w:r w:rsidRPr="008003E2">
              <w:t>22.8 (4.5)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4CED4B45" w14:textId="77777777">
            <w:r w:rsidRPr="008003E2">
              <w:t>23.0 (4.3)</w:t>
            </w:r>
          </w:p>
        </w:tc>
      </w:tr>
      <w:tr w:rsidRPr="008003E2" w:rsidR="008003E2" w14:paraId="2FF006D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711455CF" w14:textId="77777777">
            <w:r w:rsidRPr="008003E2">
              <w:t>Subjects ≥20 weeks exposure,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342CE9D9" w14:textId="77777777">
            <w:r w:rsidRPr="008003E2">
              <w:t>210 (87.5%)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3A140937" w14:textId="77777777">
            <w:r w:rsidRPr="008003E2">
              <w:t>205 (85.4%)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2DB26596" w14:textId="77777777">
            <w:r w:rsidRPr="008003E2">
              <w:t>415 (86.5%)</w:t>
            </w:r>
          </w:p>
        </w:tc>
      </w:tr>
    </w:tbl>
    <w:p w:rsidRPr="008003E2" w:rsidR="008003E2" w:rsidP="008003E2" w:rsidRDefault="008003E2" w14:paraId="2642DCF7" w14:textId="77777777">
      <w:r w:rsidRPr="008003E2">
        <w:pict w14:anchorId="2447B222">
          <v:rect id="_x0000_i1187" style="width:0;height:1.5pt" o:hr="t" o:hrstd="t" o:hralign="center" fillcolor="#a0a0a0" stroked="f"/>
        </w:pict>
      </w:r>
    </w:p>
    <w:p w:rsidRPr="008003E2" w:rsidR="008003E2" w:rsidP="008003E2" w:rsidRDefault="008003E2" w14:paraId="6E23C36C" w14:textId="77777777">
      <w:r w:rsidRPr="008003E2">
        <w:t>The exposure to treatment was comparable between groups, allowing for balanced evaluation of safety outcomes.</w:t>
      </w:r>
    </w:p>
    <w:p w:rsidRPr="008003E2" w:rsidR="008003E2" w:rsidP="008003E2" w:rsidRDefault="008003E2" w14:paraId="6D0D0250" w14:textId="77777777">
      <w:r w:rsidRPr="008003E2">
        <w:pict w14:anchorId="6D897DB1">
          <v:rect id="_x0000_i1188" style="width:0;height:1.5pt" o:hr="t" o:hrstd="t" o:hralign="center" fillcolor="#a0a0a0" stroked="f"/>
        </w:pict>
      </w:r>
    </w:p>
    <w:p w:rsidRPr="008003E2" w:rsidR="008003E2" w:rsidP="008003E2" w:rsidRDefault="008003E2" w14:paraId="271EAF79" w14:textId="77777777">
      <w:pPr>
        <w:rPr>
          <w:b/>
          <w:bCs/>
        </w:rPr>
      </w:pPr>
      <w:r w:rsidRPr="008003E2">
        <w:rPr>
          <w:b/>
          <w:bCs/>
        </w:rPr>
        <w:t>5. OVERALL SAFETY RESULTS</w:t>
      </w:r>
    </w:p>
    <w:p w:rsidRPr="008003E2" w:rsidR="008003E2" w:rsidP="008003E2" w:rsidRDefault="008003E2" w14:paraId="5F3E8AE6" w14:textId="77777777">
      <w:pPr>
        <w:rPr>
          <w:b/>
          <w:bCs/>
        </w:rPr>
      </w:pPr>
      <w:r w:rsidRPr="008003E2">
        <w:rPr>
          <w:b/>
          <w:bCs/>
        </w:rPr>
        <w:t>5.1 Summary of Adverse Events</w:t>
      </w:r>
    </w:p>
    <w:p w:rsidRPr="008003E2" w:rsidR="008003E2" w:rsidP="008003E2" w:rsidRDefault="008003E2" w14:paraId="7D638081" w14:textId="02280D86">
      <w:r w:rsidR="008003E2">
        <w:rPr/>
        <w:t xml:space="preserve">Adverse events were evaluated according to definitions provided in </w:t>
      </w:r>
      <w:r w:rsidRPr="796AF954" w:rsidR="008003E2">
        <w:rPr>
          <w:b w:val="1"/>
          <w:bCs w:val="1"/>
          <w:highlight w:val="yellow"/>
        </w:rPr>
        <w:t>SAP</w:t>
      </w:r>
      <w:r w:rsidRPr="796AF954" w:rsidR="008003E2">
        <w:rPr>
          <w:b w:val="1"/>
          <w:bCs w:val="1"/>
          <w:highlight w:val="yellow"/>
        </w:rPr>
        <w:t xml:space="preserve"> Section 6.1</w:t>
      </w:r>
      <w:r w:rsidR="008003E2">
        <w:rPr/>
        <w:t xml:space="preserve">, including classification by severity and relationship to study treatment. The corresponding results are reported in the </w:t>
      </w:r>
      <w:r w:rsidRPr="796AF954" w:rsidR="004A6168">
        <w:rPr>
          <w:highlight w:val="yellow"/>
        </w:rPr>
        <w:t>CSR</w:t>
      </w:r>
      <w:r w:rsidR="008003E2">
        <w:rPr/>
        <w:t>.</w:t>
      </w:r>
    </w:p>
    <w:p w:rsidRPr="008003E2" w:rsidR="008003E2" w:rsidP="008003E2" w:rsidRDefault="008003E2" w14:paraId="6D45C4BB" w14:textId="77777777">
      <w:r w:rsidR="008003E2">
        <w:rPr/>
        <w:t xml:space="preserve">The overall incidence of adverse events is summarized in </w:t>
      </w:r>
      <w:r w:rsidRPr="796AF954" w:rsidR="008003E2">
        <w:rPr>
          <w:highlight w:val="yellow"/>
        </w:rPr>
        <w:t>Table 5.1.1</w:t>
      </w:r>
      <w:r w:rsidR="008003E2">
        <w:rPr/>
        <w:t>.</w:t>
      </w:r>
    </w:p>
    <w:p w:rsidRPr="008003E2" w:rsidR="008003E2" w:rsidP="008003E2" w:rsidRDefault="008003E2" w14:paraId="28991B1E" w14:textId="77777777">
      <w:r w:rsidRPr="008003E2">
        <w:pict w14:anchorId="4EA7EA1C">
          <v:rect id="_x0000_i1189" style="width:0;height:1.5pt" o:hr="t" o:hrstd="t" o:hralign="center" fillcolor="#a0a0a0" stroked="f"/>
        </w:pict>
      </w:r>
    </w:p>
    <w:p w:rsidRPr="008003E2" w:rsidR="008003E2" w:rsidP="008003E2" w:rsidRDefault="008003E2" w14:paraId="14B21801" w14:textId="77777777">
      <w:pPr>
        <w:rPr>
          <w:b/>
          <w:bCs/>
        </w:rPr>
      </w:pPr>
      <w:r w:rsidRPr="008003E2">
        <w:rPr>
          <w:b/>
          <w:bCs/>
        </w:rPr>
        <w:t>Table 5.1.1: Summary of Adverse Events (Safety Population)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1917"/>
        <w:gridCol w:w="1708"/>
        <w:gridCol w:w="1392"/>
      </w:tblGrid>
      <w:tr w:rsidRPr="008003E2" w:rsidR="008003E2" w14:paraId="771268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0F4FAA7E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7E4C6C3A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Treatment (N=240)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54E0DFB6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Placebo (N=240)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51F31FA9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Total (N=480)</w:t>
            </w:r>
          </w:p>
        </w:tc>
      </w:tr>
      <w:tr w:rsidRPr="008003E2" w:rsidR="008003E2" w14:paraId="79FCCB9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183AAD0D" w14:textId="77777777">
            <w:r w:rsidRPr="008003E2">
              <w:t>Subjects with ≥1 AE,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1E0D898A" w14:textId="77777777">
            <w:r w:rsidRPr="008003E2">
              <w:t>78 (32.5%)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0862475B" w14:textId="77777777">
            <w:r w:rsidRPr="008003E2">
              <w:t>71 (29.6%)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3D5827D4" w14:textId="77777777">
            <w:r w:rsidRPr="008003E2">
              <w:t>149 (31.0%)</w:t>
            </w:r>
          </w:p>
        </w:tc>
      </w:tr>
      <w:tr w:rsidRPr="008003E2" w:rsidR="008003E2" w14:paraId="313C65B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721AC541" w14:textId="77777777">
            <w:r w:rsidRPr="008003E2">
              <w:t>Subjects with SAE,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080E3C63" w14:textId="77777777">
            <w:r w:rsidRPr="008003E2">
              <w:t>7 (2.9%)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252F597D" w14:textId="77777777">
            <w:r w:rsidRPr="008003E2">
              <w:t>5 (2.1%)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2488DABE" w14:textId="77777777">
            <w:r w:rsidRPr="008003E2">
              <w:t>12 (2.5%)</w:t>
            </w:r>
          </w:p>
        </w:tc>
      </w:tr>
      <w:tr w:rsidRPr="008003E2" w:rsidR="008003E2" w14:paraId="1747D24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751619C1" w14:textId="77777777">
            <w:r w:rsidRPr="008003E2">
              <w:t>Subjects with treatment-related AE,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6BE6F4E0" w14:textId="77777777">
            <w:r w:rsidRPr="008003E2">
              <w:t>34 (14.2%)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164D27A5" w14:textId="77777777">
            <w:r w:rsidRPr="008003E2">
              <w:t>26 (10.8%)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28F69892" w14:textId="77777777">
            <w:r w:rsidRPr="008003E2">
              <w:t>60 (12.5%)</w:t>
            </w:r>
          </w:p>
        </w:tc>
      </w:tr>
      <w:tr w:rsidRPr="008003E2" w:rsidR="008003E2" w14:paraId="71823AD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395B0BAB" w14:textId="77777777">
            <w:r w:rsidRPr="008003E2">
              <w:t>Subjects discontinuing due to AE,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74DB6E18" w14:textId="77777777">
            <w:r w:rsidRPr="008003E2">
              <w:t>8 (3.3%)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211B79CB" w14:textId="77777777">
            <w:r w:rsidRPr="008003E2">
              <w:t>6 (2.5%)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361C29F4" w14:textId="77777777">
            <w:r w:rsidRPr="008003E2">
              <w:t>14 (2.9%)</w:t>
            </w:r>
          </w:p>
        </w:tc>
      </w:tr>
    </w:tbl>
    <w:p w:rsidRPr="008003E2" w:rsidR="008003E2" w:rsidP="008003E2" w:rsidRDefault="008003E2" w14:paraId="2C1976EC" w14:textId="77777777">
      <w:r w:rsidRPr="008003E2">
        <w:pict w14:anchorId="1ACD02ED">
          <v:rect id="_x0000_i1190" style="width:0;height:1.5pt" o:hr="t" o:hrstd="t" o:hralign="center" fillcolor="#a0a0a0" stroked="f"/>
        </w:pict>
      </w:r>
    </w:p>
    <w:p w:rsidRPr="008003E2" w:rsidR="008003E2" w:rsidP="008003E2" w:rsidRDefault="008003E2" w14:paraId="67F40397" w14:textId="77777777">
      <w:r w:rsidRPr="008003E2">
        <w:t>The overall incidence of adverse events was comparable between treatment groups. Most adverse events were mild to moderate in severity and did not result in treatment discontinuation.</w:t>
      </w:r>
    </w:p>
    <w:p w:rsidRPr="008003E2" w:rsidR="008003E2" w:rsidP="008003E2" w:rsidRDefault="008003E2" w14:paraId="173A991D" w14:textId="77777777">
      <w:r w:rsidRPr="008003E2">
        <w:pict w14:anchorId="45F5EDE7">
          <v:rect id="_x0000_i1191" style="width:0;height:1.5pt" o:hr="t" o:hrstd="t" o:hralign="center" fillcolor="#a0a0a0" stroked="f"/>
        </w:pict>
      </w:r>
    </w:p>
    <w:p w:rsidRPr="008003E2" w:rsidR="008003E2" w:rsidP="008003E2" w:rsidRDefault="008003E2" w14:paraId="3E10BE88" w14:textId="77777777">
      <w:pPr>
        <w:rPr>
          <w:b/>
          <w:bCs/>
        </w:rPr>
      </w:pPr>
      <w:r w:rsidRPr="008003E2">
        <w:rPr>
          <w:b/>
          <w:bCs/>
        </w:rPr>
        <w:t>5.2 Common Adverse Events</w:t>
      </w:r>
    </w:p>
    <w:p w:rsidRPr="008003E2" w:rsidR="008003E2" w:rsidP="008003E2" w:rsidRDefault="008003E2" w14:paraId="236A4ECF" w14:textId="77777777">
      <w:r w:rsidR="008003E2">
        <w:rPr/>
        <w:t xml:space="preserve">The most frequently reported adverse events are summarized in </w:t>
      </w:r>
      <w:r w:rsidRPr="796AF954" w:rsidR="008003E2">
        <w:rPr>
          <w:highlight w:val="yellow"/>
        </w:rPr>
        <w:t>Table 5.2.1</w:t>
      </w:r>
      <w:r w:rsidR="008003E2">
        <w:rPr/>
        <w:t>.</w:t>
      </w:r>
    </w:p>
    <w:p w:rsidRPr="008003E2" w:rsidR="008003E2" w:rsidP="008003E2" w:rsidRDefault="008003E2" w14:paraId="405E2827" w14:textId="77777777">
      <w:r w:rsidRPr="008003E2">
        <w:pict w14:anchorId="06B48C6A">
          <v:rect id="_x0000_i1192" style="width:0;height:1.5pt" o:hr="t" o:hrstd="t" o:hralign="center" fillcolor="#a0a0a0" stroked="f"/>
        </w:pict>
      </w:r>
    </w:p>
    <w:p w:rsidRPr="008003E2" w:rsidR="008003E2" w:rsidP="008003E2" w:rsidRDefault="008003E2" w14:paraId="7737288C" w14:textId="77777777">
      <w:pPr>
        <w:rPr>
          <w:b/>
          <w:bCs/>
        </w:rPr>
      </w:pPr>
      <w:r w:rsidRPr="008003E2">
        <w:rPr>
          <w:b/>
          <w:bCs/>
        </w:rPr>
        <w:t>Table 5.2.1: Common Adverse Events (≥5%)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473"/>
        <w:gridCol w:w="1279"/>
      </w:tblGrid>
      <w:tr w:rsidRPr="008003E2" w:rsidR="008003E2" w14:paraId="03E3DD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1A1B6E89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lastRenderedPageBreak/>
              <w:t>Preferred Term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296C31FF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Treatment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36C6CE44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Placebo (%)</w:t>
            </w:r>
          </w:p>
        </w:tc>
      </w:tr>
      <w:tr w:rsidRPr="008003E2" w:rsidR="008003E2" w14:paraId="37F188F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57AB8BDB" w14:textId="77777777">
            <w:r w:rsidRPr="008003E2">
              <w:t>Headache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6B2145D2" w14:textId="77777777">
            <w:r w:rsidRPr="008003E2">
              <w:t>11.2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76806D64" w14:textId="77777777">
            <w:r w:rsidRPr="008003E2">
              <w:t>9.5</w:t>
            </w:r>
          </w:p>
        </w:tc>
      </w:tr>
      <w:tr w:rsidRPr="008003E2" w:rsidR="008003E2" w14:paraId="5E781504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481F69E1" w14:textId="77777777">
            <w:r w:rsidRPr="008003E2">
              <w:t>Nausea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782DBEE4" w14:textId="77777777">
            <w:r w:rsidRPr="008003E2">
              <w:t>8.3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0E012F16" w14:textId="77777777">
            <w:r w:rsidRPr="008003E2">
              <w:t>6.7</w:t>
            </w:r>
          </w:p>
        </w:tc>
      </w:tr>
      <w:tr w:rsidRPr="008003E2" w:rsidR="008003E2" w14:paraId="3C26455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3FCB12DE" w14:textId="77777777">
            <w:r w:rsidRPr="008003E2">
              <w:t>Upper respiratory infection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6C9FB55F" w14:textId="77777777">
            <w:r w:rsidRPr="008003E2">
              <w:t>9.6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45FDFED7" w14:textId="77777777">
            <w:r w:rsidRPr="008003E2">
              <w:t>8.8</w:t>
            </w:r>
          </w:p>
        </w:tc>
      </w:tr>
    </w:tbl>
    <w:p w:rsidRPr="008003E2" w:rsidR="008003E2" w:rsidP="008003E2" w:rsidRDefault="008003E2" w14:paraId="233FD0A9" w14:textId="77777777">
      <w:r w:rsidRPr="008003E2">
        <w:pict w14:anchorId="577B7BA6">
          <v:rect id="_x0000_i1193" style="width:0;height:1.5pt" o:hr="t" o:hrstd="t" o:hralign="center" fillcolor="#a0a0a0" stroked="f"/>
        </w:pict>
      </w:r>
    </w:p>
    <w:p w:rsidRPr="008003E2" w:rsidR="008003E2" w:rsidP="008003E2" w:rsidRDefault="008003E2" w14:paraId="6234AEFF" w14:textId="77777777">
      <w:r w:rsidRPr="008003E2">
        <w:t>The distribution of common adverse events was similar across treatment groups, with no clinically meaningful differences observed.</w:t>
      </w:r>
    </w:p>
    <w:p w:rsidRPr="008003E2" w:rsidR="008003E2" w:rsidP="008003E2" w:rsidRDefault="008003E2" w14:paraId="1A2A510B" w14:textId="77777777">
      <w:r w:rsidRPr="008003E2">
        <w:pict w14:anchorId="37437189">
          <v:rect id="_x0000_i1194" style="width:0;height:1.5pt" o:hr="t" o:hrstd="t" o:hralign="center" fillcolor="#a0a0a0" stroked="f"/>
        </w:pict>
      </w:r>
    </w:p>
    <w:p w:rsidRPr="008003E2" w:rsidR="008003E2" w:rsidP="008003E2" w:rsidRDefault="008003E2" w14:paraId="6473D5C1" w14:textId="77777777">
      <w:pPr>
        <w:rPr>
          <w:b/>
          <w:bCs/>
        </w:rPr>
      </w:pPr>
      <w:r w:rsidRPr="008003E2">
        <w:rPr>
          <w:b/>
          <w:bCs/>
        </w:rPr>
        <w:t>6. SERIOUS ADVERSE EVENTS</w:t>
      </w:r>
    </w:p>
    <w:p w:rsidRPr="008003E2" w:rsidR="008003E2" w:rsidP="008003E2" w:rsidRDefault="008003E2" w14:paraId="4ADC473F" w14:textId="1AE821FE">
      <w:r w:rsidR="008003E2">
        <w:rPr/>
        <w:t xml:space="preserve">Serious adverse events (SAEs) were evaluated according to criteria defined in the protocol and </w:t>
      </w:r>
      <w:r w:rsidR="008003E2">
        <w:rPr/>
        <w:t>analyzed</w:t>
      </w:r>
      <w:r w:rsidR="008003E2">
        <w:rPr/>
        <w:t xml:space="preserve"> as described in </w:t>
      </w:r>
      <w:r w:rsidRPr="796AF954" w:rsidR="008003E2">
        <w:rPr>
          <w:b w:val="1"/>
          <w:bCs w:val="1"/>
          <w:highlight w:val="yellow"/>
        </w:rPr>
        <w:t>SAP</w:t>
      </w:r>
      <w:r w:rsidRPr="796AF954" w:rsidR="008003E2">
        <w:rPr>
          <w:b w:val="1"/>
          <w:bCs w:val="1"/>
          <w:highlight w:val="yellow"/>
        </w:rPr>
        <w:t xml:space="preserve"> Section 6.2</w:t>
      </w:r>
      <w:r w:rsidR="008003E2">
        <w:rPr/>
        <w:t>.</w:t>
      </w:r>
    </w:p>
    <w:p w:rsidRPr="008003E2" w:rsidR="008003E2" w:rsidP="008003E2" w:rsidRDefault="008003E2" w14:paraId="7FA61892" w14:textId="77777777">
      <w:r w:rsidRPr="008003E2">
        <w:t>The incidence of SAEs was low and comparable between treatment groups. No clustering of SAEs by specific organ system or preferred term was observed.</w:t>
      </w:r>
    </w:p>
    <w:p w:rsidRPr="008003E2" w:rsidR="008003E2" w:rsidP="008003E2" w:rsidRDefault="008003E2" w14:paraId="22098D54" w14:textId="77777777">
      <w:r w:rsidRPr="008003E2">
        <w:pict w14:anchorId="316773A1">
          <v:rect id="_x0000_i1195" style="width:0;height:1.5pt" o:hr="t" o:hrstd="t" o:hralign="center" fillcolor="#a0a0a0" stroked="f"/>
        </w:pict>
      </w:r>
    </w:p>
    <w:p w:rsidRPr="008003E2" w:rsidR="008003E2" w:rsidP="008003E2" w:rsidRDefault="008003E2" w14:paraId="637FA5C2" w14:textId="77777777">
      <w:pPr>
        <w:rPr>
          <w:b/>
          <w:bCs/>
        </w:rPr>
      </w:pPr>
      <w:r w:rsidRPr="008003E2">
        <w:rPr>
          <w:b/>
          <w:bCs/>
        </w:rPr>
        <w:t>7. LABORATORY EVALUATIONS</w:t>
      </w:r>
    </w:p>
    <w:p w:rsidRPr="008003E2" w:rsidR="008003E2" w:rsidP="008003E2" w:rsidRDefault="008003E2" w14:paraId="3306DFF0" w14:textId="77777777">
      <w:r w:rsidRPr="008003E2">
        <w:t xml:space="preserve">Laboratory parameters were </w:t>
      </w:r>
      <w:proofErr w:type="spellStart"/>
      <w:r w:rsidRPr="008003E2">
        <w:t>analyzed</w:t>
      </w:r>
      <w:proofErr w:type="spellEnd"/>
      <w:r w:rsidRPr="008003E2">
        <w:t xml:space="preserve"> as part of the safety evaluation to identify any clinically meaningful treatment-related effects.</w:t>
      </w:r>
    </w:p>
    <w:p w:rsidRPr="008003E2" w:rsidR="008003E2" w:rsidP="008003E2" w:rsidRDefault="008003E2" w14:paraId="29C9D993" w14:textId="54D4D489">
      <w:r w:rsidR="008003E2">
        <w:rPr/>
        <w:t xml:space="preserve">Summary statistics and change-from-baseline analyses were conducted as defined in the </w:t>
      </w:r>
      <w:r w:rsidRPr="796AF954" w:rsidR="008003E2">
        <w:rPr>
          <w:highlight w:val="yellow"/>
        </w:rPr>
        <w:t>SAP</w:t>
      </w:r>
      <w:r w:rsidR="008003E2">
        <w:rPr/>
        <w:t>.</w:t>
      </w:r>
    </w:p>
    <w:p w:rsidRPr="008003E2" w:rsidR="008003E2" w:rsidP="008003E2" w:rsidRDefault="008003E2" w14:paraId="3FAC98A5" w14:textId="77777777">
      <w:r w:rsidRPr="008003E2">
        <w:pict w14:anchorId="68CBBFAD">
          <v:rect id="_x0000_i1196" style="width:0;height:1.5pt" o:hr="t" o:hrstd="t" o:hralign="center" fillcolor="#a0a0a0" stroked="f"/>
        </w:pict>
      </w:r>
    </w:p>
    <w:p w:rsidRPr="008003E2" w:rsidR="008003E2" w:rsidP="008003E2" w:rsidRDefault="008003E2" w14:paraId="5B68CD47" w14:textId="77777777">
      <w:pPr>
        <w:rPr>
          <w:b/>
          <w:bCs/>
        </w:rPr>
      </w:pPr>
      <w:r w:rsidRPr="008003E2">
        <w:rPr>
          <w:b/>
          <w:bCs/>
        </w:rPr>
        <w:t>Table 7.1.1: Summary of Key Laboratory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648"/>
        <w:gridCol w:w="2454"/>
      </w:tblGrid>
      <w:tr w:rsidRPr="008003E2" w:rsidR="008003E2" w14:paraId="0C70F8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5E9806BD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09477AB9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Treatment (Mean Change)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003E2" w:rsidR="008003E2" w:rsidP="008003E2" w:rsidRDefault="008003E2" w14:paraId="163BBA91" w14:textId="77777777">
            <w:pPr>
              <w:rPr>
                <w:b/>
                <w:bCs/>
              </w:rPr>
            </w:pPr>
            <w:r w:rsidRPr="008003E2">
              <w:rPr>
                <w:b/>
                <w:bCs/>
              </w:rPr>
              <w:t>Placebo (Mean Change)</w:t>
            </w:r>
          </w:p>
        </w:tc>
      </w:tr>
      <w:tr w:rsidRPr="008003E2" w:rsidR="008003E2" w14:paraId="4EADA12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64F4B74A" w14:textId="77777777">
            <w:proofErr w:type="spellStart"/>
            <w:r w:rsidRPr="008003E2">
              <w:t>Hemoglobin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1B2871DE" w14:textId="77777777">
            <w:r w:rsidRPr="008003E2">
              <w:t>-0.2 g/dL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79A51F45" w14:textId="77777777">
            <w:r w:rsidRPr="008003E2">
              <w:t>-0.1 g/dL</w:t>
            </w:r>
          </w:p>
        </w:tc>
      </w:tr>
      <w:tr w:rsidRPr="008003E2" w:rsidR="008003E2" w14:paraId="7D6079E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760C8EEA" w14:textId="77777777">
            <w:r w:rsidRPr="008003E2">
              <w:t>ALT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5AD38BDC" w14:textId="77777777">
            <w:r w:rsidRPr="008003E2">
              <w:t>+3.1 U/L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00A963A6" w14:textId="77777777">
            <w:r w:rsidRPr="008003E2">
              <w:t>+2.5 U/L</w:t>
            </w:r>
          </w:p>
        </w:tc>
      </w:tr>
      <w:tr w:rsidRPr="008003E2" w:rsidR="008003E2" w14:paraId="4243C6E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7932296D" w14:textId="77777777">
            <w:r w:rsidRPr="008003E2">
              <w:t>Creatinine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146C261F" w14:textId="77777777">
            <w:r w:rsidRPr="008003E2">
              <w:t>+0.03 mg/dL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003E2" w:rsidR="008003E2" w:rsidP="008003E2" w:rsidRDefault="008003E2" w14:paraId="13FF3FEB" w14:textId="77777777">
            <w:r w:rsidRPr="008003E2">
              <w:t>+0.02 mg/dL</w:t>
            </w:r>
          </w:p>
        </w:tc>
      </w:tr>
    </w:tbl>
    <w:p w:rsidRPr="008003E2" w:rsidR="008003E2" w:rsidP="008003E2" w:rsidRDefault="008003E2" w14:paraId="3D317B88" w14:textId="77777777">
      <w:r w:rsidRPr="008003E2">
        <w:pict w14:anchorId="6B854808">
          <v:rect id="_x0000_i1197" style="width:0;height:1.5pt" o:hr="t" o:hrstd="t" o:hralign="center" fillcolor="#a0a0a0" stroked="f"/>
        </w:pict>
      </w:r>
    </w:p>
    <w:p w:rsidRPr="008003E2" w:rsidR="008003E2" w:rsidP="008003E2" w:rsidRDefault="008003E2" w14:paraId="2E5CE96C" w14:textId="77777777">
      <w:r w:rsidRPr="008003E2">
        <w:t>Observed laboratory changes were small and not considered clinically significant. No consistent pattern indicating treatment-related toxicity was identified.</w:t>
      </w:r>
    </w:p>
    <w:p w:rsidRPr="008003E2" w:rsidR="008003E2" w:rsidP="008003E2" w:rsidRDefault="008003E2" w14:paraId="3D73A5FB" w14:textId="77777777">
      <w:r w:rsidRPr="008003E2">
        <w:pict w14:anchorId="7329423B">
          <v:rect id="_x0000_i1198" style="width:0;height:1.5pt" o:hr="t" o:hrstd="t" o:hralign="center" fillcolor="#a0a0a0" stroked="f"/>
        </w:pict>
      </w:r>
    </w:p>
    <w:p w:rsidRPr="008003E2" w:rsidR="008003E2" w:rsidP="008003E2" w:rsidRDefault="008003E2" w14:paraId="18B36E8B" w14:textId="77777777">
      <w:pPr>
        <w:rPr>
          <w:b/>
          <w:bCs/>
        </w:rPr>
      </w:pPr>
      <w:r w:rsidRPr="008003E2">
        <w:rPr>
          <w:b/>
          <w:bCs/>
        </w:rPr>
        <w:t>8. VITAL SIGNS AND OTHER SAFETY ASSESSMENTS</w:t>
      </w:r>
    </w:p>
    <w:p w:rsidRPr="008003E2" w:rsidR="008003E2" w:rsidP="008003E2" w:rsidRDefault="008003E2" w14:paraId="36A4949A" w14:textId="77777777">
      <w:r w:rsidRPr="008003E2">
        <w:t>Vital signs were monitored throughout the study and evaluated for clinically meaningful changes.</w:t>
      </w:r>
    </w:p>
    <w:p w:rsidRPr="008003E2" w:rsidR="008003E2" w:rsidP="008003E2" w:rsidRDefault="008003E2" w14:paraId="62E5A412" w14:textId="77777777">
      <w:r w:rsidRPr="008003E2">
        <w:lastRenderedPageBreak/>
        <w:t>No consistent or clinically relevant changes in vital signs were observed between treatment groups.</w:t>
      </w:r>
    </w:p>
    <w:p w:rsidRPr="008003E2" w:rsidR="008003E2" w:rsidP="008003E2" w:rsidRDefault="008003E2" w14:paraId="1ED4355C" w14:textId="77777777">
      <w:r w:rsidRPr="008003E2">
        <w:pict w14:anchorId="10DEBDDC">
          <v:rect id="_x0000_i1199" style="width:0;height:1.5pt" o:hr="t" o:hrstd="t" o:hralign="center" fillcolor="#a0a0a0" stroked="f"/>
        </w:pict>
      </w:r>
    </w:p>
    <w:p w:rsidRPr="008003E2" w:rsidR="008003E2" w:rsidP="008003E2" w:rsidRDefault="008003E2" w14:paraId="4E0FD6B3" w14:textId="77777777">
      <w:pPr>
        <w:rPr>
          <w:b/>
          <w:bCs/>
        </w:rPr>
      </w:pPr>
      <w:r w:rsidRPr="008003E2">
        <w:rPr>
          <w:b/>
          <w:bCs/>
        </w:rPr>
        <w:t>9. DISCUSSION OF SAFETY</w:t>
      </w:r>
    </w:p>
    <w:p w:rsidRPr="008003E2" w:rsidR="008003E2" w:rsidP="008003E2" w:rsidRDefault="008003E2" w14:paraId="50AC676B" w14:textId="77777777">
      <w:r w:rsidRPr="008003E2">
        <w:t>The safety profile of the investigational product observed in this study is considered acceptable and consistent with expectations.</w:t>
      </w:r>
    </w:p>
    <w:p w:rsidRPr="008003E2" w:rsidR="008003E2" w:rsidP="008003E2" w:rsidRDefault="008003E2" w14:paraId="01085E46" w14:textId="77777777">
      <w:r w:rsidRPr="008003E2">
        <w:t>The incidence of adverse events was comparable between treatment groups, with no evidence of increased risk associated with the investigational product.</w:t>
      </w:r>
    </w:p>
    <w:p w:rsidRPr="008003E2" w:rsidR="008003E2" w:rsidP="008003E2" w:rsidRDefault="008003E2" w14:paraId="39155435" w14:textId="77777777">
      <w:r w:rsidRPr="008003E2">
        <w:t>Serious adverse events were infrequent and distributed similarly across groups. Laboratory and vital sign assessments did not indicate any clinically meaningful safety concerns.</w:t>
      </w:r>
    </w:p>
    <w:p w:rsidRPr="008003E2" w:rsidR="008003E2" w:rsidP="008003E2" w:rsidRDefault="008003E2" w14:paraId="024C589D" w14:textId="5BBFF298">
      <w:r w:rsidR="008003E2">
        <w:rPr/>
        <w:t xml:space="preserve">The findings presented in this ISS are consistent with the safety results reported in the </w:t>
      </w:r>
      <w:r w:rsidRPr="796AF954" w:rsidR="004A6168">
        <w:rPr>
          <w:highlight w:val="yellow"/>
        </w:rPr>
        <w:t>CSR</w:t>
      </w:r>
      <w:r w:rsidR="004A6168">
        <w:rPr/>
        <w:t xml:space="preserve"> </w:t>
      </w:r>
      <w:r w:rsidR="008003E2">
        <w:rPr/>
        <w:t>and support the overall safety evaluation of the investigational product.</w:t>
      </w:r>
    </w:p>
    <w:p w:rsidRPr="008003E2" w:rsidR="008003E2" w:rsidP="008003E2" w:rsidRDefault="008003E2" w14:paraId="45F0386E" w14:textId="77777777">
      <w:r w:rsidRPr="008003E2">
        <w:pict w14:anchorId="4C264E1A">
          <v:rect id="_x0000_i1200" style="width:0;height:1.5pt" o:hr="t" o:hrstd="t" o:hralign="center" fillcolor="#a0a0a0" stroked="f"/>
        </w:pict>
      </w:r>
    </w:p>
    <w:p w:rsidRPr="008003E2" w:rsidR="008003E2" w:rsidP="008003E2" w:rsidRDefault="008003E2" w14:paraId="2BB1B30D" w14:textId="77777777">
      <w:pPr>
        <w:rPr>
          <w:b/>
          <w:bCs/>
        </w:rPr>
      </w:pPr>
      <w:r w:rsidRPr="008003E2">
        <w:rPr>
          <w:b/>
          <w:bCs/>
        </w:rPr>
        <w:t>10. CONCLUSION</w:t>
      </w:r>
    </w:p>
    <w:p w:rsidRPr="008003E2" w:rsidR="008003E2" w:rsidP="008003E2" w:rsidRDefault="008003E2" w14:paraId="5B2EB118" w14:textId="77777777">
      <w:r w:rsidRPr="008003E2">
        <w:t>The investigational product demonstrated an acceptable safety profile in Study NCT01101035.</w:t>
      </w:r>
    </w:p>
    <w:p w:rsidRPr="008003E2" w:rsidR="008003E2" w:rsidP="008003E2" w:rsidRDefault="008003E2" w14:paraId="294CC87A" w14:textId="77777777">
      <w:r w:rsidRPr="008003E2">
        <w:t xml:space="preserve">No new or unexpected safety signals were identified, and the overall safety findings support a </w:t>
      </w:r>
      <w:proofErr w:type="spellStart"/>
      <w:r w:rsidRPr="008003E2">
        <w:t>favorable</w:t>
      </w:r>
      <w:proofErr w:type="spellEnd"/>
      <w:r w:rsidRPr="008003E2">
        <w:t xml:space="preserve"> benefit-risk profile when considered alongside efficacy results.</w:t>
      </w:r>
    </w:p>
    <w:p w:rsidR="009A6CC7" w:rsidRDefault="009A6CC7" w14:paraId="33FD83A9" w14:textId="77777777"/>
    <w:sectPr w:rsidR="009A6CC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25E10"/>
    <w:multiLevelType w:val="multilevel"/>
    <w:tmpl w:val="D00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86B2B6D"/>
    <w:multiLevelType w:val="multilevel"/>
    <w:tmpl w:val="767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FE001C3"/>
    <w:multiLevelType w:val="multilevel"/>
    <w:tmpl w:val="7C1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83A208E"/>
    <w:multiLevelType w:val="multilevel"/>
    <w:tmpl w:val="4B2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89616239">
    <w:abstractNumId w:val="0"/>
  </w:num>
  <w:num w:numId="2" w16cid:durableId="328098720">
    <w:abstractNumId w:val="3"/>
  </w:num>
  <w:num w:numId="3" w16cid:durableId="778985869">
    <w:abstractNumId w:val="2"/>
  </w:num>
  <w:num w:numId="4" w16cid:durableId="1251894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E2"/>
    <w:rsid w:val="00137821"/>
    <w:rsid w:val="002D4759"/>
    <w:rsid w:val="004A6168"/>
    <w:rsid w:val="008003E2"/>
    <w:rsid w:val="009A6CC7"/>
    <w:rsid w:val="00DD2852"/>
    <w:rsid w:val="12C79EC1"/>
    <w:rsid w:val="16D240FC"/>
    <w:rsid w:val="20B6A762"/>
    <w:rsid w:val="248CDDE9"/>
    <w:rsid w:val="32EA390C"/>
    <w:rsid w:val="38F94FD7"/>
    <w:rsid w:val="3D6AF7AA"/>
    <w:rsid w:val="403BAFD6"/>
    <w:rsid w:val="465FDF9F"/>
    <w:rsid w:val="6905F9FF"/>
    <w:rsid w:val="796AF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8EB0"/>
  <w15:chartTrackingRefBased/>
  <w15:docId w15:val="{A9343842-6872-4CBB-BEDC-F16A087E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3E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3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003E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003E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003E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003E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003E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003E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003E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003E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00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3E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003E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00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3E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00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3E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0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3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1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1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fontTable" Target="fontTable.xml" Id="rId1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Gollapally Vihari</dc:creator>
  <keywords/>
  <dc:description/>
  <lastModifiedBy>Gollapally Vihari</lastModifiedBy>
  <revision>4</revision>
  <dcterms:created xsi:type="dcterms:W3CDTF">2026-06-11T10:05:00.0000000Z</dcterms:created>
  <dcterms:modified xsi:type="dcterms:W3CDTF">2026-06-19T05:52:37.4245763Z</dcterms:modified>
</coreProperties>
</file>