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C0000"/>
          <w:sz w:val="20"/>
          <w:szCs w:val="20"/>
        </w:rPr>
        <w:t xml:space="preserve">CONFIDENTIAL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AI TRANSFORMATION SERIES</w:t>
      </w:r>
    </w:p>
    <w:p>
      <w:pPr>
        <w:pBdr>
          <w:bottom w:val="single" w:color="2E75B6" w:sz="12" w:space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0B3D6B"/>
          <w:sz w:val="52"/>
          <w:szCs w:val="52"/>
        </w:rPr>
        <w:t xml:space="preserve">BUSINESS REQUIREMENTS DOCUMENT</w:t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1F5C99"/>
          <w:sz w:val="32"/>
          <w:szCs w:val="32"/>
        </w:rPr>
        <w:t xml:space="preserve">Intelligent Automation in Wealth Management Operations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Prepared for: Wealth Management Operations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Engineering  |  Compliance  |  Operations  |  Product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B3D6B"/>
          <w:sz w:val="20"/>
          <w:szCs w:val="20"/>
        </w:rPr>
        <w:t xml:space="preserve">Version 1.0  | 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Business Requirements Document (BRD) defines the functional, data, compliance, and technical requirements for the deployment of an AI-augmented intelligent automation platform across wealth management middle- and back-office operations. The programme targets 25 high-impact use cases spanning client onboarding, financial crime operations, trade operations, reconciliation, and regulatory reporting.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core design principle is non-negotiable: the LLM summarises, contextualises, drafts, and recommends. Deterministic rules, policy controls, and human review govern every decision that carries compliance, legal, or financial consequence.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Business Case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 onboarding processes are manual, slow, inconsistent, and expensive. A 25–35 business day average TAT for complex clients, STP rates of 10–20%, and a cost per account of $800–$1,500 are unsustainable at scale. The AI-augmented pipeline delivers: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~75% reduction in onboarding turnaround time (TAT)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STP rate improvement from 10–20% to 55–70%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~70% reduction in cost per account opened ($800–$1,500 → $200–$400)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200–300% improvement in analyst productivity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~80% reduction in compliance audit findings per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Estimated savings of $400–$900 per account opened for UC-01 alone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Key Programme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Context Intelligence: systematically assembling verified, structured evidence packs before any AI or human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Context Engineering: the engineering discipline of building and maintaining the pipelines that produce that intelligence reliably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Human-in-the-Loop: all regulated decisions (sanctions, PEP acceptance, EDD sign-off, SAR filing) require named human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Auditability: every input, LLM output, rule triggered, and human action is stored immutably for regulatory examination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2. Programme Scope and Use Cases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programme covers 25 use cases across six operational domains. Each use case follows the same architectural pattern: deterministic data validation and rules engine processing, followed by LLM-assisted case summarisation and analysis, followed by human review and decision. The table below summarises all 25 use cases.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1000"/>
        <w:gridCol w:w="1200"/>
        <w:gridCol w:w="1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Complexity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3D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Client Onboarding / KYC-AML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KYC Refresh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Periodic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AML Alert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Crime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Sanctions Screening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Crime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PEP Screening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Crime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Adverse Media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Financial Crime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UC-08–10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Static Data / FATCA / Suitability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UC-11–16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Account Ops &amp; Trade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Low–Med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UC-17–25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Recon, Client Ops &amp; Regulatory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Various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Low–High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MVP Scope (Phases 1–5)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recommended MVP focuses on the highest-volume, highest-STP-potential client types to maximise measurable ROI within 12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types: Individual (retail, HNW, UHNW), Joint accounts, Simple corporates (single jurisdiction, ≤3 UBOs)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Screening: OFAC, UN, EU, HMT sanctions; all PEP categories; adverse media; internal watchlist; duplicate client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actions: all 8 core actions (LA-01 through LA-08) for Standard and Enhanced Review lanes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Downstream posting: Client Master System, Core Banking Platform, Wealth Management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25-step process as defined in the process flow for MVP client types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Phase 2+ Expansion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Complex trusts, foundations, family offices, multi-jurisdiction corporates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KYC Refresh (UC-02), Periodic Review (UC-03), and AML Alert Review (UC-04)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Additional sanctions regimes; advanced analytics and predictive SLA forecasting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3. KPI Impact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KPIs are expected to be materially improved upon deployment. Baseline assumptions reflect typical mid-to-large wealth management institutions with manual-dominant processes. Target states reflect achievable performance in a well-implemented AI-augmented operating model.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TAT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25–35 days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5–8 days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~75%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STP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10–20%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55–70%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+200–250%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Effort / Case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8–14 hrs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2–4 hrs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Analyst Productivity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cases/day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7–10 cases/day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+200–300%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RFI Frequency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2.8–4.5 / case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0.8–1.2 / case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AML FP Review Time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45–90 mins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10–20 mins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~75%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SLA Adherence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55–70%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90–95%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+30–40%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per Account (USD)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$800–$1,500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$200–$400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Findings / Quarter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8–15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Settlement Failure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1.5–3%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0.3–0.7%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~75%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Important: KPI improvements are not linear. The greatest gains will be realised in the first 12 months for standard risk profiles. EDD-required cases, confirmed PEP matches, and sanctions matches will always require significant human involvement and are tracked separately.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Process Architecture — UC-01 Client Onboarding (25-Step Flow)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end-to-end onboarding process is structured across 10 phases and 25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Phases 1–3 (Initiation, Collection, Verification): onboarding request creation, client data capture, document checklist generation, document upload, OCR extraction, data validation, mandatory checks, duplicate check, entity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Phases 4–5 (Screening, Verification): sanctions/PEP/adverse media screening for all parties, FATCA/CRS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6 (Scoring): source of wealth assessment, deterministic risk scoring, routing decision (STP / Standard / Enhanced / EDD / Hold / Reject)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7 (AI Review): Context Pack generation, LLM processing, output generation, deterministic validation of LLM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Phases 8–9 (Human Review &amp; Decision): skills-based case routing, human reviewer action, decision outcome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Phase 10 (Post-Decision): downstream system posting, immutable audit trail finalisation, dashboard and KPI update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4. Functional Requirements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4.1 Data and Context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FR-D1: All source system data must be ingested via API adapters with normalisation to a canonical JSON schema; failed ingestion must route to a dead-letter queue with alerting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FR-D2: The OCR engine must assign a confidence score to every extracted field; fields below 85% confidence must be flagged for human confirmation and must not be auto-populated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FR-D3: The Entity Resolution Engine must perform multi-attribute matching (name, DOB, nationality, national ID, address); definite duplicates must block new client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FR-D4: The Context Pack Builder must assemble all validated data, screening results, rules engine outputs, risk scores, policy snippets, and identified gaps into a versioned, immutable JSON Context Pack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FR-D5: PII tokenisation must be applied to the Context Pack before delivery to the LLM Gateway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4.2 Rules Engine and Risk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FR-R1: The rules engine must enforce all mandatory document checklist requirements before screening is initiated; no partial checklists are permitted to proceed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FR-R2: A confirmed or high-score sanctions match must trigger an automatic case hold and MLRO notification; no automated or LLM process may clear a sanctions 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FR-R3: The risk scoring engine must be deterministic and weighted; the LLM must not calculate, modify, or override risk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FR-R4: STP eligibility must require all criteria to be met simultaneously; a single failure condition must block STP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FR-R5: Missing FATCA/CRS self-certification must block case progression; missing TIN must trigger withholding obligation flag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4.3 LLM Gateway and AI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FR-A1: The LLM must produce all 8 required output types in valid JSON schema: case summary, missing information, KYC inconsistency analysis, source of wealth assessment, adverse media assessment, RFI draft, compliance review summary, and next-best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FR-A2: Every LLM output must include a confidence score; outputs below the defined threshold must be automatically flagged for mandatory human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FR-A3: The Deterministic Validation Layer must check every LLM output for schema conformance, evidence reference integrity, routing consistency, prohibited content, and PII boundary compliance before delivery to the analyst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FR-A4: The LLM must not make recommendations to dismiss a sanctions match, approve a PEP, or decline to file a 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FR-A5: All LLM prompts and responses must be logged verbatim before validation and stored in the immutable audit store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4.4 Human-in-the-Loop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FR-H1: The case management system must restrict reviewer decision options to permitted outcomes (Approve, Reject, RFI, Escalate, Refer to EDD); free-text decisions are not permitted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FR-H2: Rejection decisions must require documented rationale; all reviewer actions must be logged with actor identity and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FR-H3: PEP acceptance decisions must require a named senior management approver on record; EDD acceptance must require compliance officer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FR-H4: RFI issuance must pause the SLA clock; a new Context Pack must be built and delivered to the LLM on RFI response receipt before human review resumes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4.5 Audit, Compliance, and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FR-AU1: The audit store must be append-only (write-once, read-many); no modification of stored audit events is permissible under any circumstance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FR-AU2: A compliance evidence package must be automatically generated on case closure and retained for a minimum of 7 years (longer for SAR-related cases)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FR-AU3: All operational KPI dashboards must refresh within 5 minutes of case closure; SLA breach alerts must be generated automatically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4.6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NFR-1 Latency: Context Pack generation target &lt;5 minutes; LLM processing target &lt;60 seconds; deterministic validation target &lt;10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NFR-2 Availability: Pipeline availability target 99.5%; screening vendor unavailability must trigger automatic case hold, not auto-dismissal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NFR-3 Security: All data in transit encrypted TLS 1.3+; PII tokenised before LLM delivery; prompt injection detection active on all LLM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NFR-4 Scalability: Architecture must support 10x current case volume without redesign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NFR-5 Auditability: Audit trail must be producible for regulatory examination within 24 hours of request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B3D6B"/>
          <w:sz w:val="28"/>
          <w:szCs w:val="28"/>
        </w:rPr>
        <w:t xml:space="preserve">5. Delivery Roadmap, Risks, and Recommendation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5.1 Implementation Roadmap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programme is structured across 6 phases over 18 months, designed to deliver measurable ROI at the pilot launch (Month 12) before full rollout is complete.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800"/>
        <w:gridCol w:w="54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Discovery &amp; Foundation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MVP scope, data assessment, policy mapping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&amp; Infrastructure Build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Ingestion, entity resolution, screening, rules engine, risk scoring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Pack &amp; AI Layer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Context Pack Builder, prompt templates, LLM Gateway, validation layer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&amp; Human-in-Loop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7–9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management, approval chain, actioning APIs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Testing, Validation &amp; Pilot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9–12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UAT, compliance sign-off, model risk approval, parallel run, pilot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Rollout &amp; CI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12–18+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rollout, KPI monitoring, scope expansion, annual model review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5.2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Programme Steering Committee: Executive Sponsor, CCO, CTO, Head of Operations — monthly, phase gate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Technology and AI Working Group: Head of AI Engineering, Data Engineering Lead, Compliance SME, Model Risk — 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Compliance and Controls Review: CCO, Head of Financial Crime, Internal Audit (observer) — bi-weekly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5.3 Key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CRITICAL — Compliance Scope Interpretation: disagreement on what can be automated vs. must remain human; mitigation: CCO as active programme sponsor from Day 1, not a reviewer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 — Data Quality: source system data below minimum threshold delays pipeline; mitigation: early data quality assessment and upstream 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 — Model Risk Sign-off Delay: model risk team requires more evidence before approving AI components; mitigation: early engagement at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 — Data Residency / Privacy: LLM API data residency conflicts with client data privacy obligations; mitigation: legal review before Phase 3, PII tokenisation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 — Rules Engine Scope Creep: policy complexity exceeds estimates; mitigation: modular rules engine design, strict change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MEDIUM — Analyst Adoption: analysts do not trust LLM outputs and revert to manual; mitigation: structured change management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MEDIUM — LLM Model Changes: Anthropic updates change output quality; mitigation: model version pinning, automated regression testing, quarterly prompt review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5.4 Key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CCO must be an active programme sponsor (not a reviewer) from programme initiation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 risk function must have capacity and AI model review capability before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Screening vendor production API access must be contracted before Phase 2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Core banking platform must expose a stable, documented API for account creation (Phase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Legal sign-off on LLM API use (data protection — GDPR, PDPA) required before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Digital onboarding portal must be live; paper-based onboarding cannot feed the pipeline as designed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5.5 Final Recommendation: PROCEED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business case is compelling, the technology is mature, and the governance framework is well-defined. The programme delivers material, measurable value within 12 months at the pilot launch, with full ROI realised within 18 months. The recommendation is conditional on three non-negotiable requirements: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Chief Compliance Officer must be an active programme sponsor — not a reviewer — from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 risk governance must be established before Phase 3 begins; this is a programme dependency, not an afterthought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LLM governance principle — the LLM does not make regulated decisions — must be treated as a programme-level constraint that cannot be relaxed for scope, cost, or schedule reasons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B3D6B"/>
          <w:sz w:val="20"/>
          <w:szCs w:val="20"/>
        </w:rPr>
        <w:t xml:space="preserve">The competitive imperative is urgent. Institutions that deploy AI-augmented onboarding now will establish a structural cost and experience advantage that will be very difficult for laggards to close. The question is not whether to proceed — it is whether to proceed with the discipline this document describes.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6" w:space="8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Version 1.0  |  2026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/>
    </w:pPr>
    <w:r>
      <w:rPr>
        <w:rFonts w:ascii="Arial" w:cs="Arial" w:eastAsia="Arial" w:hAnsi="Arial"/>
        <w:color w:val="666666"/>
        <w:sz w:val="16"/>
        <w:szCs w:val="16"/>
      </w:rPr>
      <w:t xml:space="preserve">BRD — Intelligent Automation in Wealth Management Operations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3D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5C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2026-05-01T07:34:40.430Z</dcterms:created>
  <dcterms:modified xsi:type="dcterms:W3CDTF">2026-05-01T07:34:40.430Z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