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b w:val="1"/>
          <w:bCs w:val="1"/>
        </w:rPr>
      </w:pPr>
      <w:r>
        <w:rPr>
          <w:b w:val="1"/>
          <w:bCs w:val="1"/>
          <w:rtl w:val="0"/>
          <w:lang w:val="en-US"/>
        </w:rPr>
        <w:t xml:space="preserve">The early bird gets the return: </w:t>
      </w:r>
      <w:r>
        <w:rPr>
          <w:b w:val="1"/>
          <w:bCs w:val="1"/>
          <w:rtl w:val="0"/>
          <w:lang w:val="en-US"/>
        </w:rPr>
        <w:t>the benefits of publishing your data sooner.</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 xml:space="preserve">Christopher J. Lortie </w:t>
      </w:r>
      <w:r>
        <w:rPr>
          <w:vertAlign w:val="superscript"/>
          <w:rtl w:val="0"/>
          <w:lang w:val="en-US"/>
        </w:rPr>
        <w:t>1*</w:t>
      </w:r>
      <w:r>
        <w:rPr>
          <w:rtl w:val="0"/>
          <w:lang w:val="en-US"/>
        </w:rPr>
        <w:t xml:space="preserve"> and Jennifer Firn </w:t>
      </w:r>
      <w:r>
        <w:rPr>
          <w:vertAlign w:val="superscript"/>
          <w:rtl w:val="0"/>
          <w:lang w:val="en-US"/>
        </w:rPr>
        <w:t>2</w:t>
      </w:r>
      <w:r>
        <w:rPr>
          <w:rtl w:val="0"/>
          <w:lang w:val="en-US"/>
        </w:rPr>
        <w:t>.</w:t>
      </w:r>
    </w:p>
    <w:p>
      <w:pPr>
        <w:pStyle w:val="Body"/>
        <w:spacing w:line="480" w:lineRule="auto"/>
      </w:pPr>
    </w:p>
    <w:p>
      <w:pPr>
        <w:pStyle w:val="Body"/>
        <w:spacing w:line="480" w:lineRule="auto"/>
      </w:pPr>
    </w:p>
    <w:p>
      <w:pPr>
        <w:pStyle w:val="Body"/>
        <w:numPr>
          <w:ilvl w:val="0"/>
          <w:numId w:val="2"/>
        </w:numPr>
        <w:spacing w:line="480" w:lineRule="auto"/>
        <w:rPr>
          <w:lang w:val="en-US"/>
        </w:rPr>
      </w:pPr>
      <w:r>
        <w:rPr>
          <w:rtl w:val="0"/>
          <w:lang w:val="en-US"/>
        </w:rPr>
        <w:t xml:space="preserve">Department of Biology, York University, Toronto, ON, Canada. M3J1P3. </w:t>
      </w:r>
      <w:r>
        <w:rPr>
          <w:rStyle w:val="Hyperlink.0"/>
        </w:rPr>
        <w:fldChar w:fldCharType="begin" w:fldLock="0"/>
      </w:r>
      <w:r>
        <w:rPr>
          <w:rStyle w:val="Hyperlink.0"/>
        </w:rPr>
        <w:instrText xml:space="preserve"> HYPERLINK "https://orcid.org/0000-0002-4291-7023"</w:instrText>
      </w:r>
      <w:r>
        <w:rPr>
          <w:rStyle w:val="Hyperlink.0"/>
        </w:rPr>
        <w:fldChar w:fldCharType="separate" w:fldLock="0"/>
      </w:r>
      <w:r>
        <w:rPr>
          <w:rStyle w:val="Hyperlink.0"/>
          <w:rtl w:val="0"/>
          <w:lang w:val="en-US"/>
        </w:rPr>
        <w:t>https://orcid.org/0000-0002-4291-7023</w:t>
      </w:r>
      <w:r>
        <w:rPr/>
        <w:fldChar w:fldCharType="end" w:fldLock="0"/>
      </w:r>
      <w:r>
        <w:rPr>
          <w:rtl w:val="0"/>
          <w:lang w:val="en-US"/>
        </w:rPr>
        <w:t xml:space="preserve">   *Correspondence: </w:t>
      </w:r>
      <w:r>
        <w:rPr>
          <w:rtl w:val="0"/>
        </w:rPr>
        <w:t xml:space="preserve">  </w:t>
      </w:r>
      <w:r>
        <w:rPr>
          <w:rStyle w:val="Hyperlink.0"/>
        </w:rPr>
        <w:fldChar w:fldCharType="begin" w:fldLock="0"/>
      </w:r>
      <w:r>
        <w:rPr>
          <w:rStyle w:val="Hyperlink.0"/>
        </w:rPr>
        <w:instrText xml:space="preserve"> HYPERLINK "mailto:lortie@yorku.ca"</w:instrText>
      </w:r>
      <w:r>
        <w:rPr>
          <w:rStyle w:val="Hyperlink.0"/>
        </w:rPr>
        <w:fldChar w:fldCharType="separate" w:fldLock="0"/>
      </w:r>
      <w:r>
        <w:rPr>
          <w:rStyle w:val="Hyperlink.0"/>
          <w:rtl w:val="0"/>
          <w:lang w:val="en-US"/>
        </w:rPr>
        <w:t>lortie@yorku.ca</w:t>
      </w:r>
      <w:r>
        <w:rPr/>
        <w:fldChar w:fldCharType="end" w:fldLock="0"/>
      </w:r>
    </w:p>
    <w:p>
      <w:pPr>
        <w:pStyle w:val="Body"/>
        <w:numPr>
          <w:ilvl w:val="0"/>
          <w:numId w:val="2"/>
        </w:numPr>
        <w:spacing w:line="480" w:lineRule="auto"/>
        <w:rPr>
          <w:lang w:val="en-US"/>
        </w:rPr>
      </w:pPr>
      <w:r>
        <w:rPr>
          <w:rtl w:val="0"/>
          <w:lang w:val="en-US"/>
        </w:rPr>
        <w:t xml:space="preserve">School of Biology &amp; Environmental Science, </w:t>
      </w:r>
      <w:r>
        <w:rPr>
          <w:rtl w:val="0"/>
          <w:lang w:val="en-US"/>
        </w:rPr>
        <w:t>Queensland University of Technology, Australia</w:t>
      </w:r>
      <w:r>
        <w:rPr>
          <w:rtl w:val="0"/>
          <w:lang w:val="en-US"/>
        </w:rPr>
        <w:t xml:space="preserve">. </w:t>
      </w:r>
      <w:r>
        <w:rPr>
          <w:rStyle w:val="Hyperlink.0"/>
        </w:rPr>
        <w:fldChar w:fldCharType="begin" w:fldLock="0"/>
      </w:r>
      <w:r>
        <w:rPr>
          <w:rStyle w:val="Hyperlink.0"/>
        </w:rPr>
        <w:instrText xml:space="preserve"> HYPERLINK "https://orcid.org/0000-0001-6026-8912"</w:instrText>
      </w:r>
      <w:r>
        <w:rPr>
          <w:rStyle w:val="Hyperlink.0"/>
        </w:rPr>
        <w:fldChar w:fldCharType="separate" w:fldLock="0"/>
      </w:r>
      <w:r>
        <w:rPr>
          <w:rStyle w:val="Hyperlink.0"/>
          <w:rtl w:val="0"/>
          <w:lang w:val="en-US"/>
        </w:rPr>
        <w:t>https://orcid.org/0000-0001-6026-8912</w:t>
      </w:r>
      <w:r>
        <w:rPr/>
        <w:fldChar w:fldCharType="end" w:fldLock="0"/>
      </w:r>
      <w:r>
        <w:rPr>
          <w:rtl w:val="0"/>
          <w:lang w:val="en-US"/>
        </w:rPr>
        <w:t xml:space="preserve"> </w:t>
      </w: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r>
        <w:rPr>
          <w:rtl w:val="0"/>
          <w:lang w:val="en-US"/>
        </w:rPr>
        <w:t>Ecology and Evolution Editorial.</w:t>
      </w:r>
    </w:p>
    <w:p>
      <w:pPr>
        <w:pStyle w:val="Body"/>
        <w:spacing w:line="480" w:lineRule="auto"/>
      </w:pPr>
    </w:p>
    <w:p>
      <w:pPr>
        <w:pStyle w:val="Body"/>
        <w:spacing w:line="480" w:lineRule="auto"/>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b w:val="1"/>
          <w:bCs w:val="1"/>
        </w:rPr>
      </w:pPr>
      <w:r>
        <w:rPr>
          <w:b w:val="1"/>
          <w:bCs w:val="1"/>
          <w:rtl w:val="0"/>
          <w:lang w:val="en-US"/>
        </w:rPr>
        <w:t>Abstract</w:t>
      </w:r>
    </w:p>
    <w:p>
      <w:pPr>
        <w:pStyle w:val="Body"/>
        <w:spacing w:line="480" w:lineRule="auto"/>
      </w:pPr>
    </w:p>
    <w:p>
      <w:pPr>
        <w:pStyle w:val="Body"/>
        <w:spacing w:line="480" w:lineRule="auto"/>
      </w:pPr>
      <w:r>
        <w:rPr>
          <w:rtl w:val="0"/>
          <w:lang w:val="en-US"/>
        </w:rPr>
        <w:t xml:space="preserve">Publish your data when collection is complete - prior to the pre-print or publication. Surface your data and meta-data openly in a data repository with a DOI and versioning. </w:t>
      </w:r>
      <w:r>
        <w:rPr>
          <w:rtl w:val="0"/>
          <w:lang w:val="en-US"/>
        </w:rPr>
        <w:t>This is n</w:t>
      </w:r>
      <w:r>
        <w:rPr>
          <w:rtl w:val="0"/>
          <w:lang w:val="en-US"/>
        </w:rPr>
        <w:t xml:space="preserve">ot </w:t>
      </w:r>
      <w:r>
        <w:rPr>
          <w:rtl w:val="0"/>
          <w:lang w:val="en-US"/>
        </w:rPr>
        <w:t xml:space="preserve">an entirely </w:t>
      </w:r>
      <w:r>
        <w:rPr>
          <w:rtl w:val="0"/>
          <w:lang w:val="en-US"/>
        </w:rPr>
        <w:t xml:space="preserve">novel </w:t>
      </w:r>
      <w:r>
        <w:rPr>
          <w:rtl w:val="0"/>
          <w:lang w:val="en-US"/>
        </w:rPr>
        <w:t xml:space="preserve">proposal, </w:t>
      </w:r>
      <w:r>
        <w:rPr>
          <w:rtl w:val="0"/>
          <w:lang w:val="en-US"/>
        </w:rPr>
        <w:t xml:space="preserve">but </w:t>
      </w:r>
      <w:r>
        <w:rPr>
          <w:rtl w:val="0"/>
          <w:lang w:val="en-US"/>
        </w:rPr>
        <w:t xml:space="preserve">it is </w:t>
      </w:r>
      <w:r>
        <w:rPr>
          <w:rtl w:val="0"/>
          <w:lang w:val="en-US"/>
        </w:rPr>
        <w:t>also not the norm in the historical or even contemporary culture of many scientific disciplines</w:t>
      </w:r>
      <w:r>
        <w:rPr>
          <w:rtl w:val="0"/>
          <w:lang w:val="en-US"/>
        </w:rPr>
        <w:t xml:space="preserve"> including ecology and evolution</w:t>
      </w:r>
      <w:r>
        <w:rPr>
          <w:rtl w:val="0"/>
          <w:lang w:val="en-US"/>
        </w:rPr>
        <w:t xml:space="preserve">. Nonetheless, sharing sooner enables more rapid and effective discovery, and dramatic </w:t>
      </w:r>
      <w:r>
        <w:rPr>
          <w:rtl w:val="0"/>
          <w:lang w:val="en-US"/>
        </w:rPr>
        <w:t xml:space="preserve">cultural and scientific </w:t>
      </w:r>
      <w:r>
        <w:rPr>
          <w:rtl w:val="0"/>
          <w:lang w:val="en-US"/>
        </w:rPr>
        <w:t>changes can happen. The COVID-19 pandemic has highlighted the incredible power of sharing data, simple summary statistics, and all findings extremely rapidly as collected or in real-time.</w:t>
      </w:r>
      <w:r>
        <w:rPr>
          <w:rtl w:val="0"/>
          <w:lang w:val="en-US"/>
        </w:rPr>
        <w:t xml:space="preserve"> </w:t>
      </w:r>
      <w:r>
        <w:rPr>
          <w:rtl w:val="0"/>
          <w:lang w:val="en-US"/>
        </w:rPr>
        <w:t>The public and scientific community at large used these resources to engage in open, novel data-driven science and evidence-informed decision making. In many other disciplines, we can adopt these lessons for both societal good and better science. Here, a simple set of direct benefits to the primary researcher are articulated and innovations to the scientific process and cultural practice of evidence deliberation are proposed.</w:t>
      </w:r>
    </w:p>
    <w:p>
      <w:pPr>
        <w:pStyle w:val="Body"/>
        <w:spacing w:line="480" w:lineRule="auto"/>
      </w:pPr>
    </w:p>
    <w:p>
      <w:pPr>
        <w:pStyle w:val="Body"/>
        <w:spacing w:line="480" w:lineRule="auto"/>
        <w:rPr>
          <w:b w:val="1"/>
          <w:bCs w:val="1"/>
        </w:rPr>
      </w:pPr>
    </w:p>
    <w:p>
      <w:pPr>
        <w:pStyle w:val="Body"/>
        <w:spacing w:line="480" w:lineRule="auto"/>
        <w:rPr>
          <w:b w:val="1"/>
          <w:bCs w:val="1"/>
        </w:rPr>
      </w:pPr>
      <w:r>
        <w:rPr>
          <w:b w:val="1"/>
          <w:bCs w:val="1"/>
          <w:rtl w:val="0"/>
          <w:lang w:val="en-US"/>
        </w:rPr>
        <w:t>Keywords</w:t>
      </w:r>
    </w:p>
    <w:p>
      <w:pPr>
        <w:pStyle w:val="Body"/>
        <w:spacing w:line="480" w:lineRule="auto"/>
      </w:pPr>
      <w:r>
        <w:rPr>
          <w:rtl w:val="0"/>
          <w:lang w:val="en-US"/>
        </w:rPr>
        <w:t xml:space="preserve">Efficiency, environmental evidence, evidence-informed decision making, open data, open science, publication process, meta-science, team science, and timing. </w:t>
      </w:r>
    </w:p>
    <w:p>
      <w:pPr>
        <w:pStyle w:val="Body"/>
        <w:spacing w:line="480" w:lineRule="auto"/>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b w:val="1"/>
          <w:bCs w:val="1"/>
        </w:rPr>
      </w:pPr>
      <w:r>
        <w:rPr>
          <w:b w:val="1"/>
          <w:bCs w:val="1"/>
          <w:rtl w:val="0"/>
          <w:lang w:val="en-US"/>
        </w:rPr>
        <w:t>Introduction</w:t>
      </w:r>
    </w:p>
    <w:p>
      <w:pPr>
        <w:pStyle w:val="Body"/>
        <w:spacing w:line="480" w:lineRule="auto"/>
      </w:pPr>
      <w:r>
        <w:rPr>
          <w:rtl w:val="0"/>
          <w:lang w:val="en-US"/>
        </w:rPr>
        <w:t xml:space="preserve">Data are a fundamental component of the scientific process. Data can inform ideas, are one of many critical outputs of experimentation, and are the substrate of most traditional scientific reporting formats in journals in disciplines such as ecology and evolution. It has also been proposed that papers presenting more data and relatively more diverse data are more cited in ecology and evolution </w:t>
      </w:r>
      <w:r>
        <w:rPr/>
        <w:fldChar w:fldCharType="begin" w:fldLock="0"/>
      </w:r>
      <w:r>
        <w:instrText xml:space="preserve"> ADDIN EN.CITE &lt;EndNote&gt;&lt;Cite  &gt;&lt;Author&gt;Fox, Charles W.; Paine, C. E. Timothy; Sauterey, Boris&lt;/Author&gt;&lt;Year&gt;2016&lt;/Year&gt;&lt;RecNum&gt;7133&lt;/RecNum&gt;&lt;Prefix&gt;&lt;/Prefix&gt;&lt;Suffix&gt;&lt;/Suffix&gt;&lt;Pages&gt;&lt;/Pages&gt;&lt;DisplayText&gt;(Fox et al., 2016)&lt;/DisplayText&gt;&lt;record&gt;&lt;database name="lit_2021.enl" path="/Volumes/zendata/tC/references/2021/lit_2021.enl"&gt;lit_2021.enl&lt;/database&gt;&lt;source-app name="EndNote" version="19.3"&gt;EndNote&lt;/source-app&gt;&lt;rec-number&gt;7133&lt;/rec-number&gt;&lt;foreign-keys&gt;&lt;key app="EN" db-id="zv9tw0t2n2xfdiet259x2tdh09prp29zrxsv"&gt;7133&lt;/key&gt;&lt;/foreign-keys&gt;&lt;ref-type name="Journal Article"&gt;17&lt;/ref-type&gt;&lt;contributors&gt;&lt;authors&gt;&lt;author&gt;&lt;style face="normal" font="default" size="100%"&gt;Fox, Charles W.&lt;/style&gt;&lt;/author&gt;&lt;author&gt;&lt;style face="normal" font="default" size="100%"&gt;Paine, C. E. Timothy&lt;/style&gt;&lt;/author&gt;&lt;author&gt;&lt;style face="normal" font="default" size="100%"&gt;Sauterey, Boris&lt;/style&gt;&lt;/author&gt;&lt;/authors&gt;&lt;/contributors&gt;&lt;titles&gt;&lt;title&gt;&lt;style face="normal" font="default" size="100%"&gt;Citations increase with manuscript length, author number, and references cited in ecology journals&lt;/style&gt;&lt;/title&gt;&lt;secondary-title&gt;&lt;style face="normal" font="default" size="100%"&gt;Ecology and evolution&lt;/style&gt;&lt;/secondary-title&gt;&lt;alt-title&gt;&lt;style face="normal" font="default" size="100%"&gt;Ecol Evol&lt;/style&gt;&lt;/alt-title&gt;&lt;/titles&gt;&lt;periodical&gt;&lt;full-title&gt;&lt;style face="normal" font="default" size="100%"&gt;Ecology and Evolution&lt;/style&gt;&lt;/full-title&gt;&lt;/periodical&gt;&lt;pages&gt;&lt;style face="normal" font="default" size="100%"&gt;7717-7726&lt;/style&gt;&lt;/pages&gt;&lt;volume&gt;&lt;style face="normal" font="default" size="100%"&gt;6&lt;/style&gt;&lt;/volume&gt;&lt;number&gt;&lt;style face="normal" font="default" size="100%"&gt;21&lt;/style&gt;&lt;/number&gt;&lt;keywords&gt;&lt;keyword&gt;&lt;style face="normal" font="default" size="100%"&gt;bibliometrics&lt;/style&gt;&lt;/keyword&gt;&lt;keyword&gt;&lt;style face="normal" font="default" size="100%"&gt;citation analysis&lt;/style&gt;&lt;/keyword&gt;&lt;keyword&gt;&lt;style face="normal" font="default" size="100%"&gt;journal guidelines&lt;/style&gt;&lt;/keyword&gt;&lt;keyword&gt;&lt;style face="normal" font="default" size="100%"&gt;research impact&lt;/style&gt;&lt;/keyword&gt;&lt;keyword&gt;&lt;style face="normal" font="default" size="100%"&gt;scientific publication&lt;/style&gt;&lt;/keyword&gt;&lt;/keywords&gt;&lt;dates&gt;&lt;year&gt;&lt;style face="normal" font="default" size="100%"&gt;2016&lt;/style&gt;&lt;/year&gt;&lt;/dates&gt;&lt;publisher&gt;&lt;style face="normal" font="default" size="100%"&gt;John Wiley and Sons Inc.&lt;/style&gt;&lt;/publisher&gt;&lt;isbn&gt;&lt;style face="normal" font="default" size="100%"&gt;2045-7758&lt;/style&gt;&lt;/isbn&gt;&lt;accession-num&gt;&lt;style face="normal" font="default" size="100%"&gt;30128123&lt;/style&gt;&lt;/accession-num&gt;&lt;abstract&gt;&lt;style face="normal" font="default" size="100%"&gt;Most top impact factor ecology journals indicate a preference or requirement for short manuscripts; some state clearly defined word limits, whereas others indicate a preference for more concise papers. Yet evidence from a variety of academic fields indicates that within journals longer papers are both more positively reviewed by referees and more highly cited. We examine the relationship between citations received and manuscript length, number of authors, and number of references cited for papers published in 32 ecology journals between 2009 and 2012. We find that longer papers, those with more authors, and those that cite more references are cited more. Although paper length, author count, and references cited all positively covary, an increase in each independently predicts an increase in citations received, with estimated relationships positive for all the journals we examined. That all three variables covary positively with citations suggests that papers presenting more and a greater diversity of data and ideas are more impactful. We suggest that the imposition of arbitrary manuscript length limits discourages the publication of more impactful studies. We propose that journals abolish arbitrary word or page limits, avoid declining papers (or requiring shortening) on the basis of length alone (irrespective of content), and adopt the philosophy that papers should be as long as they need to be.&lt;/style&gt;&lt;/abstract&gt;&lt;notes&gt;&lt;style face="normal" font="default" size="100%"&gt;30128123[pmid]PMC6093155[pmcid]ECE32505[PII]&lt;/style&gt;&lt;/notes&gt;&lt;urls&gt;&lt;related-urls&gt;&lt;url&gt;&lt;style face="normal" font="default" size="100%"&gt;https://pubmed.ncbi.nlm.nih.gov/30128123&lt;/style&gt;&lt;/url&gt;&lt;url&gt;&lt;style face="normal" font="default" size="100%"&gt;https://www.ncbi.nlm.nih.gov/pmc/articles/PMC6093155/&lt;/style&gt;&lt;/url&gt;&lt;/related-urls&gt;&lt;/urls&gt;&lt;electronic-resource-num&gt;&lt;style face="normal" font="default" size="100%"&gt;10.1002/ece3.2505&lt;/style&gt;&lt;/electronic-resource-num&gt;&lt;remote-database-name&gt;&lt;style face="normal" font="default" size="100%"&gt;PubMed&lt;/style&gt;&lt;/remote-database-name&gt;&lt;language&gt;&lt;style face="normal" font="default" size="100%"&gt;eng&lt;/style&gt;&lt;/language&gt;&lt;/record&gt;&lt;/Cite&gt;&lt;/EndNote&gt;</w:instrText>
      </w:r>
      <w:r>
        <w:rPr/>
        <w:fldChar w:fldCharType="separate" w:fldLock="0"/>
      </w:r>
      <w:r>
        <w:rPr>
          <w:rtl w:val="0"/>
          <w:lang w:val="fr-FR"/>
        </w:rPr>
        <w:t>(Fox et al., 2016)</w:t>
      </w:r>
      <w:r>
        <w:rPr/>
        <w:fldChar w:fldCharType="end" w:fldLock="0"/>
      </w:r>
      <w:r>
        <w:rPr>
          <w:rtl w:val="0"/>
          <w:lang w:val="en-US"/>
        </w:rPr>
        <w:t xml:space="preserve">. Data and theory need not however compete for relevance in any scientific discipline including ecology </w:t>
      </w:r>
      <w:r>
        <w:rPr/>
        <w:fldChar w:fldCharType="begin" w:fldLock="0"/>
      </w:r>
      <w:r>
        <w:instrText xml:space="preserve"> ADDIN EN.CITE &lt;EndNote&gt;&lt;Cite  &gt;&lt;Author&gt;Fagerström, Torbjörn&lt;/Author&gt;&lt;Year&gt;1987&lt;/Year&gt;&lt;Prefix&gt;&lt;/Prefix&gt;&lt;Suffix&gt;&lt;/Suffix&gt;&lt;Pages&gt;&lt;/Pages&gt;&lt;DisplayText&gt;(Betts et al., 2021; Fagerström, 1987; Shrader-Frechette &amp; McCoy, 1990; Spaargaren et al., 2009)&lt;/DisplayText&gt;&lt;record&gt;&lt;database name="lit_2021.enl" path="/Volumes/zendata/tC/references/2021/lit_2021.enl"&gt;lit_2021.enl&lt;/database&gt;&lt;source-app name="EndNote" version="19.3"&gt;EndNote&lt;/source-app&gt;&lt;rec-number&gt;7130&lt;/rec-number&gt;&lt;foreign-keys&gt;&lt;key app="EN" db-id="zv9tw0t2n2xfdiet259x2tdh09prp29zrxsv"&gt;7130&lt;/key&gt;&lt;/foreign-keys&gt;&lt;ref-type name="Journal Article"&gt;17&lt;/ref-type&gt;&lt;contributors&gt;&lt;authors&gt;&lt;author&gt;&lt;style face="normal" font="default" size="100%"&gt;Fagerström, Torbjörn&lt;/style&gt;&lt;/author&gt;&lt;/authors&gt;&lt;/contributors&gt;&lt;titles&gt;&lt;title&gt;&lt;style face="normal" font="default" size="100%"&gt;On Theory, Data and Mathematics in Ecology&lt;/style&gt;&lt;/title&gt;&lt;secondary-title&gt;&lt;style face="normal" font="default" size="100%"&gt;Oikos&lt;/style&gt;&lt;/secondary-title&gt;&lt;/titles&gt;&lt;periodical&gt;&lt;full-title&gt;&lt;style face="normal" font="default" size="100%"&gt;Oikos&lt;/style&gt;&lt;/full-title&gt;&lt;/periodical&gt;&lt;pages&gt;&lt;style face="normal" font="default" size="100%"&gt;258-261&lt;/style&gt;&lt;/pages&gt;&lt;volume&gt;&lt;style face="normal" font="default" size="100%"&gt;50&lt;/style&gt;&lt;/volume&gt;&lt;number&gt;&lt;style face="normal" font="default" size="100%"&gt;2&lt;/style&gt;&lt;/number&gt;&lt;dates&gt;&lt;year&gt;&lt;style face="normal" font="default" size="100%"&gt;1987&lt;/style&gt;&lt;/year&gt;&lt;/dates&gt;&lt;publisher&gt;&lt;style face="normal" font="default" size="100%"&gt;[Nordic Society Oikos, Wiley]&lt;/style&gt;&lt;/publisher&gt;&lt;isbn&gt;&lt;style face="normal" font="default" size="100%"&gt;00301299, 16000706&lt;/style&gt;&lt;/isbn&gt;&lt;urls&gt;&lt;related-urls&gt;&lt;url&gt;&lt;style face="normal" font="default" size="100%"&gt;http://www.jstor.org/stable/3566010&lt;/style&gt;&lt;/url&gt;&lt;/related-urls&gt;&lt;/urls&gt;&lt;custom1&gt;&lt;style face="normal" font="default" size="100%"&gt;Full publication date: Oct., 1987&lt;/style&gt;&lt;/custom1&gt;&lt;electronic-resource-num&gt;&lt;style face="normal" font="default" size="100%"&gt;10.2307/3566010&lt;/style&gt;&lt;/electronic-resource-num&gt;&lt;remote-database-name&gt;&lt;style face="normal" font="default" size="100%"&gt;JSTOR&lt;/style&gt;&lt;/remote-database-name&gt;&lt;access-date&gt;&lt;style face="normal" font="default" size="100%"&gt;2021/05/27/&lt;/style&gt;&lt;/access-date&gt;&lt;/record&gt;&lt;/Cite&gt;&lt;Cite  &gt;&lt;Author&gt;Shrader-Frechette, K.S.; McCoy, E.&lt;/Author&gt;&lt;Year&gt;1990&lt;/Year&gt;&lt;RecNum&gt;1585&lt;/RecNum&gt;&lt;Prefix&gt;&lt;/Prefix&gt;&lt;Suffix&gt;&lt;/Suffix&gt;&lt;Pages&gt;&lt;/Pages&gt;&lt;record&gt;&lt;database name="lit_2021.enl" path="/Volumes/zendata/tC/references/2021/lit_2021.enl"&gt;lit_2021.enl&lt;/database&gt;&lt;source-app name="EndNote" version="19.3"&gt;EndNote&lt;/source-app&gt;&lt;rec-number&gt;1585&lt;/rec-number&gt;&lt;foreign-keys&gt;&lt;key app="EN" db-id="zv9tw0t2n2xfdiet259x2tdh09prp29zrxsv"&gt;1585&lt;/key&gt;&lt;/foreign-keys&gt;&lt;ref-type name="Journal Article"&gt;17&lt;/ref-type&gt;&lt;contributors&gt;&lt;authors&gt;&lt;author&gt;&lt;style face="normal" font="default" size="100%"&gt;Shrader-Frechette, K.S.&lt;/style&gt;&lt;/author&gt;&lt;author&gt;&lt;style face="normal" font="default" size="100%"&gt;McCoy, E.&lt;/style&gt;&lt;/author&gt;&lt;/authors&gt;&lt;/contributors&gt;&lt;titles&gt;&lt;title&gt;&lt;style face="normal" font="default" size="100%"&gt;Theory reduction and explanation in ecology.&lt;/style&gt;&lt;/title&gt;&lt;secondary-title&gt;&lt;style face="normal" font="default" size="100%"&gt;Oikos&lt;/style&gt;&lt;/secondary-title&gt;&lt;/titles&gt;&lt;periodical&gt;&lt;full-title&gt;&lt;style face="normal" font="default" size="100%"&gt;Oikos&lt;/style&gt;&lt;/full-title&gt;&lt;/periodical&gt;&lt;pages&gt;&lt;style face="normal" font="default" size="100%"&gt;109-114&lt;/style&gt;&lt;/pages&gt;&lt;volume&gt;&lt;style face="normal" font="default" size="100%"&gt;58&lt;/style&gt;&lt;/volume&gt;&lt;keywords&gt;&lt;keyword&gt;&lt;style face="normal" font="default" size="100%"&gt;interactions general ecology, philisophy, paradigms&lt;/style&gt;&lt;/keyword&gt;&lt;/keywords&gt;&lt;dates&gt;&lt;year&gt;&lt;style face="normal" font="default" size="100%"&gt;1990&lt;/style&gt;&lt;/year&gt;&lt;/dates&gt;&lt;urls&gt;&lt;/urls&gt;&lt;/record&gt;&lt;/Cite&gt;&lt;Cite  &gt;&lt;Author&gt;Spaargaren, Gert; Mol, Arthur; Sonnenfeld, David&lt;/Author&gt;&lt;Year&gt;2009&lt;/Year&gt;&lt;RecNum&gt;7132&lt;/RecNum&gt;&lt;Prefix&gt;&lt;/Prefix&gt;&lt;Suffix&gt;&lt;/Suffix&gt;&lt;Pages&gt;&lt;/Pages&gt;&lt;record&gt;&lt;database name="lit_2021.enl" path="/Volumes/zendata/tC/references/2021/lit_2021.enl"&gt;lit_2021.enl&lt;/database&gt;&lt;source-app name="EndNote" version="19.3"&gt;EndNote&lt;/source-app&gt;&lt;rec-number&gt;7132&lt;/rec-number&gt;&lt;foreign-keys&gt;&lt;key app="EN" db-id="zv9tw0t2n2xfdiet259x2tdh09prp29zrxsv"&gt;7132&lt;/key&gt;&lt;/foreign-keys&gt;&lt;ref-type name="Journal Article"&gt;17&lt;/ref-type&gt;&lt;contributors&gt;&lt;authors&gt;&lt;author&gt;&lt;style face="normal" font="default" size="100%"&gt;Spaargaren, Gert&lt;/style&gt;&lt;/author&gt;&lt;author&gt;&lt;style face="normal" font="default" size="100%"&gt;Mol, Arthur&lt;/style&gt;&lt;/author&gt;&lt;author&gt;&lt;style face="normal" font="default" size="100%"&gt;Sonnenfeld, David&lt;/style&gt;&lt;/author&gt;&lt;/authors&gt;&lt;/contributors&gt;&lt;titles&gt;&lt;title&gt;&lt;style face="normal" font="default" size="100%"&gt;Ecological modernisation: assessment, critical debates and future directions&lt;/style&gt;&lt;/title&gt;&lt;secondary-title&gt;&lt;style face="normal" font="default" size="100%"&gt;The Ecological Modernisation Reader. Environmental reform in theory and practice.&lt;/style&gt;&lt;/secondary-title&gt;&lt;/titles&gt;&lt;periodical&gt;&lt;full-title&gt;&lt;style face="normal" font="default" size="100%"&gt;The Ecological Modernisation Reader. Environmental reform in theory and practice.&lt;/style&gt;&lt;/full-title&gt;&lt;/periodical&gt;&lt;pages&gt;&lt;style face="normal" font="default" size="100%"&gt;501-520&lt;/style&gt;&lt;/pages&gt;&lt;dates&gt;&lt;year&gt;&lt;style face="normal" font="default" size="100%"&gt;2009&lt;/style&gt;&lt;/year&gt;&lt;pub-dates&gt;&lt;date&gt;&lt;style face="normal" font="default" size="100%"&gt;01/01&lt;/style&gt;&lt;/date&gt;&lt;/pub-dates&gt;&lt;/dates&gt;&lt;urls&gt;&lt;/urls&gt;&lt;/record&gt;&lt;/Cite&gt;&lt;Cite  &gt;&lt;Author&gt;Betts, Matthew G.; Hadley, Adam S.; Frey, David W.; Frey, Sarah J. K.; Gannon, Dusty; Harris, Scott H.; Kim, Hankyu; Kormann, Urs G.; Leimberger, Kara; Moriarty, Katie; Northrup, Joseph M.; Phalan, Ben; Rousseau, Josée S.; Stokely, Thomas D.; Valente, Jonathon J.; Wolf, Chris; Zárrate-Charry, Diego&lt;/Author&gt;&lt;Year&gt;2021&lt;/Year&gt;&lt;Prefix&gt;&lt;/Prefix&gt;&lt;Suffix&gt;&lt;/Suffix&gt;&lt;Pages&gt;&lt;/Pages&gt;&lt;record&gt;&lt;database name="lit_2021.enl" path="/Volumes/zendata/tC/references/2021/lit_2021.enl"&gt;lit_2021.enl&lt;/database&gt;&lt;source-app name="EndNote" version="19.3"&gt;EndNote&lt;/source-app&gt;&lt;rec-number&gt;7113&lt;/rec-number&gt;&lt;foreign-keys&gt;&lt;key app="EN" db-id="zv9tw0t2n2xfdiet259x2tdh09prp29zrxsv"&gt;7113&lt;/key&gt;&lt;/foreign-keys&gt;&lt;ref-type name="Journal Article"&gt;17&lt;/ref-type&gt;&lt;contributors&gt;&lt;authors&gt;&lt;author&gt;&lt;style face="normal" font="default" size="100%"&gt;Betts, Matthew G.&lt;/style&gt;&lt;/author&gt;&lt;author&gt;&lt;style face="normal" font="default" size="100%"&gt;Hadley, Adam S.&lt;/style&gt;&lt;/author&gt;&lt;author&gt;&lt;style face="normal" font="default" size="100%"&gt;Frey, David W.&lt;/style&gt;&lt;/author&gt;&lt;author&gt;&lt;style face="normal" font="default" size="100%"&gt;Frey, Sarah J. K.&lt;/style&gt;&lt;/author&gt;&lt;author&gt;&lt;style face="normal" font="default" size="100%"&gt;Gannon, Dusty&lt;/style&gt;&lt;/author&gt;&lt;author&gt;&lt;style face="normal" font="default" size="100%"&gt;Harris, Scott H.&lt;/style&gt;&lt;/author&gt;&lt;author&gt;&lt;style face="normal" font="default" size="100%"&gt;Kim, Hankyu&lt;/style&gt;&lt;/author&gt;&lt;author&gt;&lt;style face="normal" font="default" size="100%"&gt;Kormann, Urs G.&lt;/style&gt;&lt;/author&gt;&lt;author&gt;&lt;style face="normal" font="default" size="100%"&gt;Leimberger, Kara&lt;/style&gt;&lt;/author&gt;&lt;author&gt;&lt;style face="normal" font="default" size="100%"&gt;Moriarty, Katie&lt;/style&gt;&lt;/author&gt;&lt;author&gt;&lt;style face="normal" font="default" size="100%"&gt;Northrup, Joseph M.&lt;/style&gt;&lt;/author&gt;&lt;author&gt;&lt;style face="normal" font="default" size="100%"&gt;Phalan, Ben&lt;/style&gt;&lt;/author&gt;&lt;author&gt;&lt;style face="normal" font="default" size="100%"&gt;Rousseau, Josée S.&lt;/style&gt;&lt;/author&gt;&lt;author&gt;&lt;style face="normal" font="default" size="100%"&gt;Stokely, Thomas D.&lt;/style&gt;&lt;/author&gt;&lt;author&gt;&lt;style face="normal" font="default" size="100%"&gt;Valente, Jonathon J.&lt;/style&gt;&lt;/author&gt;&lt;author&gt;&lt;style face="normal" font="default" size="100%"&gt;Wolf, Chris&lt;/style&gt;&lt;/author&gt;&lt;author&gt;&lt;style face="normal" font="default" size="100%"&gt;Zárrate-Charry, Diego&lt;/style&gt;&lt;/author&gt;&lt;/authors&gt;&lt;/contributors&gt;&lt;titles&gt;&lt;title&gt;&lt;style face="normal" font="default" size="100%"&gt;When are hypotheses useful in ecology and evolution?&lt;/style&gt;&lt;/title&gt;&lt;secondary-title&gt;&lt;style face="normal" font="default" size="100%"&gt;Ecology and Evolution&lt;/style&gt;&lt;/secondary-title&gt;&lt;/titles&gt;&lt;periodical&gt;&lt;full-title&gt;&lt;style face="normal" font="default" size="100%"&gt;Ecology and Evolution&lt;/style&gt;&lt;/full-title&gt;&lt;/periodical&gt;&lt;volume&gt;&lt;style face="normal" font="default" size="100%"&gt;n/a&lt;/style&gt;&lt;/volume&gt;&lt;number&gt;&lt;style face="normal" font="default" size="100%"&gt;n/a&lt;/style&gt;&lt;/number&gt;&lt;keywords&gt;&lt;keyword&gt;&lt;style face="normal" font="default" size="100%"&gt;hypothesis&lt;/style&gt;&lt;/keyword&gt;&lt;keyword&gt;&lt;style face="normal" font="default" size="100%"&gt;mechanisms&lt;/style&gt;&lt;/keyword&gt;&lt;keyword&gt;&lt;style face="normal" font="default" size="100%"&gt;multiple working hypotheses&lt;/style&gt;&lt;/keyword&gt;&lt;keyword&gt;&lt;style face="normal" font="default" size="100%"&gt;prediction&lt;/style&gt;&lt;/keyword&gt;&lt;keyword&gt;&lt;style face="normal" font="default" size="100%"&gt;scientific method&lt;/style&gt;&lt;/keyword&gt;&lt;/keywords&gt;&lt;dates&gt;&lt;year&gt;&lt;style face="normal" font="default" size="100%"&gt;2021&lt;/style&gt;&lt;/year&gt;&lt;pub-dates&gt;&lt;date&gt;&lt;style face="normal" font="default" size="100%"&gt;2021/03/25&lt;/style&gt;&lt;/date&gt;&lt;/pub-dates&gt;&lt;/dates&gt;&lt;publisher&gt;&lt;style face="normal" font="default" size="100%"&gt;John Wiley &amp;amp; Sons, Ltd&lt;/style&gt;&lt;/publisher&gt;&lt;isbn&gt;&lt;style face="normal" font="default" size="100%"&gt;2045-7758&lt;/style&gt;&lt;/isbn&gt;&lt;abstract&gt;&lt;style face="normal" font="default" size="100%"&gt;Abstract Research hypotheses have been a cornerstone of science since before Galileo. Many have argued that hypotheses (1) encourage discovery of mechanisms, and (2) reduce bias?both features that should increase transferability and reproducibility. However, we are entering a new era of big data and highly predictive models where some argue the hypothesis is outmoded. We hypothesized that hypothesis use has declined in ecology and evolution since the 1990s, given the substantial advancement of tools further facilitating descriptive, correlative research. Alternatively, hypothesis use may have become more frequent due to the strong recommendation by some journals and funding agencies that submissions have hypothesis statements. Using a detailed literature analysis (N = 268 articles), we found prevalence of hypotheses in eco?evo research is very low (6.7%?26%) and static from 1990?2015, a pattern mirrored in an extensive literature search (N = 302,558 articles). Our literature review also indicates that neither grant success nor citation rates were related to the inclusion of hypotheses, which may provide disincentive for hypothesis formulation. Here, we review common justifications for avoiding hypotheses and present new arguments based on benefits to the individual researcher. We argue that stating multiple alternative hypotheses increases research clarity and precision, and is more likely to address the mechanisms for observed patterns in nature. Although hypotheses are not always necessary, we expect their continued and increased use will help our fields move toward greater understanding, reproducibility, prediction, and effective conservation of nature.&lt;/style&gt;&lt;/abstract&gt;&lt;notes&gt;&lt;style face="normal" font="default" size="100%"&gt;https://doi.org/10.1002/ece3.7365&lt;/style&gt;&lt;/notes&gt;&lt;work-type&gt;&lt;style face="normal" font="default" size="100%"&gt;https://doi.org/10.1002/ece3.7365&lt;/style&gt;&lt;/work-type&gt;&lt;urls&gt;&lt;related-urls&gt;&lt;url&gt;&lt;style face="normal" font="default" size="100%"&gt;https://doi.org/10.1002/ece3.7365&lt;/style&gt;&lt;/url&gt;&lt;/related-urls&gt;&lt;/urls&gt;&lt;electronic-resource-num&gt;&lt;style face="normal" font="default" size="100%"&gt;https://doi.org/10.1002/ece3.7365&lt;/style&gt;&lt;/electronic-resource-num&gt;&lt;access-date&gt;&lt;style face="normal" font="default" size="100%"&gt;2021/04/22&lt;/style&gt;&lt;/access-date&gt;&lt;/record&gt;&lt;/Cite&gt;&lt;/EndNote&gt;</w:instrText>
      </w:r>
      <w:r>
        <w:rPr/>
        <w:fldChar w:fldCharType="separate" w:fldLock="0"/>
      </w:r>
      <w:r>
        <w:rPr>
          <w:rtl w:val="0"/>
          <w:lang w:val="nl-NL"/>
        </w:rPr>
        <w:t>(Betts et al., 2021; Fagerström, 1987; Shrader-Frechette &amp; McCoy, 1990; Spaargaren et al., 2009)</w:t>
      </w:r>
      <w:r>
        <w:rPr/>
        <w:fldChar w:fldCharType="end" w:fldLock="0"/>
      </w:r>
      <w:r>
        <w:rPr>
          <w:rtl w:val="0"/>
          <w:lang w:val="en-US"/>
        </w:rPr>
        <w:t xml:space="preserve">. In many respects, computation and work with data can iteratively feedback to theory development and novel ideas including new experiments </w:t>
      </w:r>
      <w:r>
        <w:rPr/>
        <w:fldChar w:fldCharType="begin" w:fldLock="0"/>
      </w:r>
      <w:r>
        <w:instrText xml:space="preserve"> ADDIN EN.CITE &lt;EndNote&gt;&lt;Cite  &gt;&lt;Author&gt;Markowetz, Florian&lt;/Author&gt;&lt;Year&gt;2017&lt;/Year&gt;&lt;RecNum&gt;6067&lt;/RecNum&gt;&lt;Prefix&gt;&lt;/Prefix&gt;&lt;Suffix&gt;&lt;/Suffix&gt;&lt;Pages&gt;&lt;/Pages&gt;&lt;DisplayText&gt;(Markowetz, 2017)&lt;/DisplayText&gt;&lt;record&gt;&lt;database name="lit_2021.enl" path="/Volumes/zendata/tC/references/2021/lit_2021.enl"&gt;lit_2021.enl&lt;/database&gt;&lt;source-app name="EndNote" version="19.3"&gt;EndNote&lt;/source-app&gt;&lt;rec-number&gt;6067&lt;/rec-number&gt;&lt;foreign-keys&gt;&lt;key app="EN" db-id="zv9tw0t2n2xfdiet259x2tdh09prp29zrxsv"&gt;6067&lt;/key&gt;&lt;/foreign-keys&gt;&lt;ref-type name="Journal Article"&gt;17&lt;/ref-type&gt;&lt;contributors&gt;&lt;authors&gt;&lt;author&gt;&lt;style face="normal" font="default" size="100%"&gt;Markowetz, Florian&lt;/style&gt;&lt;/author&gt;&lt;/authors&gt;&lt;/contributors&gt;&lt;titles&gt;&lt;title&gt;&lt;style face="normal" font="default" size="100%"&gt;All biology is computational biology&lt;/style&gt;&lt;/title&gt;&lt;secondary-title&gt;&lt;style face="normal" font="default" size="100%"&gt;PLOS Biology&lt;/style&gt;&lt;/secondary-title&gt;&lt;/titles&gt;&lt;periodical&gt;&lt;full-title&gt;&lt;style face="normal" font="default" size="100%"&gt;Plos Biology&lt;/style&gt;&lt;/full-title&gt;&lt;/periodical&gt;&lt;pages&gt;&lt;style face="normal" font="default" size="100%"&gt;e2002050&lt;/style&gt;&lt;/pages&gt;&lt;volume&gt;&lt;style face="normal" font="default" size="100%"&gt;15&lt;/style&gt;&lt;/volume&gt;&lt;number&gt;&lt;style face="normal" font="default" size="100%"&gt;3&lt;/style&gt;&lt;/number&gt;&lt;dates&gt;&lt;year&gt;&lt;style face="normal" font="default" size="100%"&gt;2017&lt;/style&gt;&lt;/year&gt;&lt;/dates&gt;&lt;publisher&gt;&lt;style face="normal" font="default" size="100%"&gt;Public Library of Science&lt;/style&gt;&lt;/publisher&gt;&lt;abstract&gt;&lt;style face="normal" font="default" size="100%"&gt;Here, I argue that computational thinking and techniques are so central to the quest of understanding life that today all biology is computational biology. Computational biology brings order into our understanding of life, it makes biological concepts rigorous and testable, and it provides a reference map that holds together individual insights. The next modern synthesis in biology will be driven by mathematical, statistical, and computational methods being absorbed into mainstream biological training, turning biology into a quantitative science.&lt;/style&gt;&lt;/abstract&gt;&lt;urls&gt;&lt;related-urls&gt;&lt;url&gt;&lt;style face="normal" font="default" size="100%"&gt;https://doi.org/10.1371/journal.pbio.2002050&lt;/style&gt;&lt;/url&gt;&lt;/related-urls&gt;&lt;/urls&gt;&lt;electronic-resource-num&gt;&lt;style face="normal" font="default" size="100%"&gt;10.1371/journal.pbio.2002050&lt;/style&gt;&lt;/electronic-resource-num&gt;&lt;/record&gt;&lt;/Cite&gt;&lt;/EndNote&gt;</w:instrText>
      </w:r>
      <w:r>
        <w:rPr/>
        <w:fldChar w:fldCharType="separate" w:fldLock="0"/>
      </w:r>
      <w:r>
        <w:rPr>
          <w:rtl w:val="0"/>
        </w:rPr>
        <w:t>(Markowetz, 2017)</w:t>
      </w:r>
      <w:r>
        <w:rPr/>
        <w:fldChar w:fldCharType="end" w:fldLock="0"/>
      </w:r>
      <w:r>
        <w:rPr>
          <w:rtl w:val="0"/>
          <w:lang w:val="en-US"/>
        </w:rPr>
        <w:t xml:space="preserve">. Data, when aggregated or well articulated, can also directly and collectively inform best practices in fields such as restoration ecology in addition to the peer-reviewed publications and engender transdisciplinary solutions that involve connecting the dots through data between disciplines </w:t>
      </w:r>
      <w:r>
        <w:rPr/>
        <w:fldChar w:fldCharType="begin" w:fldLock="0"/>
      </w:r>
      <w:r>
        <w:instrText xml:space="preserve"> ADDIN EN.CITE &lt;EndNote&gt;&lt;Cite  &gt;&lt;Author&gt;Ladouceur, Emma; Shackelford, Nancy&lt;/Author&gt;&lt;Year&gt;2021&lt;/Year&gt;&lt;RecNum&gt;7014&lt;/RecNum&gt;&lt;Prefix&gt;&lt;/Prefix&gt;&lt;Suffix&gt;&lt;/Suffix&gt;&lt;Pages&gt;&lt;/Pages&gt;&lt;DisplayText&gt;(Ladouceur &amp; Shackelford, 2021)&lt;/DisplayText&gt;&lt;record&gt;&lt;database name="lit_2021.enl" path="/Volumes/zendata/tC/references/2021/lit_2021.enl"&gt;lit_2021.enl&lt;/database&gt;&lt;source-app name="EndNote" version="19.3"&gt;EndNote&lt;/source-app&gt;&lt;rec-number&gt;7014&lt;/rec-number&gt;&lt;foreign-keys&gt;&lt;key app="EN" db-id="zv9tw0t2n2xfdiet259x2tdh09prp29zrxsv"&gt;7014&lt;/key&gt;&lt;/foreign-keys&gt;&lt;ref-type name="Journal Article"&gt;17&lt;/ref-type&gt;&lt;contributors&gt;&lt;authors&gt;&lt;author&gt;&lt;style face="normal" font="default" size="100%"&gt;Ladouceur, Emma&lt;/style&gt;&lt;/author&gt;&lt;author&gt;&lt;style face="normal" font="default" size="100%"&gt;Shackelford, Nancy&lt;/style&gt;&lt;/author&gt;&lt;/authors&gt;&lt;/contributors&gt;&lt;titles&gt;&lt;title&gt;&lt;style face="normal" font="default" size="100%"&gt;The power of data synthesis to shape the future of the restoration community and capacity&lt;/style&gt;&lt;/title&gt;&lt;secondary-title&gt;&lt;style face="normal" font="default" size="100%"&gt;Restoration Ecology&lt;/style&gt;&lt;/secondary-title&gt;&lt;/titles&gt;&lt;periodical&gt;&lt;full-title&gt;&lt;style face="normal" font="default" size="100%"&gt;Restoration Ecology&lt;/style&gt;&lt;/full-title&gt;&lt;/periodical&gt;&lt;pages&gt;&lt;style face="normal" font="default" size="100%"&gt;e13251&lt;/style&gt;&lt;/pages&gt;&lt;volume&gt;&lt;style face="normal" font="default" size="100%"&gt;29&lt;/style&gt;&lt;/volume&gt;&lt;number&gt;&lt;style face="normal" font="default" size="100%"&gt;1&lt;/style&gt;&lt;/number&gt;&lt;keywords&gt;&lt;keyword&gt;&lt;style face="normal" font="default" size="100%"&gt;database&lt;/style&gt;&lt;/keyword&gt;&lt;keyword&gt;&lt;style face="normal" font="default" size="100%"&gt;Decade on Ecosystem Restoration&lt;/style&gt;&lt;/keyword&gt;&lt;keyword&gt;&lt;style face="normal" font="default" size="100%"&gt;global analyses&lt;/style&gt;&lt;/keyword&gt;&lt;keyword&gt;&lt;style face="normal" font="default" size="100%"&gt;meta-analysis&lt;/style&gt;&lt;/keyword&gt;&lt;keyword&gt;&lt;style face="normal" font="default" size="100%"&gt;networks&lt;/style&gt;&lt;/keyword&gt;&lt;keyword&gt;&lt;style face="normal" font="default" size="100%"&gt;synthesis&lt;/style&gt;&lt;/keyword&gt;&lt;/keywords&gt;&lt;dates&gt;&lt;year&gt;&lt;style face="normal" font="default" size="100%"&gt;2021&lt;/style&gt;&lt;/year&gt;&lt;pub-dates&gt;&lt;date&gt;&lt;style face="normal" font="default" size="100%"&gt;2021/01/01&lt;/style&gt;&lt;/date&gt;&lt;/pub-dates&gt;&lt;/dates&gt;&lt;publisher&gt;&lt;style face="normal" font="default" size="100%"&gt;John Wiley &amp;amp; Sons, Ltd&lt;/style&gt;&lt;/publisher&gt;&lt;isbn&gt;&lt;style face="normal" font="default" size="100%"&gt;1061-2971&lt;/style&gt;&lt;/isbn&gt;&lt;abstract&gt;&lt;style face="normal" font="default" size="100%"&gt;Restoration efforts will be taking place over the next decade(s) in the largest scope and capacity ever seen. Immense commitments, goals, and budgets are set, with impactful wide-reaching potential benefits for people and the environment. These are ambitious aims for a relatively new branch of science and practice. It is time for restoration action to scale up, the legacy of which could impact over 350 million hectares targeted for the U.N. Decade on Ecosystem Restoration. However, restoration still proceeds on a case-by-case, trial by error basis and restoration outcomes can be variable even under similar conditions. The ability to put each case into context?what about it worked, what did not, and why?is something that the synthesis of data across studies can facilitate. The link between data synthesis and predictive capacity is strong. There are examples of extremely ambitious and successful efforts to compile data in structured, standardized databases which have led to valuable insights across regional and global scales in other branches of science. There is opportunity and challenge in compiling, standardizing, and synthesizing restoration monitoring data to inform the future of restoration practice and science. Through global collation of restoration data, knowledge gaps can be addressed and data synthesized to advance toward a more predictive science to inform more consistent success. The interdisciplinary potential of restoration ecology sits just over the horizon of this decade. Through truly collaborative synthesis across foci within the restoration community, we have the opportunity to rapidly reach that potential and achieve extraordinary outcomes together.&lt;/style&gt;&lt;/abstract&gt;&lt;notes&gt;&lt;style face="normal" font="default" size="100%"&gt;https://doi.org/10.1111/rec.13251&lt;/style&gt;&lt;/notes&gt;&lt;work-type&gt;&lt;style face="normal" font="default" size="100%"&gt;https://doi.org/10.1111/rec.13251&lt;/style&gt;&lt;/work-type&gt;&lt;urls&gt;&lt;related-urls&gt;&lt;url&gt;&lt;style face="normal" font="default" size="100%"&gt;https://doi.org/10.1111/rec.13251&lt;/style&gt;&lt;/url&gt;&lt;/related-urls&gt;&lt;/urls&gt;&lt;electronic-resource-num&gt;&lt;style face="normal" font="default" size="100%"&gt;https://doi.org/10.1111/rec.13251&lt;/style&gt;&lt;/electronic-resource-num&gt;&lt;access-date&gt;&lt;style face="normal" font="default" size="100%"&gt;2021/01/26&lt;/style&gt;&lt;/access-date&gt;&lt;/record&gt;&lt;/Cite&gt;&lt;/EndNote&gt;</w:instrText>
      </w:r>
      <w:r>
        <w:rPr/>
        <w:fldChar w:fldCharType="separate" w:fldLock="0"/>
      </w:r>
      <w:r>
        <w:rPr>
          <w:rtl w:val="0"/>
          <w:lang w:val="nl-NL"/>
        </w:rPr>
        <w:t>(Ladouceur &amp; Shackelford, 2021)</w:t>
      </w:r>
      <w:r>
        <w:rPr/>
        <w:fldChar w:fldCharType="end" w:fldLock="0"/>
      </w:r>
      <w:r>
        <w:rPr>
          <w:rtl w:val="0"/>
          <w:lang w:val="en-US"/>
        </w:rPr>
        <w:t xml:space="preserve">. Data are thus a form of currency in many disciplines </w:t>
      </w:r>
      <w:r>
        <w:rPr/>
        <w:fldChar w:fldCharType="begin" w:fldLock="0"/>
      </w:r>
      <w:r>
        <w:instrText xml:space="preserve"> ADDIN EN.CITE &lt;EndNote&gt;&lt;Cite  &gt;&lt;Author&gt;Wenfei Fan; Floris Geerts; Jef Wijsen&lt;/Author&gt;&lt;Year&gt;2012&lt;/Year&gt;&lt;RecNum&gt;7135&lt;/RecNum&gt;&lt;Prefix&gt;&lt;/Prefix&gt;&lt;Suffix&gt;&lt;/Suffix&gt;&lt;Pages&gt;&lt;/Pages&gt;&lt;DisplayText&gt;(Fan et al., 2012)&lt;/DisplayText&gt;&lt;record&gt;&lt;database name="lit_2021.enl" path="/Volumes/zendata/tC/references/2021/lit_2021.enl"&gt;lit_2021.enl&lt;/database&gt;&lt;source-app name="EndNote" version="19.3"&gt;EndNote&lt;/source-app&gt;&lt;rec-number&gt;7135&lt;/rec-number&gt;&lt;foreign-keys&gt;&lt;key app="EN" db-id="zv9tw0t2n2xfdiet259x2tdh09prp29zrxsv"&gt;7135&lt;/key&gt;&lt;/foreign-keys&gt;&lt;ref-type name="Journal Article"&gt;17&lt;/ref-type&gt;&lt;contributors&gt;&lt;authors&gt;&lt;author&gt;&lt;style face="normal" font="default" size="100%"&gt;Wenfei Fan&lt;/style&gt;&lt;/author&gt;&lt;author&gt;&lt;style face="normal" font="default" size="100%"&gt;Floris Geerts&lt;/style&gt;&lt;/author&gt;&lt;author&gt;&lt;style face="normal" font="default" size="100%"&gt;Jef Wijsen&lt;/style&gt;&lt;/author&gt;&lt;/authors&gt;&lt;/contributors&gt;&lt;titles&gt;&lt;title&gt;&lt;style face="normal" font="default" size="100%"&gt;Determining the Currency of Data&lt;/style&gt;&lt;/title&gt;&lt;secondary-title&gt;&lt;style face="normal" font="default" size="100%"&gt;ACM Trans. Database Syst.&lt;/style&gt;&lt;/secondary-title&gt;&lt;/titles&gt;&lt;periodical&gt;&lt;full-title&gt;&lt;style face="normal" font="default" size="100%"&gt;ACM Trans. Database Syst.&lt;/style&gt;&lt;/full-title&gt;&lt;/periodical&gt;&lt;pages&gt;&lt;style face="normal" font="default" size="100%"&gt;Article 25&lt;/style&gt;&lt;/pages&gt;&lt;volume&gt;&lt;style face="normal" font="default" size="100%"&gt;37&lt;/style&gt;&lt;/volume&gt;&lt;number&gt;&lt;style face="normal" font="default" size="100%"&gt;4&lt;/style&gt;&lt;/number&gt;&lt;keywords&gt;&lt;keyword&gt;&lt;style face="normal" font="default" size="100%"&gt;Currency, data quality&lt;/style&gt;&lt;/keyword&gt;&lt;/keywords&gt;&lt;dates&gt;&lt;year&gt;&lt;style face="normal" font="default" size="100%"&gt;2012&lt;/style&gt;&lt;/year&gt;&lt;/dates&gt;&lt;isbn&gt;&lt;style face="normal" font="default" size="100%"&gt;0362-5915&lt;/style&gt;&lt;/isbn&gt;&lt;urls&gt;&lt;related-urls&gt;&lt;url&gt;&lt;style face="normal" font="default" size="100%"&gt;https://doi.org/10.1145/2389241.2389244&lt;/style&gt;&lt;/url&gt;&lt;/related-urls&gt;&lt;/urls&gt;&lt;electronic-resource-num&gt;&lt;style face="normal" font="default" size="100%"&gt;10.1145/2389241.2389244&lt;/style&gt;&lt;/electronic-resource-num&gt;&lt;/record&gt;&lt;/Cite&gt;&lt;/EndNote&gt;</w:instrText>
      </w:r>
      <w:r>
        <w:rPr/>
        <w:fldChar w:fldCharType="separate" w:fldLock="0"/>
      </w:r>
      <w:r>
        <w:rPr>
          <w:rtl w:val="0"/>
        </w:rPr>
        <w:t>(Fan et al., 2012)</w:t>
      </w:r>
      <w:r>
        <w:rPr/>
        <w:fldChar w:fldCharType="end" w:fldLock="0"/>
      </w:r>
      <w:r>
        <w:rPr>
          <w:rtl w:val="0"/>
          <w:lang w:val="en-US"/>
        </w:rPr>
        <w:t xml:space="preserve"> but can also become a bottleneck if sharing is delayed </w:t>
      </w:r>
      <w:r>
        <w:rPr/>
        <w:fldChar w:fldCharType="begin" w:fldLock="0"/>
      </w:r>
      <w:r>
        <w:instrText xml:space="preserve"> ADDIN EN.CITE &lt;EndNote&gt;&lt;Cite  &gt;&lt;Author&gt;Westoby, Mark; Falster, Daniel S.; Schrader, Julian&lt;/Author&gt;&lt;Year&gt;2021&lt;/Year&gt;&lt;RecNum&gt;7134&lt;/RecNum&gt;&lt;Prefix&gt;&lt;/Prefix&gt;&lt;Suffix&gt;&lt;/Suffix&gt;&lt;Pages&gt;&lt;/Pages&gt;&lt;DisplayText&gt;(Westoby et al., 2021)&lt;/DisplayText&gt;&lt;record&gt;&lt;database name="lit_2021.enl" path="/Volumes/zendata/tC/references/2021/lit_2021.enl"&gt;lit_2021.enl&lt;/database&gt;&lt;source-app name="EndNote" version="19.3"&gt;EndNote&lt;/source-app&gt;&lt;rec-number&gt;7134&lt;/rec-number&gt;&lt;foreign-keys&gt;&lt;key app="EN" db-id="zv9tw0t2n2xfdiet259x2tdh09prp29zrxsv"&gt;7134&lt;/key&gt;&lt;/foreign-keys&gt;&lt;ref-type name="Journal Article"&gt;17&lt;/ref-type&gt;&lt;contributors&gt;&lt;authors&gt;&lt;author&gt;&lt;style face="normal" font="default" size="100%"&gt;Westoby, Mark&lt;/style&gt;&lt;/author&gt;&lt;author&gt;&lt;style face="normal" font="default" size="100%"&gt;Falster, Daniel S.&lt;/style&gt;&lt;/author&gt;&lt;author&gt;&lt;style face="normal" font="default" size="100%"&gt;Schrader, Julian&lt;/style&gt;&lt;/author&gt;&lt;/authors&gt;&lt;/contributors&gt;&lt;titles&gt;&lt;title&gt;&lt;style face="normal" font="default" size="100%"&gt;Motivating data contributions via a distinct career currency&lt;/style&gt;&lt;/title&gt;&lt;secondary-title&gt;&lt;style face="normal" font="default" size="100%"&gt;Proceedings of the Royal Society B: Biological Sciences&lt;/style&gt;&lt;/secondary-title&gt;&lt;/titles&gt;&lt;periodical&gt;&lt;full-title&gt;&lt;style face="normal" font="default" size="100%"&gt;Proceedings of the Royal Society B: Biological Sciences&lt;/style&gt;&lt;/full-title&gt;&lt;/periodical&gt;&lt;pages&gt;&lt;style face="normal" font="default" size="100%"&gt;20202830&lt;/style&gt;&lt;/pages&gt;&lt;volume&gt;&lt;style face="normal" font="default" size="100%"&gt;288&lt;/style&gt;&lt;/volume&gt;&lt;number&gt;&lt;style face="normal" font="default" size="100%"&gt;1946&lt;/style&gt;&lt;/number&gt;&lt;dates&gt;&lt;year&gt;&lt;style face="normal" font="default" size="100%"&gt;2021&lt;/style&gt;&lt;/year&gt;&lt;pub-dates&gt;&lt;date&gt;&lt;style face="normal" font="default" size="100%"&gt;2021/03/10&lt;/style&gt;&lt;/date&gt;&lt;/pub-dates&gt;&lt;/dates&gt;&lt;publisher&gt;&lt;style face="normal" font="default" size="100%"&gt;Royal Society&lt;/style&gt;&lt;/publisher&gt;&lt;urls&gt;&lt;related-urls&gt;&lt;url&gt;&lt;style face="normal" font="default" size="100%"&gt;https://doi.org/10.1098/rspb.2020.2830&lt;/style&gt;&lt;/url&gt;&lt;/related-urls&gt;&lt;/urls&gt;&lt;electronic-resource-num&gt;&lt;style face="normal" font="default" size="100%"&gt;10.1098/rspb.2020.2830&lt;/style&gt;&lt;/electronic-resource-num&gt;&lt;access-date&gt;&lt;style face="normal" font="default" size="100%"&gt;2021/05/27&lt;/style&gt;&lt;/access-date&gt;&lt;/record&gt;&lt;/Cite&gt;&lt;/EndNote&gt;</w:instrText>
      </w:r>
      <w:r>
        <w:rPr/>
        <w:fldChar w:fldCharType="separate" w:fldLock="0"/>
      </w:r>
      <w:r>
        <w:rPr>
          <w:rtl w:val="0"/>
        </w:rPr>
        <w:t>(Westoby et al., 2021)</w:t>
      </w:r>
      <w:r>
        <w:rPr/>
        <w:fldChar w:fldCharType="end" w:fldLock="0"/>
      </w:r>
      <w:r>
        <w:rPr>
          <w:rtl w:val="0"/>
          <w:lang w:val="en-US"/>
        </w:rPr>
        <w:t xml:space="preserve">, have poorly described meta-data </w:t>
      </w:r>
      <w:r>
        <w:rPr/>
        <w:fldChar w:fldCharType="begin" w:fldLock="0"/>
      </w:r>
      <w:r>
        <w:instrText xml:space="preserve"> ADDIN EN.CITE &lt;EndNote&gt;&lt;Cite  &gt;&lt;Author&gt;Madin, Joshua; Bowers, Shawn; Schildhauer, Mark; Krivov, Sergeui; Pennington, Deana; Villa, Ferdinando&lt;/Author&gt;&lt;Year&gt;2007&lt;/Year&gt;&lt;Prefix&gt;&lt;/Prefix&gt;&lt;Suffix&gt;&lt;/Suffix&gt;&lt;Pages&gt;&lt;/Pages&gt;&lt;DisplayText&gt;(Madin et al., 2007)&lt;/DisplayText&gt;&lt;record&gt;&lt;database name="lit_2021.enl" path="/Volumes/zendata/tC/references/2021/lit_2021.enl"&gt;lit_2021.enl&lt;/database&gt;&lt;source-app name="EndNote" version="19.3"&gt;EndNote&lt;/source-app&gt;&lt;rec-number&gt;7136&lt;/rec-number&gt;&lt;foreign-keys&gt;&lt;key app="EN" db-id="zv9tw0t2n2xfdiet259x2tdh09prp29zrxsv"&gt;7136&lt;/key&gt;&lt;/foreign-keys&gt;&lt;ref-type name="Journal Article"&gt;17&lt;/ref-type&gt;&lt;contributors&gt;&lt;authors&gt;&lt;author&gt;&lt;style face="normal" font="default" size="100%"&gt;Madin, Joshua&lt;/style&gt;&lt;/author&gt;&lt;author&gt;&lt;style face="normal" font="default" size="100%"&gt;Bowers, Shawn&lt;/style&gt;&lt;/author&gt;&lt;author&gt;&lt;style face="normal" font="default" size="100%"&gt;Schildhauer, Mark&lt;/style&gt;&lt;/author&gt;&lt;author&gt;&lt;style face="normal" font="default" size="100%"&gt;Krivov, Sergeui&lt;/style&gt;&lt;/author&gt;&lt;author&gt;&lt;style face="normal" font="default" size="100%"&gt;Pennington, Deana&lt;/style&gt;&lt;/author&gt;&lt;author&gt;&lt;style face="normal" font="default" size="100%"&gt;Villa, Ferdinando&lt;/style&gt;&lt;/author&gt;&lt;/authors&gt;&lt;/contributors&gt;&lt;titles&gt;&lt;title&gt;&lt;style face="normal" font="default" size="100%"&gt;An ontology for describing and synthesizing ecological observation data&lt;/style&gt;&lt;/title&gt;&lt;secondary-title&gt;&lt;style face="normal" font="default" size="100%"&gt;Ecological Informatics&lt;/style&gt;&lt;/secondary-title&gt;&lt;/titles&gt;&lt;periodical&gt;&lt;full-title&gt;&lt;style face="normal" font="default" size="100%"&gt;Ecological Informatics&lt;/style&gt;&lt;/full-title&gt;&lt;/periodical&gt;&lt;pages&gt;&lt;style face="normal" font="default" size="100%"&gt;279-296&lt;/style&gt;&lt;/pages&gt;&lt;volume&gt;&lt;style face="normal" font="default" size="100%"&gt;2&lt;/style&gt;&lt;/volume&gt;&lt;number&gt;&lt;style face="normal" font="default" size="100%"&gt;3&lt;/style&gt;&lt;/number&gt;&lt;keywords&gt;&lt;keyword&gt;&lt;style face="normal" font="default" size="100%"&gt;Ecology&lt;/style&gt;&lt;/keyword&gt;&lt;keyword&gt;&lt;style face="normal" font="default" size="100%"&gt;Observation&lt;/style&gt;&lt;/keyword&gt;&lt;keyword&gt;&lt;style face="normal" font="default" size="100%"&gt;Measurement&lt;/style&gt;&lt;/keyword&gt;&lt;keyword&gt;&lt;style face="normal" font="default" size="100%"&gt;Ontology&lt;/style&gt;&lt;/keyword&gt;&lt;keyword&gt;&lt;style face="normal" font="default" size="100%"&gt;Data discovery&lt;/style&gt;&lt;/keyword&gt;&lt;keyword&gt;&lt;style face="normal" font="default" size="100%"&gt;Data integration&lt;/style&gt;&lt;/keyword&gt;&lt;/keywords&gt;&lt;dates&gt;&lt;year&gt;&lt;style face="normal" font="default" size="100%"&gt;2007&lt;/style&gt;&lt;/year&gt;&lt;pub-dates&gt;&lt;date&gt;&lt;style face="normal" font="default" size="100%"&gt;2007/10/01/&lt;/style&gt;&lt;/date&gt;&lt;/pub-dates&gt;&lt;/dates&gt;&lt;isbn&gt;&lt;style face="normal" font="default" size="100%"&gt;1574-9541&lt;/style&gt;&lt;/isbn&gt;&lt;abstract&gt;&lt;style face="normal" font="default" size="100%"&gt;Research in ecology increasingly relies on the integration of small, focused studies, to produce larger datasets that allow for more powerful, synthetic analyses. The results of these synthetic analyses are critical in guiding decisions about how to sustainably manage our natural environment, so it is important for researchers to effectively discover relevant data, and appropriately integrate these within their analyses. However, ecological data encompasses an extremely broad range of data types, structures, and semantic concepts. Moreover, ecological data is widely distributed, with few well-established repositories or standard protocols for their archiving and retrieval. These factors make the discovery and integration of ecological data sets a highly labor-intensive task. Metadata standards such as the Ecological Metadata Language and Darwin Core are important steps for improving our ability to discover and access ecological data, but are limited to describing only a few, relatively specific aspects of data content (e.g., data owner and contact information, variable “names”, keyword descriptions, etc.). A more flexible and powerful way to capture the semantic subtleties of complex ecological data, its structure and contents, and the inter-relationships among data variables is needed. We present a formal ontology for capturing the semantics of generic scientific observation and measurement. The ontology provides a convenient basis for adding detailed semantic annotations to scientific data, which crystallize the inherent “meaning” of observational data. The ontology can be used to characterize the context of an observation (e.g., space and time), and clarify inter-observational relationships such as dependency hierarchies (e.g., nested experimental observations) and meaningful dimensions within the data (e.g., axes for cross-classified categorical summarization). It also enables the robust description of measurement units (e.g., grams of carbon per liter of seawater), and can facilitate automatic unit conversions (e.g., pounds to kilograms). The ontology can be easily extended with specialized domain vocabularies, making it both broadly applicable and highly customizable. Finally, we describe the utility of the ontology for enriching the capabilities of data discovery and integration processes.&lt;/style&gt;&lt;/abstract&gt;&lt;urls&gt;&lt;related-urls&gt;&lt;url&gt;&lt;style face="normal" font="default" size="100%"&gt;https://www.sciencedirect.com/science/article/pii/S1574954107000362&lt;/style&gt;&lt;/url&gt;&lt;/related-urls&gt;&lt;/urls&gt;&lt;electronic-resource-num&gt;&lt;style face="normal" font="default" size="100%"&gt;https://doi.org/10.1016/j.ecoinf.2007.05.004&lt;/style&gt;&lt;/electronic-resource-num&gt;&lt;/record&gt;&lt;/Cite&gt;&lt;/EndNote&gt;</w:instrText>
      </w:r>
      <w:r>
        <w:rPr/>
        <w:fldChar w:fldCharType="separate" w:fldLock="0"/>
      </w:r>
      <w:r>
        <w:rPr>
          <w:rtl w:val="0"/>
        </w:rPr>
        <w:t>(Madin et al., 2007)</w:t>
      </w:r>
      <w:r>
        <w:rPr/>
        <w:fldChar w:fldCharType="end" w:fldLock="0"/>
      </w:r>
      <w:r>
        <w:rPr>
          <w:rtl w:val="0"/>
          <w:lang w:val="en-US"/>
        </w:rPr>
        <w:t xml:space="preserve">, or if there are limited incentives within the scientific culture </w:t>
      </w:r>
      <w:r>
        <w:rPr/>
        <w:fldChar w:fldCharType="begin" w:fldLock="0"/>
      </w:r>
      <w:r>
        <w:instrText xml:space="preserve"> ADDIN EN.CITE &lt;EndNote&gt;&lt;Cite  &gt;&lt;Author&gt;Michener, William K.&lt;/Author&gt;&lt;Year&gt;2015&lt;/Year&gt;&lt;Prefix&gt;&lt;/Prefix&gt;&lt;Suffix&gt;&lt;/Suffix&gt;&lt;Pages&gt;&lt;/Pages&gt;&lt;DisplayText&gt;(Michener, 2015a)&lt;/DisplayText&gt;&lt;record&gt;&lt;database name="lit_2021.enl" path="/Volumes/zendata/tC/references/2021/lit_2021.enl"&gt;lit_2021.enl&lt;/database&gt;&lt;source-app name="EndNote" version="19.3"&gt;EndNote&lt;/source-app&gt;&lt;rec-number&gt;7137&lt;/rec-number&gt;&lt;foreign-keys&gt;&lt;key app="EN" db-id="zv9tw0t2n2xfdiet259x2tdh09prp29zrxsv"&gt;7137&lt;/key&gt;&lt;/foreign-keys&gt;&lt;ref-type name="Journal Article"&gt;17&lt;/ref-type&gt;&lt;contributors&gt;&lt;authors&gt;&lt;author&gt;&lt;style face="normal" font="default" size="100%"&gt;Michener, William K.&lt;/style&gt;&lt;/author&gt;&lt;/authors&gt;&lt;/contributors&gt;&lt;titles&gt;&lt;title&gt;&lt;style face="normal" font="default" size="100%"&gt;Ecological data sharing&lt;/style&gt;&lt;/title&gt;&lt;secondary-title&gt;&lt;style face="normal" font="default" size="100%"&gt;Ecological Informatics&lt;/style&gt;&lt;/secondary-title&gt;&lt;/titles&gt;&lt;periodical&gt;&lt;full-title&gt;&lt;style face="normal" font="default" size="100%"&gt;Ecological Informatics&lt;/style&gt;&lt;/full-title&gt;&lt;/periodical&gt;&lt;pages&gt;&lt;style face="normal" font="default" size="100%"&gt;33-44&lt;/style&gt;&lt;/pages&gt;&lt;volume&gt;&lt;style face="normal" font="default" size="100%"&gt;29&lt;/style&gt;&lt;/volume&gt;&lt;keywords&gt;&lt;keyword&gt;&lt;style face="normal" font="default" size="100%"&gt;Data publication&lt;/style&gt;&lt;/keyword&gt;&lt;keyword&gt;&lt;style face="normal" font="default" size="100%"&gt;Data sharing&lt;/style&gt;&lt;/keyword&gt;&lt;keyword&gt;&lt;style face="normal" font="default" size="100%"&gt;Information technology&lt;/style&gt;&lt;/keyword&gt;&lt;keyword&gt;&lt;style face="normal" font="default" size="100%"&gt;Metadata&lt;/style&gt;&lt;/keyword&gt;&lt;keyword&gt;&lt;style face="normal" font="default" size="100%"&gt;Open access&lt;/style&gt;&lt;/keyword&gt;&lt;keyword&gt;&lt;style face="normal" font="default" size="100%"&gt;Policy&lt;/style&gt;&lt;/keyword&gt;&lt;/keywords&gt;&lt;dates&gt;&lt;year&gt;&lt;style face="normal" font="default" size="100%"&gt;2015&lt;/style&gt;&lt;/year&gt;&lt;pub-dates&gt;&lt;date&gt;&lt;style face="normal" font="default" size="100%"&gt;2015/09/01/&lt;/style&gt;&lt;/date&gt;&lt;/pub-dates&gt;&lt;/dates&gt;&lt;isbn&gt;&lt;style face="normal" font="default" size="100%"&gt;1574-9541&lt;/style&gt;&lt;/isbn&gt;&lt;abstract&gt;&lt;style face="normal" font="default" size="100%"&gt;Data sharing is the practice of making data available for use by others. Ecologists are increasingly generating and sharing an immense volume of data. Such data may serve to augment existing data collections and can be used for synthesis efforts such as meta-analysis, for parameterizing models, and for verifying research results (i.e., study reproducibility). Large volumes of ecological data may be readily available through institutions or data repositories that are the most comprehensive available and can serve as the core of ecological analysis. Ecological data are also employed outside the research context and are used for decision-making, natural resource management, education, and other purposes. Data sharing has a long history in many domains such as oceanography and the biodiversity sciences (e.g., taxonomic data and museum specimens), but has emerged relatively recently in the ecological sciences. A review of several of the large international and national ecological research programs that have emerged since the mid-1900s highlights the initial failures and more recent successes as well as the underlying causes—from a near absence of effective policies to the emergence of community and data sharing policies coupled with the development and adoption of data and metadata standards and enabling tools. Sociocultural change and the move towards more open science have evolved more rapidly over the past two decades in response to new requirements set forth by governmental organizations, publishers and professional societies. As the scientific culture has changed so has the cyberinfrastructure landscape. The introduction of community-based data repositories, data and metadata standards, software tools, persistent identifiers, and federated search and discovery have all helped promulgate data sharing. Nevertheless, there are many challenges and opportunities especially as we move towards more open science. Cyberinfrastructure challenges include a paucity of easy-to-use metadata management systems, significant difficulties in assessing data quality and provenance, and an absence of analytical and visualization approaches that facilitate data integration and harmonization. Challenges and opportunities abound in the sociocultural arena where funders, researchers, and publishers all have a stake in clarifying policies, roles and responsibilities, as well as in incentivizing data sharing. A set of best practices and examples of software tools are presented that can enable research transparency, reproducibility and new knowledge by facilitating idea generation, research planning, data management and the dissemination of data and results.&lt;/style&gt;&lt;/abstract&gt;&lt;urls&gt;&lt;related-urls&gt;&lt;url&gt;&lt;style face="normal" font="default" size="100%"&gt;https://www.sciencedirect.com/science/article/pii/S1574954115001004&lt;/style&gt;&lt;/url&gt;&lt;/related-urls&gt;&lt;/urls&gt;&lt;electronic-resource-num&gt;&lt;style face="normal" font="default" size="100%"&gt;https://doi.org/10.1016/j.ecoinf.2015.06.010&lt;/style&gt;&lt;/electronic-resource-num&gt;&lt;/record&gt;&lt;/Cite&gt;&lt;/EndNote&gt;</w:instrText>
      </w:r>
      <w:r>
        <w:rPr/>
        <w:fldChar w:fldCharType="separate" w:fldLock="0"/>
      </w:r>
      <w:r>
        <w:rPr>
          <w:rtl w:val="0"/>
          <w:lang w:val="de-DE"/>
        </w:rPr>
        <w:t>(Michener, 2015a)</w:t>
      </w:r>
      <w:r>
        <w:rPr/>
        <w:fldChar w:fldCharType="end" w:fldLock="0"/>
      </w:r>
      <w:r>
        <w:rPr>
          <w:rtl w:val="0"/>
          <w:lang w:val="en-US"/>
        </w:rPr>
        <w:t xml:space="preserve">. Consequently, it is reasonable to propose that one should consider sharing data sooner versus later to remove or reduce the impact of these bottlenecks, particularly temporal ones, on the modern scientific process that now includes scientific communication, synthesis, and open publication as powerful final steps to connect with societal needs </w:t>
      </w:r>
      <w:r>
        <w:rPr/>
        <w:fldChar w:fldCharType="begin" w:fldLock="0"/>
      </w:r>
      <w:r>
        <w:instrText xml:space="preserve"> ADDIN EN.CITE &lt;EndNote&gt;&lt;Cite  &gt;&lt;Author&gt;Cooke, Steven J.; Gallagher, Austin J.; Sopinka, Natalie M.; Nguyen, Vivian M.; Skubel, Rachel A.; Hammerschlag, Neil; Boon, Sarah; Young, Nathan; Danylchuk, Andy J.&lt;/Author&gt;&lt;Year&gt;2017&lt;/Year&gt;&lt;Prefix&gt;&lt;/Prefix&gt;&lt;Suffix&gt;&lt;/Suffix&gt;&lt;Pages&gt;&lt;/Pages&gt;&lt;DisplayText&gt;(Cooke et al., 2017)&lt;/DisplayText&gt;&lt;record&gt;&lt;database name="lit_2021.enl" path="/Volumes/zendata/tC/references/2021/lit_2021.enl"&gt;lit_2021.enl&lt;/database&gt;&lt;source-app name="EndNote" version="19.3"&gt;EndNote&lt;/source-app&gt;&lt;rec-number&gt;4520&lt;/rec-number&gt;&lt;foreign-keys&gt;&lt;key app="EN" db-id="zv9tw0t2n2xfdiet259x2tdh09prp29zrxsv"&gt;4520&lt;/key&gt;&lt;/foreign-keys&gt;&lt;ref-type name="Journal Article"&gt;17&lt;/ref-type&gt;&lt;contributors&gt;&lt;authors&gt;&lt;author&gt;&lt;style face="normal" font="default" size="100%"&gt;Cooke, Steven J.&lt;/style&gt;&lt;/author&gt;&lt;author&gt;&lt;style face="normal" font="default" size="100%"&gt;Gallagher, Austin J.&lt;/style&gt;&lt;/author&gt;&lt;author&gt;&lt;style face="normal" font="default" size="100%"&gt;Sopinka, Natalie M.&lt;/style&gt;&lt;/author&gt;&lt;author&gt;&lt;style face="normal" font="default" size="100%"&gt;Nguyen, Vivian M.&lt;/style&gt;&lt;/author&gt;&lt;author&gt;&lt;style face="normal" font="default" size="100%"&gt;Skubel, Rachel A.&lt;/style&gt;&lt;/author&gt;&lt;author&gt;&lt;style face="normal" font="default" size="100%"&gt;Hammerschlag, Neil&lt;/style&gt;&lt;/author&gt;&lt;author&gt;&lt;style face="normal" font="default" size="100%"&gt;Boon, Sarah&lt;/style&gt;&lt;/author&gt;&lt;author&gt;&lt;style face="normal" font="default" size="100%"&gt;Young, Nathan&lt;/style&gt;&lt;/author&gt;&lt;author&gt;&lt;style face="normal" font="default" size="100%"&gt;Danylchuk, Andy J.&lt;/style&gt;&lt;/author&gt;&lt;/authors&gt;&lt;/contributors&gt;&lt;titles&gt;&lt;title&gt;&lt;style face="normal" font="default" size="100%"&gt;Considerations for effective science communication&lt;/style&gt;&lt;/title&gt;&lt;secondary-title&gt;&lt;style face="normal" font="default" size="100%"&gt;FACETS&lt;/style&gt;&lt;/secondary-title&gt;&lt;/titles&gt;&lt;periodical&gt;&lt;full-title&gt;&lt;style face="normal" font="default" size="100%"&gt;FACETS&lt;/style&gt;&lt;/full-title&gt;&lt;/periodical&gt;&lt;pages&gt;&lt;style face="normal" font="default" size="100%"&gt;233&lt;/style&gt;&lt;/pages&gt;&lt;volume&gt;&lt;style face="normal" font="default" size="100%"&gt;2&lt;/style&gt;&lt;/volume&gt;&lt;keywords&gt;&lt;keyword&gt;&lt;style face="normal" font="default" size="100%"&gt;science engagement&lt;/style&gt;&lt;/keyword&gt;&lt;keyword&gt;&lt;style face="normal" font="default" size="100%"&gt;science outreach&lt;/style&gt;&lt;/keyword&gt;&lt;keyword&gt;&lt;style face="normal" font="default" size="100%"&gt;communication science&lt;/style&gt;&lt;/keyword&gt;&lt;keyword&gt;&lt;style face="normal" font="default" size="100%"&gt;evaluation of science communication&lt;/style&gt;&lt;/keyword&gt;&lt;keyword&gt;&lt;style face="normal" font="default" size="100%"&gt;academic cultures&lt;/style&gt;&lt;/keyword&gt;&lt;keyword&gt;&lt;style face="normal" font="default" size="100%"&gt;professional development&lt;/style&gt;&lt;/keyword&gt;&lt;/keywords&gt;&lt;dates&gt;&lt;year&gt;&lt;style face="normal" font="default" size="100%"&gt;2017&lt;/style&gt;&lt;/year&gt;&lt;pub-dates&gt;&lt;date&gt;&lt;style face="normal" font="default" size="100%"&gt;2017/03/07&lt;/style&gt;&lt;/date&gt;&lt;/pub-dates&gt;&lt;/dates&gt;&lt;publisher&gt;&lt;style face="normal" font="default" size="100%"&gt;Canadian Science Publishing&lt;/style&gt;&lt;/publisher&gt;&lt;abstract&gt;&lt;style face="normal" font="default" size="100%"&gt;It is increasingly common for scientists to engage in sharing science-related knowledge with diverse knowledge users—an activity called science communication. Given that many scientists now seek information on how to communicate effectively, we have generated a list of 16 important considerations for those interested in science communication: (1) Define what science communication means to you and your research; (2) Know—and listen to—your target audience; (3) Consider a diverse but coordinated communication portfolio; (4) Draft skilled players and build a network; (5) Create and seize opportunities; (6) Be creative when you communicate; (7) Focus on the science in science communication; (8) Be an honest broker; (9) Understand the science of science communication; (10) Think like an entrepreneur; (11) Don’t let your colleagues stop you; (12) Integrate science communication into your research program; (13) Recognize how science communication enhances your science; (14) Request science communication funds from grants; (15) Strive for bidirectional communication; and (16) Evaluate, reflect, and be prepared to adapt. It is our ambition that the ideas shared here will encourage readers to engage in science communication and increase the effectiveness of those already active in science communication, stimulating them to share their experiences with others.&lt;/style&gt;&lt;/abstract&gt;&lt;work-type&gt;&lt;style face="normal" font="default" size="100%"&gt;Science Applications Forum&lt;/style&gt;&lt;/work-type&gt;&lt;urls&gt;&lt;related-urls&gt;&lt;url&gt;&lt;style face="normal" font="default" size="100%"&gt;https://dx.doi.org/10.1139/facets-2016-0055&lt;/style&gt;&lt;/url&gt;&lt;/related-urls&gt;&lt;/urls&gt;&lt;electronic-resource-num&gt;&lt;style face="normal" font="default" size="100%"&gt;10.1139/facets-2016-0055&lt;/style&gt;&lt;/electronic-resource-num&gt;&lt;/record&gt;&lt;/Cite&gt;&lt;/EndNote&gt;</w:instrText>
      </w:r>
      <w:r>
        <w:rPr/>
        <w:fldChar w:fldCharType="separate" w:fldLock="0"/>
      </w:r>
      <w:r>
        <w:rPr>
          <w:rtl w:val="0"/>
        </w:rPr>
        <w:t>(Cooke et al., 2017)</w:t>
      </w:r>
      <w:r>
        <w:rPr/>
        <w:fldChar w:fldCharType="end" w:fldLock="0"/>
      </w:r>
      <w:r>
        <w:rPr>
          <w:rtl w:val="0"/>
          <w:lang w:val="en-US"/>
        </w:rPr>
        <w:t xml:space="preserve">. Full open-access journals such as Ecology and Evolution are an ideal partner that embody these open science principles including transparency and effective, timely sharing. </w:t>
      </w:r>
    </w:p>
    <w:p>
      <w:pPr>
        <w:pStyle w:val="Body"/>
        <w:spacing w:line="480" w:lineRule="auto"/>
      </w:pPr>
    </w:p>
    <w:p>
      <w:pPr>
        <w:pStyle w:val="Body"/>
        <w:spacing w:line="480" w:lineRule="auto"/>
      </w:pPr>
      <w:r>
        <w:rPr>
          <w:rtl w:val="0"/>
          <w:lang w:val="en-US"/>
        </w:rPr>
        <w:t xml:space="preserve">Hence, the following strategy is reasonable in many contexts. </w:t>
      </w:r>
      <w:r>
        <w:rPr>
          <w:rtl w:val="0"/>
          <w:lang w:val="en-US"/>
        </w:rPr>
        <w:t xml:space="preserve">Publish your data when </w:t>
      </w:r>
      <w:r>
        <w:rPr>
          <w:rtl w:val="0"/>
          <w:lang w:val="en-US"/>
        </w:rPr>
        <w:t xml:space="preserve">the phase of scientific collection/compilation is </w:t>
      </w:r>
      <w:r>
        <w:rPr>
          <w:rtl w:val="0"/>
          <w:lang w:val="en-US"/>
        </w:rPr>
        <w:t>complete</w:t>
      </w:r>
      <w:r>
        <w:rPr>
          <w:rtl w:val="0"/>
          <w:lang w:val="en-US"/>
        </w:rPr>
        <w:t xml:space="preserve"> and before you begin writing the associated pre-print, report, or paper. Share</w:t>
      </w:r>
      <w:r>
        <w:rPr>
          <w:rtl w:val="0"/>
        </w:rPr>
        <w:t xml:space="preserve"> </w:t>
      </w:r>
      <w:r>
        <w:rPr>
          <w:rtl w:val="0"/>
          <w:lang w:val="en-US"/>
        </w:rPr>
        <w:t>the</w:t>
      </w:r>
      <w:r>
        <w:rPr>
          <w:rtl w:val="0"/>
          <w:lang w:val="en-US"/>
        </w:rPr>
        <w:t xml:space="preserve"> data and meta-data openly in a data repository with a DOI </w:t>
      </w:r>
      <w:r>
        <w:rPr>
          <w:rtl w:val="0"/>
          <w:lang w:val="en-US"/>
        </w:rPr>
        <w:t xml:space="preserve">(digital online identifier to enable citation and permanence) </w:t>
      </w:r>
      <w:r>
        <w:rPr>
          <w:rtl w:val="0"/>
          <w:lang w:val="en-US"/>
        </w:rPr>
        <w:t>and versioning</w:t>
      </w:r>
      <w:r>
        <w:rPr>
          <w:rtl w:val="0"/>
          <w:lang w:val="en-US"/>
        </w:rPr>
        <w:t xml:space="preserve"> (i.e. updated versions are tracked and listed) </w:t>
      </w:r>
      <w:r>
        <w:rPr/>
        <w:fldChar w:fldCharType="begin" w:fldLock="0"/>
      </w:r>
      <w:r>
        <w:instrText xml:space="preserve"> ADDIN EN.CITE &lt;EndNote&gt;&lt;Cite  &gt;&lt;Author&gt;Kenall, A.; Harold, S.; Foote, C.&lt;/Author&gt;&lt;Year&gt;2014&lt;/Year&gt;&lt;Prefix&gt;&lt;/Prefix&gt;&lt;Suffix&gt;&lt;/Suffix&gt;&lt;Pages&gt;&lt;/Pages&gt;&lt;DisplayText&gt;(Kenall et al., 2014; Michener, 2015b)&lt;/DisplayText&gt;&lt;record&gt;&lt;database name="lit_2021.enl" path="/Volumes/zendata/tC/references/2021/lit_2021.enl"&gt;lit_2021.enl&lt;/database&gt;&lt;source-app name="EndNote" version="19.3"&gt;EndNote&lt;/source-app&gt;&lt;rec-number&gt;3190&lt;/rec-number&gt;&lt;foreign-keys&gt;&lt;key app="EN" db-id="zv9tw0t2n2xfdiet259x2tdh09prp29zrxsv"&gt;3190&lt;/key&gt;&lt;/foreign-keys&gt;&lt;ref-type name="Journal Article"&gt;17&lt;/ref-type&gt;&lt;contributors&gt;&lt;authors&gt;&lt;author&gt;&lt;style face="normal" font="default" size="100%"&gt;Kenall, A.&lt;/style&gt;&lt;/author&gt;&lt;author&gt;&lt;style face="normal" font="default" size="100%"&gt;Harold, S.&lt;/style&gt;&lt;/author&gt;&lt;author&gt;&lt;style face="normal" font="default" size="100%"&gt;Foote, C.&lt;/style&gt;&lt;/author&gt;&lt;/authors&gt;&lt;/contributors&gt;&lt;titles&gt;&lt;title&gt;&lt;style face="normal" font="default" size="100%"&gt;An open future for ecological and evolutionary data?&lt;/style&gt;&lt;/title&gt;&lt;secondary-title&gt;&lt;style face="normal" font="default" size="100%"&gt;BMC Ecology&lt;/style&gt;&lt;/secondary-title&gt;&lt;/titles&gt;&lt;periodical&gt;&lt;full-title&gt;&lt;style face="normal" font="default" size="100%"&gt;BMC ecology&lt;/style&gt;&lt;/full-title&gt;&lt;/periodical&gt;&lt;pages&gt;&lt;style face="normal" font="default" size="100%"&gt;10&lt;/style&gt;&lt;/pages&gt;&lt;volume&gt;&lt;style face="normal" font="default" size="100%"&gt;14&lt;/style&gt;&lt;/volume&gt;&lt;dates&gt;&lt;year&gt;&lt;style face="normal" font="default" size="100%"&gt;2014&lt;/style&gt;&lt;/year&gt;&lt;/dates&gt;&lt;abstract&gt;&lt;style face="normal" font="default" size="100%"&gt;As part of BioMed Central’s open science mission, we are pleased to announce that two of our journals have integrated with the open data repository Dryad. Authors submitting their research to either BMC Ecology or BMC Evolutionary Biology will now have the opportunity to deposit their data directly into the Dryad archive and will receive a permanent, citable link to their dataset. Although this does not affect any of our current data deposition policies at these journals, we hope to encourage a more widespread adoption of open data sharing in the fields of ecology and evolutionary biology by facilitating this process for our authors. We also take this opportunity to discuss some of the wider issues that may concern researchers when making their data openly available. Although we offer a number of positive examples from different fields of biology, we also recognise that reticence to data sharing still exists, and that change must be driven from within research communities in order to create future science that is fit for purpose in the digital age.&lt;/style&gt;&lt;/abstract&gt;&lt;notes&gt;&lt;style face="normal" font="default" size="100%"&gt;issues: Opportunity cost Shared benefits Blood, sweat and tears A bigger picture Data management Credit where credit is due Transparency and trust Blood, sweat and tears Of course, the genomics community, with its longer history of data sharing, has some strong positive exam- ples where data sharing has benefitted researchers, but sequencing data can differ greatly from species abun- dance or behavioural trait data, for example. A key point to make of the genomics community, especially with the deposition of raw data, is that these data might not be as “hard won” as datasets in other fields. Indeed, it is not unheard of that certain genomics institutes produce so much data they won’t possibly ever be able to write up papers for all of it. An ecological dataset can last a researcher many years and many papers. A question we also must ask then is how will the amount of and type of data produced change when researchers are guaranteed only one paper from that dataset? Will there be an incentive to collect those more “hard won” datasets? Many ecologists will be all too familiar with “pouring their blood, sweat, and tears” into a dataset, perhaps having gathered the data through years of field work, possibly having developed and maintained unique field sites themselves (e.g., establishing nest boxes to encour- age birds to remain at their field sites, or long-term monitoring of plant communities under different experi- mental treatments). For such datasets it is important to note a few things. First, one can deposit (and thus gain credit) for a dataset at early stages. One could release small, perhaps yearly, versions of the dataset, accruing many individual research products over the course of the experiment’s lifespan. Indeed, one’s research products are only ever versions of the entire story of one’s work. Will these be as useful as a dataset collected over 30 years? Probably not. But they will reflect your productivity as a scientist. And when you do publish your dataset collected over 30 years, yes, someone could use it—as you could use someone else’s, allowing you to compar&lt;/style&gt;&lt;/notes&gt;&lt;urls&gt;&lt;/urls&gt;&lt;electronic-resource-num&gt;&lt;style face="normal" font="default" size="100%"&gt;doi:10.1186/1472-6785-14-10&lt;/style&gt;&lt;/electronic-resource-num&gt;&lt;/record&gt;&lt;/Cite&gt;&lt;Cite  &gt;&lt;Author&gt;Michener, William K.&lt;/Author&gt;&lt;Year&gt;2015&lt;/Year&gt;&lt;RecNum&gt;4358&lt;/RecNum&gt;&lt;Prefix&gt;&lt;/Prefix&gt;&lt;Suffix&gt;&lt;/Suffix&gt;&lt;Pages&gt;&lt;/Pages&gt;&lt;record&gt;&lt;database name="lit_2021.enl" path="/Volumes/zendata/tC/references/2021/lit_2021.enl"&gt;lit_2021.enl&lt;/database&gt;&lt;source-app name="EndNote" version="19.3"&gt;EndNote&lt;/source-app&gt;&lt;rec-number&gt;4358&lt;/rec-number&gt;&lt;foreign-keys&gt;&lt;key app="EN" db-id="zv9tw0t2n2xfdiet259x2tdh09prp29zrxsv"&gt;4358&lt;/key&gt;&lt;/foreign-keys&gt;&lt;ref-type name="Journal Article"&gt;17&lt;/ref-type&gt;&lt;contributors&gt;&lt;authors&gt;&lt;author&gt;&lt;style face="normal" font="default" size="100%"&gt;Michener, William K.&lt;/style&gt;&lt;/author&gt;&lt;/authors&gt;&lt;/contributors&gt;&lt;titles&gt;&lt;title&gt;&lt;style face="normal" font="default" size="100%"&gt;Ten Simple Rules for Creating a Good Data Management Plan&lt;/style&gt;&lt;/title&gt;&lt;secondary-title&gt;&lt;style face="normal" font="default" size="100%"&gt;PLoS Comput Biol&lt;/style&gt;&lt;/secondary-title&gt;&lt;/titles&gt;&lt;periodical&gt;&lt;full-title&gt;&lt;style face="normal" font="default" size="100%"&gt;PLoS Comput Biol&lt;/style&gt;&lt;/full-title&gt;&lt;/periodical&gt;&lt;pages&gt;&lt;style face="normal" font="default" size="100%"&gt;e1004525&lt;/style&gt;&lt;/pages&gt;&lt;volume&gt;&lt;style face="normal" font="default" size="100%"&gt;11&lt;/style&gt;&lt;/volume&gt;&lt;number&gt;&lt;style face="normal" font="default" size="100%"&gt;10&lt;/style&gt;&lt;/number&gt;&lt;dates&gt;&lt;year&gt;&lt;style face="normal" font="default" size="100%"&gt;2015&lt;/style&gt;&lt;/year&gt;&lt;/dates&gt;&lt;publisher&gt;&lt;style face="normal" font="default" size="100%"&gt;Public Library of Science&lt;/style&gt;&lt;/publisher&gt;&lt;urls&gt;&lt;related-urls&gt;&lt;url&gt;&lt;style face="normal" font="default" size="100%"&gt;http://dx.doi.org/10.1371%2Fjournal.pcbi.1004525&lt;/style&gt;&lt;/url&gt;&lt;/related-urls&gt;&lt;/urls&gt;&lt;electronic-resource-num&gt;&lt;style face="normal" font="default" size="100%"&gt;10.1371/journal.pcbi.1004525&lt;/style&gt;&lt;/electronic-resource-num&gt;&lt;/record&gt;&lt;/Cite&gt;&lt;/EndNote&gt;</w:instrText>
      </w:r>
      <w:r>
        <w:rPr/>
        <w:fldChar w:fldCharType="separate" w:fldLock="0"/>
      </w:r>
      <w:r>
        <w:rPr>
          <w:rtl w:val="0"/>
          <w:lang w:val="de-DE"/>
        </w:rPr>
        <w:t>(Kenall et al., 2014; Michener, 2015b)</w:t>
      </w:r>
      <w:r>
        <w:rPr/>
        <w:fldChar w:fldCharType="end" w:fldLock="0"/>
      </w:r>
      <w:r>
        <w:rPr>
          <w:rtl w:val="0"/>
          <w:lang w:val="en-US"/>
        </w:rPr>
        <w:t>. This is not an entirely novel proposal, but it is also not the norm in the historical or even contemporary culture of many scientific disciplines including ecology and evolution</w:t>
      </w:r>
      <w:r>
        <w:rPr>
          <w:rtl w:val="0"/>
          <w:lang w:val="en-US"/>
        </w:rPr>
        <w:t xml:space="preserve"> </w:t>
      </w:r>
      <w:r>
        <w:rPr/>
        <w:fldChar w:fldCharType="begin" w:fldLock="0"/>
      </w:r>
      <w:r>
        <w:instrText xml:space="preserve"> ADDIN EN.CITE &lt;EndNote&gt;&lt;Cite  &gt;&lt;Author&gt;Allen, Christopher; Mehler, David M. A.&lt;/Author&gt;&lt;Year&gt;2019&lt;/Year&gt;&lt;RecNum&gt;6568&lt;/RecNum&gt;&lt;Prefix&gt;&lt;/Prefix&gt;&lt;Suffix&gt;&lt;/Suffix&gt;&lt;Pages&gt;&lt;/Pages&gt;&lt;DisplayText&gt;(Allen &amp; Mehler, 2019)&lt;/DisplayText&gt;&lt;record&gt;&lt;database name="lit_2021.enl" path="/Volumes/zendata/tC/references/2021/lit_2021.enl"&gt;lit_2021.enl&lt;/database&gt;&lt;source-app name="EndNote" version="19.3"&gt;EndNote&lt;/source-app&gt;&lt;rec-number&gt;6568&lt;/rec-number&gt;&lt;foreign-keys&gt;&lt;key app="EN" db-id="zv9tw0t2n2xfdiet259x2tdh09prp29zrxsv"&gt;6568&lt;/key&gt;&lt;/foreign-keys&gt;&lt;ref-type name="Journal Article"&gt;17&lt;/ref-type&gt;&lt;contributors&gt;&lt;authors&gt;&lt;author&gt;&lt;style face="normal" font="default" size="100%"&gt;Allen, Christopher&lt;/style&gt;&lt;/author&gt;&lt;author&gt;&lt;style face="normal" font="default" size="100%"&gt;Mehler, David M. A.&lt;/style&gt;&lt;/author&gt;&lt;/authors&gt;&lt;/contributors&gt;&lt;titles&gt;&lt;title&gt;&lt;style face="normal" font="default" size="100%"&gt;Open science challenges, benefits and tips in early career and beyond&lt;/style&gt;&lt;/title&gt;&lt;secondary-title&gt;&lt;style face="normal" font="default" size="100%"&gt;PLOS Biology&lt;/style&gt;&lt;/secondary-title&gt;&lt;/titles&gt;&lt;periodical&gt;&lt;full-title&gt;&lt;style face="normal" font="default" size="100%"&gt;Plos Biology&lt;/style&gt;&lt;/full-title&gt;&lt;/periodical&gt;&lt;pages&gt;&lt;style face="normal" font="default" size="100%"&gt;e3000246&lt;/style&gt;&lt;/pages&gt;&lt;volume&gt;&lt;style face="normal" font="default" size="100%"&gt;17&lt;/style&gt;&lt;/volume&gt;&lt;number&gt;&lt;style face="normal" font="default" size="100%"&gt;5&lt;/style&gt;&lt;/number&gt;&lt;dates&gt;&lt;year&gt;&lt;style face="normal" font="default" size="100%"&gt;2019&lt;/style&gt;&lt;/year&gt;&lt;/dates&gt;&lt;publisher&gt;&lt;style face="normal" font="default" size="100%"&gt;Public Library of Science&lt;/style&gt;&lt;/publisher&gt;&lt;abstract&gt;&lt;style face="normal" font="default" size="100%"&gt;This Perspective article offers a balanced perspective on both the benefits and the challenges involved in the adoption of open science practices, with an emphasis on the implications for Early Career Researchers.&lt;/style&gt;&lt;/abstract&gt;&lt;urls&gt;&lt;related-urls&gt;&lt;url&gt;&lt;style face="normal" font="default" size="100%"&gt;https://doi.org/10.1371/journal.pbio.3000246&lt;/style&gt;&lt;/url&gt;&lt;/related-urls&gt;&lt;/urls&gt;&lt;electronic-resource-num&gt;&lt;style face="normal" font="default" size="100%"&gt;10.1371/journal.pbio.3000246&lt;/style&gt;&lt;/electronic-resource-num&gt;&lt;/record&gt;&lt;/Cite&gt;&lt;/EndNote&gt;</w:instrText>
      </w:r>
      <w:r>
        <w:rPr/>
        <w:fldChar w:fldCharType="separate" w:fldLock="0"/>
      </w:r>
      <w:r>
        <w:rPr>
          <w:rtl w:val="0"/>
          <w:lang w:val="de-DE"/>
        </w:rPr>
        <w:t>(Allen &amp; Mehler, 2019)</w:t>
      </w:r>
      <w:r>
        <w:rPr/>
        <w:fldChar w:fldCharType="end" w:fldLock="0"/>
      </w:r>
      <w:r>
        <w:rPr>
          <w:rtl w:val="0"/>
        </w:rPr>
        <w:t xml:space="preserve">. </w:t>
      </w:r>
      <w:r>
        <w:rPr>
          <w:rtl w:val="0"/>
          <w:lang w:val="en-US"/>
        </w:rPr>
        <w:t xml:space="preserve">These two sub-disciplines of science are leaders in the advancement of many open science endeavors </w:t>
      </w:r>
      <w:r>
        <w:rPr/>
        <w:fldChar w:fldCharType="begin" w:fldLock="0"/>
      </w:r>
      <w:r>
        <w:instrText xml:space="preserve"> ADDIN EN.CITE &lt;EndNote&gt;&lt;Cite  &gt;&lt;Author&gt;Hampton, Stephanie E.; Anderson, Sean S.; Bagby, Sarah C.; Gries, Corinna; Han, Xueying; Hart, Edmund M.; Jones, Matthew B.; Lenhardt, W. Christopher; MacDonald, Andrew; Michener, William K.; Mudge, Joe; Pourmokhtarian, Afshin; Schildhauer, Mark P.; Woo, Kara H.; Zimmerman, Naupaka&lt;/Author&gt;&lt;Year&gt;2015&lt;/Year&gt;&lt;Prefix&gt;&lt;/Prefix&gt;&lt;Suffix&gt;&lt;/Suffix&gt;&lt;Pages&gt;&lt;/Pages&gt;&lt;DisplayText&gt;(Hampton et al., 2015)&lt;/DisplayText&gt;&lt;record&gt;&lt;database name="lit_2021.enl" path="/Volumes/zendata/tC/references/2021/lit_2021.enl"&gt;lit_2021.enl&lt;/database&gt;&lt;source-app name="EndNote" version="19.3"&gt;EndNote&lt;/source-app&gt;&lt;rec-number&gt;4982&lt;/rec-number&gt;&lt;foreign-keys&gt;&lt;key app="EN" db-id="zv9tw0t2n2xfdiet259x2tdh09prp29zrxsv"&gt;4982&lt;/key&gt;&lt;/foreign-keys&gt;&lt;ref-type name="Journal Article"&gt;17&lt;/ref-type&gt;&lt;contributors&gt;&lt;authors&gt;&lt;author&gt;&lt;style face="normal" font="default" size="100%"&gt;Hampton, Stephanie E.&lt;/style&gt;&lt;/author&gt;&lt;author&gt;&lt;style face="normal" font="default" size="100%"&gt;Anderson, Sean S.&lt;/style&gt;&lt;/author&gt;&lt;author&gt;&lt;style face="normal" font="default" size="100%"&gt;Bagby, Sarah C.&lt;/style&gt;&lt;/author&gt;&lt;author&gt;&lt;style face="normal" font="default" size="100%"&gt;Gries, Corinna&lt;/style&gt;&lt;/author&gt;&lt;author&gt;&lt;style face="normal" font="default" size="100%"&gt;Han, Xueying&lt;/style&gt;&lt;/author&gt;&lt;author&gt;&lt;style face="normal" font="default" size="100%"&gt;Hart, Edmund M.&lt;/style&gt;&lt;/author&gt;&lt;author&gt;&lt;style face="normal" font="default" size="100%"&gt;Jones, Matthew B.&lt;/style&gt;&lt;/author&gt;&lt;author&gt;&lt;style face="normal" font="default" size="100%"&gt;Lenhardt, W. Christopher&lt;/style&gt;&lt;/author&gt;&lt;author&gt;&lt;style face="normal" font="default" size="100%"&gt;MacDonald, Andrew&lt;/style&gt;&lt;/author&gt;&lt;author&gt;&lt;style face="normal" font="default" size="100%"&gt;Michener, William K.&lt;/style&gt;&lt;/author&gt;&lt;author&gt;&lt;style face="normal" font="default" size="100%"&gt;Mudge, Joe&lt;/style&gt;&lt;/author&gt;&lt;author&gt;&lt;style face="normal" font="default" size="100%"&gt;Pourmokhtarian, Afshin&lt;/style&gt;&lt;/author&gt;&lt;author&gt;&lt;style face="normal" font="default" size="100%"&gt;Schildhauer, Mark P.&lt;/style&gt;&lt;/author&gt;&lt;author&gt;&lt;style face="normal" font="default" size="100%"&gt;Woo, Kara H.&lt;/style&gt;&lt;/author&gt;&lt;author&gt;&lt;style face="normal" font="default" size="100%"&gt;Zimmerman, Naupaka&lt;/style&gt;&lt;/author&gt;&lt;/authors&gt;&lt;/contributors&gt;&lt;titles&gt;&lt;title&gt;&lt;style face="normal" font="default" size="100%"&gt;The Tao of open science for ecology&lt;/style&gt;&lt;/title&gt;&lt;secondary-title&gt;&lt;style face="normal" font="default" size="100%"&gt;Ecosphere&lt;/style&gt;&lt;/secondary-title&gt;&lt;/titles&gt;&lt;periodical&gt;&lt;full-title&gt;&lt;style face="normal" font="default" size="100%"&gt;Ecosphere&lt;/style&gt;&lt;/full-title&gt;&lt;/periodical&gt;&lt;pages&gt;&lt;style face="normal" font="default" size="100%"&gt;1-13&lt;/style&gt;&lt;/pages&gt;&lt;volume&gt;&lt;style face="normal" font="default" size="100%"&gt;6&lt;/style&gt;&lt;/volume&gt;&lt;number&gt;&lt;style face="normal" font="default" size="100%"&gt;7&lt;/style&gt;&lt;/number&gt;&lt;keywords&gt;&lt;keyword&gt;&lt;style face="normal" font="default" size="100%"&gt;data management&lt;/style&gt;&lt;/keyword&gt;&lt;keyword&gt;&lt;style face="normal" font="default" size="100%"&gt;ecology&lt;/style&gt;&lt;/keyword&gt;&lt;keyword&gt;&lt;style face="normal" font="default" size="100%"&gt;open access&lt;/style&gt;&lt;/keyword&gt;&lt;keyword&gt;&lt;style face="normal" font="default" size="100%"&gt;open science&lt;/style&gt;&lt;/keyword&gt;&lt;keyword&gt;&lt;style face="normal" font="default" size="100%"&gt;reproducible research&lt;/style&gt;&lt;/keyword&gt;&lt;/keywords&gt;&lt;dates&gt;&lt;year&gt;&lt;style face="normal" font="default" size="100%"&gt;2015&lt;/style&gt;&lt;/year&gt;&lt;/dates&gt;&lt;publisher&gt;&lt;style face="normal" font="default" size="100%"&gt;Ecological Society of America&lt;/style&gt;&lt;/publisher&gt;&lt;isbn&gt;&lt;style face="normal" font="default" size="100%"&gt;2150-8925&lt;/style&gt;&lt;/isbn&gt;&lt;abstract&gt;&lt;style face="normal" font="default" size="100%"&gt;The field of ecology is poised to take advantage of emerging technologies that facilitate the gathering, analyzing, and sharing of data, methods, and results. The concept of transparency at all stages of the research process, coupled with free and open access to data, code, and papers, constitutes “open science.” Despite the many benefits of an open approach to science, a number of barriers to entry exist that may prevent researchers from embracing openness in their own work. Here we describe several key shifts in mindset that underpin the transition to more open science. These shifts in mindset include thinking about data stewardship rather than data ownership, embracing transparency throughout the data life-cycle and project duration, and accepting critique in public. Though foreign and perhaps frightening at first, these changes in thinking stand to benefit the field of ecology by fostering collegiality and broadening access to data and findings. We present an overview of tools and best practices that can enable these shifts in mindset at each stage of the research process, including tools to support data management planning and reproducible analyses, strategies for soliciting constructive feedback throughout the research process, and methods of broadening access to final research products.&lt;/style&gt;&lt;/abstract&gt;&lt;urls&gt;&lt;related-urls&gt;&lt;url&gt;&lt;style face="normal" font="default" size="100%"&gt;http://dx.doi.org/10.1890/ES14-00402.1&lt;/style&gt;&lt;/url&gt;&lt;/related-urls&gt;&lt;/urls&gt;&lt;electronic-resource-num&gt;&lt;style face="normal" font="default" size="100%"&gt;10.1890/ES14-00402.1&lt;/style&gt;&lt;/electronic-resource-num&gt;&lt;/record&gt;&lt;/Cite&gt;&lt;/EndNote&gt;</w:instrText>
      </w:r>
      <w:r>
        <w:rPr/>
        <w:fldChar w:fldCharType="separate" w:fldLock="0"/>
      </w:r>
      <w:r>
        <w:rPr>
          <w:rtl w:val="0"/>
        </w:rPr>
        <w:t>(Hampton et al., 2015)</w:t>
      </w:r>
      <w:r>
        <w:rPr/>
        <w:fldChar w:fldCharType="end" w:fldLock="0"/>
      </w:r>
      <w:r>
        <w:rPr>
          <w:rtl w:val="0"/>
          <w:lang w:val="en-US"/>
        </w:rPr>
        <w:t xml:space="preserve">, and big data in ecology in terms of scope and diversity of evidence thresholds have been crossed </w:t>
      </w:r>
      <w:r>
        <w:rPr/>
        <w:fldChar w:fldCharType="begin" w:fldLock="0"/>
      </w:r>
      <w:r>
        <w:instrText xml:space="preserve"> ADDIN EN.CITE &lt;EndNote&gt;&lt;Cite  &gt;&lt;Author&gt;Hampton, S.E.; Strasser, C.A.; Tewksbury, J.J.; Gram, W.K.,; Budden, A.E.; Batcheller, A.L.; Duke, C.S.; Porter, J.H.&lt;/Author&gt;&lt;Year&gt;2013&lt;/Year&gt;&lt;Prefix&gt;&lt;/Prefix&gt;&lt;Suffix&gt;&lt;/Suffix&gt;&lt;Pages&gt;&lt;/Pages&gt;&lt;DisplayText&gt;(Hampton et al., 2013)&lt;/DisplayText&gt;&lt;record&gt;&lt;database name="lit_2021.enl" path="/Volumes/zendata/tC/references/2021/lit_2021.enl"&gt;lit_2021.enl&lt;/database&gt;&lt;source-app name="EndNote" version="19.3"&gt;EndNote&lt;/source-app&gt;&lt;rec-number&gt;2186&lt;/rec-number&gt;&lt;foreign-keys&gt;&lt;key app="EN" db-id="zv9tw0t2n2xfdiet259x2tdh09prp29zrxsv"&gt;2186&lt;/key&gt;&lt;/foreign-keys&gt;&lt;ref-type name="Journal Article"&gt;17&lt;/ref-type&gt;&lt;contributors&gt;&lt;authors&gt;&lt;author&gt;&lt;style face="normal" font="default" size="100%"&gt;Hampton, S.E.&lt;/style&gt;&lt;/author&gt;&lt;author&gt;&lt;style face="normal" font="default" size="100%"&gt;Strasser, C.A.&lt;/style&gt;&lt;/author&gt;&lt;author&gt;&lt;style face="normal" font="default" size="100%"&gt;Tewksbury, J.J.&lt;/style&gt;&lt;/author&gt;&lt;author&gt;&lt;style face="normal" font="default" size="100%"&gt;Gram, W.K.,&lt;/style&gt;&lt;/author&gt;&lt;author&gt;&lt;style face="normal" font="default" size="100%"&gt;Budden, A.E.&lt;/style&gt;&lt;/author&gt;&lt;author&gt;&lt;style face="normal" font="default" size="100%"&gt;Batcheller, A.L.&lt;/style&gt;&lt;/author&gt;&lt;author&gt;&lt;style face="normal" font="default" size="100%"&gt;Duke, C.S.&lt;/style&gt;&lt;/author&gt;&lt;author&gt;&lt;style face="normal" font="default" size="100%"&gt;Porter, J.H.&lt;/style&gt;&lt;/author&gt;&lt;/authors&gt;&lt;/contributors&gt;&lt;titles&gt;&lt;title&gt;&lt;style face="normal" font="default" size="100%"&gt;Big data and the future of ecology.&lt;/style&gt;&lt;/title&gt;&lt;secondary-title&gt;&lt;style face="normal" font="default" size="100%"&gt;Frontiers in Ecology &amp;amp; the Environment&lt;/style&gt;&lt;/secondary-title&gt;&lt;/titles&gt;&lt;periodical&gt;&lt;full-title&gt;&lt;style face="normal" font="default" size="100%"&gt;Frontiers in Ecology &amp;amp; the Environment&lt;/style&gt;&lt;/full-title&gt;&lt;/periodical&gt;&lt;pages&gt;&lt;style face="normal" font="default" size="100%"&gt;156-162&lt;/style&gt;&lt;/pages&gt;&lt;volume&gt;&lt;style face="normal" font="default" size="100%"&gt;11&lt;/style&gt;&lt;/volume&gt;&lt;keywords&gt;&lt;keyword&gt;&lt;style face="normal" font="default" size="100%"&gt;interactions, useful for ecology, 2050&lt;/style&gt;&lt;/keyword&gt;&lt;/keywords&gt;&lt;dates&gt;&lt;year&gt;&lt;style face="normal" font="default" size="100%"&gt;2013&lt;/style&gt;&lt;/year&gt;&lt;/dates&gt;&lt;notes&gt;&lt;style face="normal" font="default" size="100%"&gt;era of data-intensive science is here - conducted a survey of 100 NSF awards in environmental biology and categorized whether data was shared - 57% shared none….&lt;/style&gt;&lt;/notes&gt;&lt;urls&gt;&lt;/urls&gt;&lt;/record&gt;&lt;/Cite&gt;&lt;/EndNote&gt;</w:instrText>
      </w:r>
      <w:r>
        <w:rPr/>
        <w:fldChar w:fldCharType="separate" w:fldLock="0"/>
      </w:r>
      <w:r>
        <w:rPr>
          <w:rtl w:val="0"/>
        </w:rPr>
        <w:t>(Hampton et al., 2013)</w:t>
      </w:r>
      <w:r>
        <w:rPr/>
        <w:fldChar w:fldCharType="end" w:fldLock="0"/>
      </w:r>
      <w:r>
        <w:rPr>
          <w:rtl w:val="0"/>
          <w:lang w:val="en-US"/>
        </w:rPr>
        <w:t xml:space="preserve">. </w:t>
      </w:r>
      <w:r>
        <w:rPr>
          <w:rtl w:val="0"/>
          <w:lang w:val="en-US"/>
        </w:rPr>
        <w:t xml:space="preserve">Nonetheless, sharing sooner enables more rapid and effective discovery, and dramatic </w:t>
      </w:r>
      <w:r>
        <w:rPr>
          <w:rtl w:val="0"/>
          <w:lang w:val="en-US"/>
        </w:rPr>
        <w:t xml:space="preserve">knowledge and process </w:t>
      </w:r>
      <w:r>
        <w:rPr>
          <w:rtl w:val="0"/>
          <w:lang w:val="en-US"/>
        </w:rPr>
        <w:t>changes can happen. The COVID-19 pandemic has highlighted the incredible power of sharing data, simple summary statistics, and all findings extremely rapidly as collected or even in real-time</w:t>
      </w:r>
      <w:r>
        <w:rPr>
          <w:rtl w:val="0"/>
          <w:lang w:val="en-US"/>
        </w:rPr>
        <w:t xml:space="preserve"> </w:t>
      </w:r>
      <w:r>
        <w:rPr/>
        <w:fldChar w:fldCharType="begin" w:fldLock="0"/>
      </w:r>
      <w:r>
        <w:instrText xml:space="preserve"> ADDIN EN.CITE &lt;EndNote&gt;&lt;Cite  &gt;&lt;Author&gt;George, Gerard; Lakhani, Karim R.; Puranam, Phanish&lt;/Author&gt;&lt;Year&gt;2020&lt;/Year&gt;&lt;RecNum&gt;7139&lt;/RecNum&gt;&lt;Prefix&gt;&lt;/Prefix&gt;&lt;Suffix&gt;&lt;/Suffix&gt;&lt;Pages&gt;&lt;/Pages&gt;&lt;DisplayText&gt;(George et al., 2020; Saitz &amp; Schwitzer, 2020)&lt;/DisplayText&gt;&lt;record&gt;&lt;database name="lit_2021.enl" path="/Volumes/zendata/tC/references/2021/lit_2021.enl"&gt;lit_2021.enl&lt;/database&gt;&lt;source-app name="EndNote" version="19.3"&gt;EndNote&lt;/source-app&gt;&lt;rec-number&gt;7139&lt;/rec-number&gt;&lt;foreign-keys&gt;&lt;key app="EN" db-id="zv9tw0t2n2xfdiet259x2tdh09prp29zrxsv"&gt;7139&lt;/key&gt;&lt;/foreign-keys&gt;&lt;ref-type name="Journal Article"&gt;17&lt;/ref-type&gt;&lt;contributors&gt;&lt;authors&gt;&lt;author&gt;&lt;style face="normal" font="default" size="100%"&gt;George, Gerard&lt;/style&gt;&lt;/author&gt;&lt;author&gt;&lt;style face="normal" font="default" size="100%"&gt;Lakhani, Karim R.&lt;/style&gt;&lt;/author&gt;&lt;author&gt;&lt;style face="normal" font="default" size="100%"&gt;Puranam, Phanish&lt;/style&gt;&lt;/author&gt;&lt;/authors&gt;&lt;/contributors&gt;&lt;titles&gt;&lt;title&gt;&lt;style face="normal" font="default" size="100%"&gt;What has changed? The Impact of Covid Pandemic on the Technology and Innovation Management Research Agenda&lt;/style&gt;&lt;/title&gt;&lt;secondary-title&gt;&lt;style face="normal" font="default" size="100%"&gt;Journal of Management Studies&lt;/style&gt;&lt;/secondary-title&gt;&lt;/titles&gt;&lt;periodical&gt;&lt;full-title&gt;&lt;style face="normal" font="default" size="100%"&gt;Journal of Management Studies&lt;/style&gt;&lt;/full-title&gt;&lt;/periodical&gt;&lt;pages&gt;&lt;style face="normal" font="default" size="100%"&gt;1754-1758&lt;/style&gt;&lt;/pages&gt;&lt;volume&gt;&lt;style face="normal" font="default" size="100%"&gt;57&lt;/style&gt;&lt;/volume&gt;&lt;number&gt;&lt;style face="normal" font="default" size="100%"&gt;8&lt;/style&gt;&lt;/number&gt;&lt;dates&gt;&lt;year&gt;&lt;style face="normal" font="default" size="100%"&gt;2020&lt;/style&gt;&lt;/year&gt;&lt;pub-dates&gt;&lt;date&gt;&lt;style face="normal" font="default" size="100%"&gt;2020/12/01&lt;/style&gt;&lt;/date&gt;&lt;/pub-dates&gt;&lt;/dates&gt;&lt;publisher&gt;&lt;style face="normal" font="default" size="100%"&gt;John Wiley &amp;amp; Sons, Ltd&lt;/style&gt;&lt;/publisher&gt;&lt;isbn&gt;&lt;style face="normal" font="default" size="100%"&gt;0022-2380&lt;/style&gt;&lt;/isbn&gt;&lt;notes&gt;&lt;style face="normal" font="default" size="100%"&gt;https://doi.org/10.1111/joms.12634&lt;/style&gt;&lt;/notes&gt;&lt;work-type&gt;&lt;style face="normal" font="default" size="100%"&gt;https://doi.org/10.1111/joms.12634&lt;/style&gt;&lt;/work-type&gt;&lt;urls&gt;&lt;related-urls&gt;&lt;url&gt;&lt;style face="normal" font="default" size="100%"&gt;https://doi.org/10.1111/joms.12634&lt;/style&gt;&lt;/url&gt;&lt;/related-urls&gt;&lt;/urls&gt;&lt;electronic-resource-num&gt;&lt;style face="normal" font="default" size="100%"&gt;https://doi.org/10.1111/joms.12634&lt;/style&gt;&lt;/electronic-resource-num&gt;&lt;access-date&gt;&lt;style face="normal" font="default" size="100%"&gt;2021/05/27&lt;/style&gt;&lt;/access-date&gt;&lt;/record&gt;&lt;/Cite&gt;&lt;Cite  &gt;&lt;Author&gt;Saitz, Richard; Schwitzer, Gary&lt;/Author&gt;&lt;Year&gt;2020&lt;/Year&gt;&lt;Prefix&gt;&lt;/Prefix&gt;&lt;Suffix&gt;&lt;/Suffix&gt;&lt;Pages&gt;&lt;/Pages&gt;&lt;record&gt;&lt;database name="lit_2021.enl" path="/Volumes/zendata/tC/references/2021/lit_2021.enl"&gt;lit_2021.enl&lt;/database&gt;&lt;source-app name="EndNote" version="19.3"&gt;EndNote&lt;/source-app&gt;&lt;rec-number&gt;7140&lt;/rec-number&gt;&lt;foreign-keys&gt;&lt;key app="EN" db-id="zv9tw0t2n2xfdiet259x2tdh09prp29zrxsv"&gt;7140&lt;/key&gt;&lt;/foreign-keys&gt;&lt;ref-type name="Journal Article"&gt;17&lt;/ref-type&gt;&lt;contributors&gt;&lt;authors&gt;&lt;author&gt;&lt;style face="normal" font="default" size="100%"&gt;Saitz, Richard&lt;/style&gt;&lt;/author&gt;&lt;author&gt;&lt;style face="normal" font="default" size="100%"&gt;Schwitzer, Gary&lt;/style&gt;&lt;/author&gt;&lt;/authors&gt;&lt;/contributors&gt;&lt;titles&gt;&lt;title&gt;&lt;style face="normal" font="default" size="100%"&gt;Communicating Science in the Time of a Pandemic&lt;/style&gt;&lt;/title&gt;&lt;secondary-title&gt;&lt;style face="normal" font="default" size="100%"&gt;JAMA&lt;/style&gt;&lt;/secondary-title&gt;&lt;/titles&gt;&lt;periodical&gt;&lt;full-title&gt;&lt;style face="normal" font="default" size="100%"&gt;JAMA&lt;/style&gt;&lt;/full-title&gt;&lt;/periodical&gt;&lt;pages&gt;&lt;style face="normal" font="default" size="100%"&gt;443-444&lt;/style&gt;&lt;/pages&gt;&lt;volume&gt;&lt;style face="normal" font="default" size="100%"&gt;324&lt;/style&gt;&lt;/volume&gt;&lt;number&gt;&lt;style face="normal" font="default" size="100%"&gt;5&lt;/style&gt;&lt;/number&gt;&lt;dates&gt;&lt;year&gt;&lt;style face="normal" font="default" size="100%"&gt;2020&lt;/style&gt;&lt;/year&gt;&lt;/dates&gt;&lt;isbn&gt;&lt;style face="normal" font="default" size="100%"&gt;0098-7484&lt;/style&gt;&lt;/isbn&gt;&lt;abstract&gt;&lt;style face="normal" font="default" size="100%"&gt;During the global SARS-CoV-2 (severe acute respiratory syndrome coronavirus 2) pandemic, disseminating study findings (such as by preprints, news releases, news stories, or social media) and publishing the results of studies of testing and treatment in scientific journals increased quickly. As of July 6, a PubMed search for COVID-19 yielded almost 30 000 reports.In the context of a rapid increase in cases, hospitalizations, and deaths from COVID-19 (coronavirus disease 2019), clinicians, patients, policy makers, and the public at large are understandably eager for results of studies of prognosis, diagnosis, and treatment. Because of the urgency to implement the findings of research to stem the pandemic and its effects, clear and complete communication of study results is even more important than usual.&lt;/style&gt;&lt;/abstract&gt;&lt;urls&gt;&lt;related-urls&gt;&lt;url&gt;&lt;style face="normal" font="default" size="100%"&gt;https://doi.org/10.1001/jama.2020.12535&lt;/style&gt;&lt;/url&gt;&lt;/related-urls&gt;&lt;/urls&gt;&lt;electronic-resource-num&gt;&lt;style face="normal" font="default" size="100%"&gt;10.1001/jama.2020.12535&lt;/style&gt;&lt;/electronic-resource-num&gt;&lt;access-date&gt;&lt;style face="normal" font="default" size="100%"&gt;5/27/2021&lt;/style&gt;&lt;/access-date&gt;&lt;/record&gt;&lt;/Cite&gt;&lt;/EndNote&gt;</w:instrText>
      </w:r>
      <w:r>
        <w:rPr/>
        <w:fldChar w:fldCharType="separate" w:fldLock="0"/>
      </w:r>
      <w:r>
        <w:rPr>
          <w:rtl w:val="0"/>
          <w:lang w:val="de-DE"/>
        </w:rPr>
        <w:t>(George et al., 2020; Saitz &amp; Schwitzer, 2020)</w:t>
      </w:r>
      <w:r>
        <w:rPr/>
        <w:fldChar w:fldCharType="end" w:fldLock="0"/>
      </w:r>
      <w:r>
        <w:rPr>
          <w:rtl w:val="0"/>
          <w:lang w:val="en-US"/>
        </w:rPr>
        <w:t>. The public and scientific community at large used these resources to engage in open, novel data-driven science and evidence-informed decision making</w:t>
      </w:r>
      <w:r>
        <w:rPr>
          <w:rtl w:val="0"/>
          <w:lang w:val="en-US"/>
        </w:rPr>
        <w:t xml:space="preserve"> </w:t>
      </w:r>
      <w:r>
        <w:rPr/>
        <w:fldChar w:fldCharType="begin" w:fldLock="0"/>
      </w:r>
      <w:r>
        <w:instrText xml:space="preserve"> ADDIN EN.CITE &lt;EndNote&gt;&lt;Cite  &gt;&lt;Author&gt;Agley, Jon&lt;/Author&gt;&lt;Year&gt;2020&lt;/Year&gt;&lt;Prefix&gt;&lt;/Prefix&gt;&lt;Suffix&gt;&lt;/Suffix&gt;&lt;Pages&gt;&lt;/Pages&gt;&lt;DisplayText&gt;(Agley, 2020; Devine et al., 2020)&lt;/DisplayText&gt;&lt;record&gt;&lt;database name="lit_2021.enl" path="/Volumes/zendata/tC/references/2021/lit_2021.enl"&gt;lit_2021.enl&lt;/database&gt;&lt;source-app name="EndNote" version="19.3"&gt;EndNote&lt;/source-app&gt;&lt;rec-number&gt;7147&lt;/rec-number&gt;&lt;foreign-keys&gt;&lt;key app="EN" db-id="zv9tw0t2n2xfdiet259x2tdh09prp29zrxsv"&gt;7147&lt;/key&gt;&lt;/foreign-keys&gt;&lt;ref-type name="Journal Article"&gt;17&lt;/ref-type&gt;&lt;contributors&gt;&lt;authors&gt;&lt;author&gt;&lt;style face="normal" font="default" size="100%"&gt;Agley, Jon&lt;/style&gt;&lt;/author&gt;&lt;/authors&gt;&lt;/contributors&gt;&lt;titles&gt;&lt;title&gt;&lt;style face="normal" font="default" size="100%"&gt;Assessing changes in US public trust in science amid the COVID-19 pandemic&lt;/style&gt;&lt;/title&gt;&lt;secondary-title&gt;&lt;style face="normal" font="default" size="100%"&gt;Public Health&lt;/style&gt;&lt;/secondary-title&gt;&lt;/titles&gt;&lt;periodical&gt;&lt;full-title&gt;&lt;style face="normal" font="default" size="100%"&gt;Public Health&lt;/style&gt;&lt;/full-title&gt;&lt;/periodical&gt;&lt;pages&gt;&lt;style face="normal" font="default" size="100%"&gt;122-125&lt;/style&gt;&lt;/pages&gt;&lt;volume&gt;&lt;style face="normal" font="default" size="100%"&gt;183&lt;/style&gt;&lt;/volume&gt;&lt;keywords&gt;&lt;keyword&gt;&lt;style face="normal" font="default" size="100%"&gt;Trust&lt;/style&gt;&lt;/keyword&gt;&lt;keyword&gt;&lt;style face="normal" font="default" size="100%"&gt;Coronavirus&lt;/style&gt;&lt;/keyword&gt;&lt;keyword&gt;&lt;style face="normal" font="default" size="100%"&gt;Epidemiology&lt;/style&gt;&lt;/keyword&gt;&lt;keyword&gt;&lt;style face="normal" font="default" size="100%"&gt;2019-nCoV&lt;/style&gt;&lt;/keyword&gt;&lt;keyword&gt;&lt;style face="normal" font="default" size="100%"&gt;COVID-19&lt;/style&gt;&lt;/keyword&gt;&lt;/keywords&gt;&lt;dates&gt;&lt;year&gt;&lt;style face="normal" font="default" size="100%"&gt;2020&lt;/style&gt;&lt;/year&gt;&lt;pub-dates&gt;&lt;date&gt;&lt;style face="normal" font="default" size="100%"&gt;2020/06/01/&lt;/style&gt;&lt;/date&gt;&lt;/pub-dates&gt;&lt;/dates&gt;&lt;isbn&gt;&lt;style face="normal" font="default" size="100%"&gt;0033-3506&lt;/style&gt;&lt;/isbn&gt;&lt;abstract&gt;&lt;style face="normal" font="default" size="100%"&gt;Objectives The emergence of the coronavirus disease 2019 (COVID-19) and subsequent pandemic has led to the most substantive large-scale, open, and public social discussion of epidemiology and science in recent history. In the United States (US), extensive debate has ensued as to the risk posed by the disease, whether the health system is prepared to manage a high volume of critical cases, whether any number of public health responses are necessary and appropriate, and the appropriate ways to prevent, manage, and treat the pandemic. I hypothesized that the interplay between scientists, policymakers, and the public in an open forum was associated with increased overall public trust in science and scientists, but that this was moderated by political orientation and/or religious commitment. In the context of a public health emergency, it is important to understand the degree to which science and scientists are trusted to produce information that can provide reassurance and also can explain the details of a highly complex event such as a viral pandemic while providing actionable recommendations. Study design The study design was analytic cross-sectional. Methods Data were obtained on March 17–18, 2020, from a sample of 242 US-based Amazon Mechanical Turk users. Respondents completed a 49-question survey consisting of key sociodemographic variables, political affiliation, religious commitment, and two iterations of the Trust in Science and Scientist Inventory (one for March 2020, and one for December 2019 using retrospective recall). Changes in mean level of trust and interaction with political affiliation and/or religious commitment were assessed using mixed ANOVA via the general linear model. Results On a scale from 1 (low trust) to 5 (high trust), the mean level of trust in science and scientists was static; 3.82 in December 2019 and 3.81 in March 2020. Conservative political orientation and high religious commitment were associated with significantly less overall trust in science; the interaction effect suggested that liberal trust in science decreased slightly from December 2019 to March 2020, whereas conservative trust increased slightly. Conclusions Counter to my expectations, the overall level of trust in science remained static after the first several months of COVID-19 in the US, although there is some evidence that political orientation was associated with magnitude and directionality of change in trust. Continued examination of these trends is important for understanding public response to epidemiologic recommendations.&lt;/style&gt;&lt;/abstract&gt;&lt;urls&gt;&lt;related-urls&gt;&lt;url&gt;&lt;style face="normal" font="default" size="100%"&gt;https://www.sciencedirect.com/science/article/pii/S0033350620301578&lt;/style&gt;&lt;/url&gt;&lt;/related-urls&gt;&lt;/urls&gt;&lt;electronic-resource-num&gt;&lt;style face="normal" font="default" size="100%"&gt;https://doi.org/10.1016/j.puhe.2020.05.004&lt;/style&gt;&lt;/electronic-resource-num&gt;&lt;/record&gt;&lt;/Cite&gt;&lt;Cite  &gt;&lt;Author&gt;Devine, Daniel; Gaskell, Jennifer; Jennings, Will; Stoker, Gerry&lt;/Author&gt;&lt;Year&gt;2020&lt;/Year&gt;&lt;RecNum&gt;7148&lt;/RecNum&gt;&lt;Prefix&gt;&lt;/Prefix&gt;&lt;Suffix&gt;&lt;/Suffix&gt;&lt;Pages&gt;&lt;/Pages&gt;&lt;record&gt;&lt;database name="lit_2021.enl" path="/Volumes/zendata/tC/references/2021/lit_2021.enl"&gt;lit_2021.enl&lt;/database&gt;&lt;source-app name="EndNote" version="19.3"&gt;EndNote&lt;/source-app&gt;&lt;rec-number&gt;7148&lt;/rec-number&gt;&lt;foreign-keys&gt;&lt;key app="EN" db-id="zv9tw0t2n2xfdiet259x2tdh09prp29zrxsv"&gt;7148&lt;/key&gt;&lt;/foreign-keys&gt;&lt;ref-type name="Journal Article"&gt;17&lt;/ref-type&gt;&lt;contributors&gt;&lt;authors&gt;&lt;author&gt;&lt;style face="normal" font="default" size="100%"&gt;Devine, Daniel&lt;/style&gt;&lt;/author&gt;&lt;author&gt;&lt;style face="normal" font="default" size="100%"&gt;Gaskell, Jennifer&lt;/style&gt;&lt;/author&gt;&lt;author&gt;&lt;style face="normal" font="default" size="100%"&gt;Jennings, Will&lt;/style&gt;&lt;/author&gt;&lt;author&gt;&lt;style face="normal" font="default" size="100%"&gt;Stoker, Gerry&lt;/style&gt;&lt;/author&gt;&lt;/authors&gt;&lt;/contributors&gt;&lt;titles&gt;&lt;title&gt;&lt;style face="normal" font="default" size="100%"&gt;Trust and the Coronavirus Pandemic: What are the Consequences of and for Trust? An Early Review of the Literature&lt;/style&gt;&lt;/title&gt;&lt;secondary-title&gt;&lt;style face="normal" font="default" size="100%"&gt;Political Studies Review&lt;/style&gt;&lt;/secondary-title&gt;&lt;/titles&gt;&lt;periodical&gt;&lt;full-title&gt;&lt;style face="normal" font="default" size="100%"&gt;Political Studies Review&lt;/style&gt;&lt;/full-title&gt;&lt;/periodical&gt;&lt;pages&gt;&lt;style face="normal" font="default" size="100%"&gt;274-285&lt;/style&gt;&lt;/pages&gt;&lt;volume&gt;&lt;style face="normal" font="default" size="100%"&gt;19&lt;/style&gt;&lt;/volume&gt;&lt;number&gt;&lt;style face="normal" font="default" size="100%"&gt;2&lt;/style&gt;&lt;/number&gt;&lt;dates&gt;&lt;year&gt;&lt;style face="normal" font="default" size="100%"&gt;2020&lt;/style&gt;&lt;/year&gt;&lt;pub-dates&gt;&lt;date&gt;&lt;style face="normal" font="default" size="100%"&gt;2021/05/01&lt;/style&gt;&lt;/date&gt;&lt;/pub-dates&gt;&lt;/dates&gt;&lt;publisher&gt;&lt;style face="normal" font="default" size="100%"&gt;SAGE Publications&lt;/style&gt;&lt;/publisher&gt;&lt;isbn&gt;&lt;style face="normal" font="default" size="100%"&gt;1478-9299&lt;/style&gt;&lt;/isbn&gt;&lt;abstract&gt;&lt;style face="normal" font="default" size="100%"&gt;Trust between governors and the governed is seen as essential to facilitating good governance. This claim has become a prominent contention during the coronavirus pandemic. The crisis also presents a unique test of key hypotheses in the trust literature. Moreover, understanding the dynamics of trust, how it facilitates and hinders policy responses, and also the likely effects of these responses on trust are going to be fundamental questions in policy and trust research in the future. In this article, we review the early literature on the coronavirus pandemic and political and social trust, summarise their findings and highlight key challenges for future research. We show how the studies shed light on trust?s association with implementation of government measures, public compliance with them, mortality rates and the effect of government action on levels of trust. We also urge caution given the varying ways of measuring trust and operationalising the impact of the pandemic, the existence of common issues with quantitative studies and the relatively limited geographical scope of studies to date. We argue that it is going to be important to have a holistic understanding of these dynamics, using mixed-methods research as well as the quantitative studies we review here.&lt;/style&gt;&lt;/abstract&gt;&lt;urls&gt;&lt;related-urls&gt;&lt;url&gt;&lt;style face="normal" font="default" size="100%"&gt;https://doi.org/10.1177/1478929920948684&lt;/style&gt;&lt;/url&gt;&lt;/related-urls&gt;&lt;/urls&gt;&lt;electronic-resource-num&gt;&lt;style face="normal" font="default" size="100%"&gt;10.1177/1478929920948684&lt;/style&gt;&lt;/electronic-resource-num&gt;&lt;access-date&gt;&lt;style face="normal" font="default" size="100%"&gt;2021/05/28&lt;/style&gt;&lt;/access-date&gt;&lt;/record&gt;&lt;/Cite&gt;&lt;/EndNote&gt;</w:instrText>
      </w:r>
      <w:r>
        <w:rPr/>
        <w:fldChar w:fldCharType="separate" w:fldLock="0"/>
      </w:r>
      <w:r>
        <w:rPr>
          <w:rtl w:val="0"/>
        </w:rPr>
        <w:t>(Agley, 2020; Devine et al., 2020)</w:t>
      </w:r>
      <w:r>
        <w:rPr/>
        <w:fldChar w:fldCharType="end" w:fldLock="0"/>
      </w:r>
      <w:r>
        <w:rPr>
          <w:rtl w:val="0"/>
          <w:lang w:val="en-US"/>
        </w:rPr>
        <w:t xml:space="preserve">, and these changes also innovated global learning </w:t>
      </w:r>
      <w:r>
        <w:rPr/>
        <w:fldChar w:fldCharType="begin" w:fldLock="0"/>
      </w:r>
      <w:r>
        <w:instrText xml:space="preserve"> ADDIN EN.CITE &lt;EndNote&gt;&lt;Cite  &gt;&lt;Author&gt;Lashley, Marcus A.; Acevedo, Miguel; Cotner, Sehoya; Lortie, Christopher J.&lt;/Author&gt;&lt;Year&gt;2020&lt;/Year&gt;&lt;RecNum&gt;7003&lt;/RecNum&gt;&lt;Prefix&gt;&lt;/Prefix&gt;&lt;Suffix&gt;&lt;/Suffix&gt;&lt;Pages&gt;&lt;/Pages&gt;&lt;DisplayText&gt;(Lashley et al., 2020)&lt;/DisplayText&gt;&lt;record&gt;&lt;database name="lit_2021.enl" path="/Volumes/zendata/tC/references/2021/lit_2021.enl"&gt;lit_2021.enl&lt;/database&gt;&lt;source-app name="EndNote" version="19.3"&gt;EndNote&lt;/source-app&gt;&lt;rec-number&gt;7003&lt;/rec-number&gt;&lt;foreign-keys&gt;&lt;key app="EN" db-id="zv9tw0t2n2xfdiet259x2tdh09prp29zrxsv"&gt;7003&lt;/key&gt;&lt;/foreign-keys&gt;&lt;ref-type name="Journal Article"&gt;17&lt;/ref-type&gt;&lt;contributors&gt;&lt;authors&gt;&lt;author&gt;&lt;style face="normal" font="default" size="100%"&gt;Lashley, Marcus A.&lt;/style&gt;&lt;/author&gt;&lt;author&gt;&lt;style face="normal" font="default" size="100%"&gt;Acevedo, Miguel&lt;/style&gt;&lt;/author&gt;&lt;author&gt;&lt;style face="normal" font="default" size="100%"&gt;Cotner, Sehoya&lt;/style&gt;&lt;/author&gt;&lt;author&gt;&lt;style face="normal" font="default" size="100%"&gt;Lortie, Christopher J.&lt;/style&gt;&lt;/author&gt;&lt;/authors&gt;&lt;/contributors&gt;&lt;titles&gt;&lt;title&gt;&lt;style face="normal" font="default" size="100%"&gt;How the ecology and evolution of the COVID-19 pandemic changed learning&lt;/style&gt;&lt;/title&gt;&lt;secondary-title&gt;&lt;style face="normal" font="default" size="100%"&gt;Ecology and Evolution&lt;/style&gt;&lt;/secondary-title&gt;&lt;/titles&gt;&lt;periodical&gt;&lt;full-title&gt;&lt;style face="normal" font="default" size="100%"&gt;Ecology and Evolution&lt;/style&gt;&lt;/full-title&gt;&lt;/periodical&gt;&lt;pages&gt;&lt;style face="normal" font="default" size="100%"&gt;12412-12417&lt;/style&gt;&lt;/pages&gt;&lt;volume&gt;&lt;style face="normal" font="default" size="100%"&gt;10&lt;/style&gt;&lt;/volume&gt;&lt;number&gt;&lt;style face="normal" font="default" size="100%"&gt;22&lt;/style&gt;&lt;/number&gt;&lt;dates&gt;&lt;year&gt;&lt;style face="normal" font="default" size="100%"&gt;2020&lt;/style&gt;&lt;/year&gt;&lt;pub-dates&gt;&lt;date&gt;&lt;style face="normal" font="default" size="100%"&gt;2020/11/01&lt;/style&gt;&lt;/date&gt;&lt;/pub-dates&gt;&lt;/dates&gt;&lt;publisher&gt;&lt;style face="normal" font="default" size="100%"&gt;John Wiley &amp;amp; Sons, Ltd&lt;/style&gt;&lt;/publisher&gt;&lt;isbn&gt;&lt;style face="normal" font="default" size="100%"&gt;2045-7758&lt;/style&gt;&lt;/isbn&gt;&lt;abstract&gt;&lt;style face="normal" font="default" size="100%"&gt;Abstract The coronavirus disease 2019 (COVID-19) pandemic introduced an abrupt change in human behavior globally. Here, we discuss unique insights the pandemic has provided into the eco-evolutionary role of pathogens in ecosystems and present data that indicates the pandemic may have fundamentally changed our learning choices. COVID-19 has indirectly affected many organisms and processes by changing the behavior of humans to avoid being infected. The pandemic also changed our learning behavior by affecting the relative importance of information and forcing teaching and learning into a framework that accommodates human behavioral measures to avoid disease transmission. Not only are these indirect effects on the environment occurring through a unique mechanistic pathway in ecology, the pandemic along with its effects on us provides a profound example of the role risk can play in the transmission of information between the at risk. Ultimately, these changes in our learning behavior led to this special issue ?Taking learning online in Ecology and Evolution.? The special issue was a call to the community to take learning in new directions, including online and distributed experiences. The topics examined include a significant component of DIY ecology and evolution that is experiential but done individually, opportunities to use online tools and apps to be more inclusive, student-focused strategies for teaching online, how to reinvent conferences, strategies to retain experiential learning safely, emerging forms of teaching such as citizen science, apps and podcasting, and ideas on how to accommodate ever changing constraints in the college classroom, to name a few. The collective consensus in our fields is that these times are challenging but we can continue to improve and innovate on existing developments, and more broadly and importantly, this situation may provide an opportunity to reset some of the existing practices that fail to promote an effective and inclusive learning environment.&lt;/style&gt;&lt;/abstract&gt;&lt;notes&gt;&lt;style face="normal" font="default" size="100%"&gt;https://doi.org/10.1002/ece3.6937&lt;/style&gt;&lt;/notes&gt;&lt;work-type&gt;&lt;style face="normal" font="default" size="100%"&gt;https://doi.org/10.1002/ece3.6937&lt;/style&gt;&lt;/work-type&gt;&lt;urls&gt;&lt;related-urls&gt;&lt;url&gt;&lt;style face="normal" font="default" size="100%"&gt;https://doi.org/10.1002/ece3.6937&lt;/style&gt;&lt;/url&gt;&lt;/related-urls&gt;&lt;/urls&gt;&lt;electronic-resource-num&gt;&lt;style face="normal" font="default" size="100%"&gt;https://doi.org/10.1002/ece3.6937&lt;/style&gt;&lt;/electronic-resource-num&gt;&lt;access-date&gt;&lt;style face="normal" font="default" size="100%"&gt;2020/12/10&lt;/style&gt;&lt;/access-date&gt;&lt;/record&gt;&lt;/Cite&gt;&lt;/EndNote&gt;</w:instrText>
      </w:r>
      <w:r>
        <w:rPr/>
        <w:fldChar w:fldCharType="separate" w:fldLock="0"/>
      </w:r>
      <w:r>
        <w:rPr>
          <w:rtl w:val="0"/>
        </w:rPr>
        <w:t>(Lashley et al., 2020)</w:t>
      </w:r>
      <w:r>
        <w:rPr/>
        <w:fldChar w:fldCharType="end" w:fldLock="0"/>
      </w:r>
      <w:r>
        <w:rPr>
          <w:rtl w:val="0"/>
          <w:lang w:val="en-US"/>
        </w:rPr>
        <w:t>. In many other disciplines, we can adopt these lessons</w:t>
      </w:r>
      <w:r>
        <w:rPr>
          <w:rtl w:val="0"/>
          <w:lang w:val="en-US"/>
        </w:rPr>
        <w:t xml:space="preserve"> of being open and more rapid in sharing</w:t>
      </w:r>
      <w:r>
        <w:rPr>
          <w:rtl w:val="0"/>
          <w:lang w:val="en-US"/>
        </w:rPr>
        <w:t xml:space="preserve"> for both societal good and better science. </w:t>
      </w:r>
      <w:r>
        <w:rPr>
          <w:rtl w:val="0"/>
          <w:lang w:val="en-US"/>
        </w:rPr>
        <w:t xml:space="preserve">Ecology and evolution are perfectly poised to embrace these changes in sharing not only publications that describe </w:t>
      </w:r>
      <w:r>
        <w:rPr>
          <w:rtl w:val="0"/>
          <w:lang w:val="en-US"/>
        </w:rPr>
        <w:t>‘</w:t>
      </w:r>
      <w:r>
        <w:rPr>
          <w:rtl w:val="0"/>
          <w:lang w:val="en-US"/>
        </w:rPr>
        <w:t>bright spots</w:t>
      </w:r>
      <w:r>
        <w:rPr>
          <w:rtl w:val="0"/>
          <w:lang w:val="en-US"/>
        </w:rPr>
        <w:t xml:space="preserve">’ </w:t>
      </w:r>
      <w:r>
        <w:rPr>
          <w:rtl w:val="0"/>
          <w:lang w:val="en-US"/>
        </w:rPr>
        <w:t xml:space="preserve">in the anthropocene </w:t>
      </w:r>
      <w:r>
        <w:rPr/>
        <w:fldChar w:fldCharType="begin" w:fldLock="0"/>
      </w:r>
      <w:r>
        <w:instrText xml:space="preserve"> ADDIN EN.CITE &lt;EndNote&gt;&lt;Cite  &gt;&lt;Author&gt;Bennett, Elena M.; Solan, Martin; Biggs, Reinette; McPhearson, Timon; Norström, Albert V.; Olsson, Per; Pereira, Laura; Peterson, Garry D.; Raudsepp-Hearne, Ciara; Biermann, Frank; Carpenter, Stephen R.; Ellis, Erle C.; Hichert, Tanja; Galaz, Victor; Lahsen, Myanna; Milkoreit, Manjana; Martin López, Berta; Nicholas, Kimberly A.; Preiser, Rika; Vince, Gaia; Vervoort, Joost M.; Xu, Jianchu&lt;/Author&gt;&lt;Year&gt;2016&lt;/Year&gt;&lt;Prefix&gt;&lt;/Prefix&gt;&lt;Suffix&gt;&lt;/Suffix&gt;&lt;Pages&gt;&lt;/Pages&gt;&lt;DisplayText&gt;(Bennett et al., 2016)&lt;/DisplayText&gt;&lt;record&gt;&lt;database name="lit_2021.enl" path="/Volumes/zendata/tC/references/2021/lit_2021.enl"&gt;lit_2021.enl&lt;/database&gt;&lt;source-app name="EndNote" version="19.3"&gt;EndNote&lt;/source-app&gt;&lt;rec-number&gt;6250&lt;/rec-number&gt;&lt;foreign-keys&gt;&lt;key app="EN" db-id="zv9tw0t2n2xfdiet259x2tdh09prp29zrxsv"&gt;6250&lt;/key&gt;&lt;/foreign-keys&gt;&lt;ref-type name="Journal Article"&gt;17&lt;/ref-type&gt;&lt;contributors&gt;&lt;authors&gt;&lt;author&gt;&lt;style face="normal" font="default" size="100%"&gt;Bennett, Elena M.&lt;/style&gt;&lt;/author&gt;&lt;author&gt;&lt;style face="normal" font="default" size="100%"&gt;Solan, Martin&lt;/style&gt;&lt;/author&gt;&lt;author&gt;&lt;style face="normal" font="default" size="100%"&gt;Biggs, Reinette&lt;/style&gt;&lt;/author&gt;&lt;author&gt;&lt;style face="normal" font="default" size="100%"&gt;McPhearson, Timon&lt;/style&gt;&lt;/author&gt;&lt;author&gt;&lt;style face="normal" font="default" size="100%"&gt;Norström, Albert V.&lt;/style&gt;&lt;/author&gt;&lt;author&gt;&lt;style face="normal" font="default" size="100%"&gt;Olsson, Per&lt;/style&gt;&lt;/author&gt;&lt;author&gt;&lt;style face="normal" font="default" size="100%"&gt;Pereira, Laura&lt;/style&gt;&lt;/author&gt;&lt;author&gt;&lt;style face="normal" font="default" size="100%"&gt;Peterson, Garry D.&lt;/style&gt;&lt;/author&gt;&lt;author&gt;&lt;style face="normal" font="default" size="100%"&gt;Raudsepp-Hearne, Ciara&lt;/style&gt;&lt;/author&gt;&lt;author&gt;&lt;style face="normal" font="default" size="100%"&gt;Biermann, Frank&lt;/style&gt;&lt;/author&gt;&lt;author&gt;&lt;style face="normal" font="default" size="100%"&gt;Carpenter, Stephen R.&lt;/style&gt;&lt;/author&gt;&lt;author&gt;&lt;style face="normal" font="default" size="100%"&gt;Ellis, Erle C.&lt;/style&gt;&lt;/author&gt;&lt;author&gt;&lt;style face="normal" font="default" size="100%"&gt;Hichert, Tanja&lt;/style&gt;&lt;/author&gt;&lt;author&gt;&lt;style face="normal" font="default" size="100%"&gt;Galaz, Victor&lt;/style&gt;&lt;/author&gt;&lt;author&gt;&lt;style face="normal" font="default" size="100%"&gt;Lahsen, Myanna&lt;/style&gt;&lt;/author&gt;&lt;author&gt;&lt;style face="normal" font="default" size="100%"&gt;Milkoreit, Manjana&lt;/style&gt;&lt;/author&gt;&lt;author&gt;&lt;style face="normal" font="default" size="100%"&gt;Martin López, Berta&lt;/style&gt;&lt;/author&gt;&lt;author&gt;&lt;style face="normal" font="default" size="100%"&gt;Nicholas, Kimberly A.&lt;/style&gt;&lt;/author&gt;&lt;author&gt;&lt;style face="normal" font="default" size="100%"&gt;Preiser, Rika&lt;/style&gt;&lt;/author&gt;&lt;author&gt;&lt;style face="normal" font="default" size="100%"&gt;Vince, Gaia&lt;/style&gt;&lt;/author&gt;&lt;author&gt;&lt;style face="normal" font="default" size="100%"&gt;Vervoort, Joost M.&lt;/style&gt;&lt;/author&gt;&lt;author&gt;&lt;style face="normal" font="default" size="100%"&gt;Xu, Jianchu&lt;/style&gt;&lt;/author&gt;&lt;/authors&gt;&lt;/contributors&gt;&lt;titles&gt;&lt;title&gt;&lt;style face="normal" font="default" size="100%"&gt;Bright spots: seeds of a good Anthropocene&lt;/style&gt;&lt;/title&gt;&lt;secondary-title&gt;&lt;style face="normal" font="default" size="100%"&gt;Frontiers in Ecology and the Environment&lt;/style&gt;&lt;/secondary-title&gt;&lt;/titles&gt;&lt;periodical&gt;&lt;full-title&gt;&lt;style face="normal" font="default" size="100%"&gt;Frontiers in Ecology and the Environment&lt;/style&gt;&lt;/full-title&gt;&lt;/periodical&gt;&lt;pages&gt;&lt;style face="normal" font="default" size="100%"&gt;441-448&lt;/style&gt;&lt;/pages&gt;&lt;volume&gt;&lt;style face="normal" font="default" size="100%"&gt;14&lt;/style&gt;&lt;/volume&gt;&lt;number&gt;&lt;style face="normal" font="default" size="100%"&gt;8&lt;/style&gt;&lt;/number&gt;&lt;dates&gt;&lt;year&gt;&lt;style face="normal" font="default" size="100%"&gt;2016&lt;/style&gt;&lt;/year&gt;&lt;pub-dates&gt;&lt;date&gt;&lt;style face="normal" font="default" size="100%"&gt;2016/10/01&lt;/style&gt;&lt;/date&gt;&lt;/pub-dates&gt;&lt;/dates&gt;&lt;publisher&gt;&lt;style face="normal" font="default" size="100%"&gt;John Wiley &amp;amp; Sons, Ltd&lt;/style&gt;&lt;/publisher&gt;&lt;isbn&gt;&lt;style face="normal" font="default" size="100%"&gt;1540-9295&lt;/style&gt;&lt;/isbn&gt;&lt;abstract&gt;&lt;style face="normal" font="default" size="100%"&gt;The scale, rate, and intensity of humans? environmental impact has engendered broad discussion about how to find plausible pathways of development that hold the most promise for fostering a better future in the Anthropocene. However, the dominance of dystopian visions of irreversible environmental degradation and societal collapse, along with overly optimistic utopias and business-as-usual scenarios that lack insight and innovation, frustrate progress. Here, we present a novel approach to thinking about the future that builds on experiences drawn from a diversity of practices, worldviews, values, and regions that could accelerate the adoption of pathways to transformative change (change that goes beyond incremental improvements). Using an analysis of 100 initiatives, or ?seeds of a good Anthropocene?, we find that emphasizing hopeful elements of existing practice offers the opportunity to: (1) understand the values and features that constitute a good Anthropocene, (2) determine the processes that lead to the emergence and growth of initiatives that fundamentally change human?environmental relationships, and (3) generate creative, bottom-up scenarios that feature well-articulated pathways toward a more positive future.&lt;/style&gt;&lt;/abstract&gt;&lt;urls&gt;&lt;related-urls&gt;&lt;url&gt;&lt;style face="normal" font="default" size="100%"&gt;https://doi.org/10.1002/fee.1309&lt;/style&gt;&lt;/url&gt;&lt;/related-urls&gt;&lt;/urls&gt;&lt;electronic-resource-num&gt;&lt;style face="normal" font="default" size="100%"&gt;10.1002/fee.1309&lt;/style&gt;&lt;/electronic-resource-num&gt;&lt;access-date&gt;&lt;style face="normal" font="default" size="100%"&gt;2019/05/03&lt;/style&gt;&lt;/access-date&gt;&lt;/record&gt;&lt;/Cite&gt;&lt;/EndNote&gt;</w:instrText>
      </w:r>
      <w:r>
        <w:rPr/>
        <w:fldChar w:fldCharType="separate" w:fldLock="0"/>
      </w:r>
      <w:r>
        <w:rPr>
          <w:rtl w:val="0"/>
        </w:rPr>
        <w:t>(Bennett et al., 2016)</w:t>
      </w:r>
      <w:r>
        <w:rPr/>
        <w:fldChar w:fldCharType="end" w:fldLock="0"/>
      </w:r>
      <w:r>
        <w:rPr>
          <w:rtl w:val="0"/>
          <w:lang w:val="en-US"/>
        </w:rPr>
        <w:t xml:space="preserve"> but data rapidly and openly archived for consumption, review, and reuse. This will enable new syntheses and opportunities to synthesize data associated with global change for many issues. D</w:t>
      </w:r>
      <w:r>
        <w:rPr>
          <w:rtl w:val="0"/>
          <w:lang w:val="en-US"/>
        </w:rPr>
        <w:t xml:space="preserve">irect </w:t>
      </w:r>
      <w:r>
        <w:rPr>
          <w:rtl w:val="0"/>
          <w:lang w:val="en-US"/>
        </w:rPr>
        <w:t xml:space="preserve">and proximate </w:t>
      </w:r>
      <w:r>
        <w:rPr>
          <w:rtl w:val="0"/>
          <w:lang w:val="en-US"/>
        </w:rPr>
        <w:t xml:space="preserve">benefits to the primary researcher are </w:t>
      </w:r>
      <w:r>
        <w:rPr>
          <w:rtl w:val="0"/>
          <w:lang w:val="en-US"/>
        </w:rPr>
        <w:t>proposed here,</w:t>
      </w:r>
      <w:r>
        <w:rPr>
          <w:rtl w:val="0"/>
          <w:lang w:val="en-US"/>
        </w:rPr>
        <w:t xml:space="preserve"> and </w:t>
      </w:r>
      <w:r>
        <w:rPr>
          <w:rtl w:val="0"/>
          <w:lang w:val="en-US"/>
        </w:rPr>
        <w:t xml:space="preserve">this simple change in timing (when reasonable and viable based on your research, lab, career needs) will shift the </w:t>
      </w:r>
      <w:r>
        <w:rPr>
          <w:rtl w:val="0"/>
          <w:lang w:val="es-ES_tradnl"/>
        </w:rPr>
        <w:t>cultur</w:t>
      </w:r>
      <w:r>
        <w:rPr>
          <w:rtl w:val="0"/>
          <w:lang w:val="en-US"/>
        </w:rPr>
        <w:t>e of</w:t>
      </w:r>
      <w:r>
        <w:rPr>
          <w:rtl w:val="0"/>
        </w:rPr>
        <w:t xml:space="preserve"> practice.</w:t>
      </w:r>
    </w:p>
    <w:p>
      <w:pPr>
        <w:pStyle w:val="Body"/>
        <w:spacing w:line="480" w:lineRule="auto"/>
      </w:pPr>
    </w:p>
    <w:p>
      <w:pPr>
        <w:pStyle w:val="Body"/>
        <w:spacing w:line="480" w:lineRule="auto"/>
        <w:rPr>
          <w:b w:val="1"/>
          <w:bCs w:val="1"/>
        </w:rPr>
      </w:pPr>
      <w:r>
        <w:rPr>
          <w:b w:val="1"/>
          <w:bCs w:val="1"/>
          <w:rtl w:val="0"/>
          <w:lang w:val="en-US"/>
        </w:rPr>
        <w:t>Benefits</w:t>
      </w:r>
    </w:p>
    <w:p>
      <w:pPr>
        <w:pStyle w:val="Body"/>
        <w:spacing w:line="480" w:lineRule="auto"/>
      </w:pPr>
      <w:r>
        <w:rPr>
          <w:rtl w:val="0"/>
          <w:lang w:val="en-US"/>
        </w:rPr>
        <w:t xml:space="preserve">Global and societal benefits aside (and these are not trivial as described above), publishing data when the experiment, synthesis, or primary scientific inquiry process is complete benefits the individual researcher and collaborators in at least ten critical and distinct ways (Table 1). There are two direct classes of benefits including (i) efficiency and data improvements (quality, access, integrity, provenance, etc) and (ii) team science with societal good implications </w:t>
      </w:r>
      <w:r>
        <w:rPr/>
        <w:fldChar w:fldCharType="begin" w:fldLock="0"/>
      </w:r>
      <w:r>
        <w:instrText xml:space="preserve"> ADDIN EN.CITE &lt;EndNote&gt;&lt;Cite  &gt;&lt;Author&gt;Gabrys, Jennifer; Pritchard, Helen; Barratt, Benjamin&lt;/Author&gt;&lt;Year&gt;2016&lt;/Year&gt;&lt;RecNum&gt;5003&lt;/RecNum&gt;&lt;Prefix&gt;&lt;/Prefix&gt;&lt;Suffix&gt;&lt;/Suffix&gt;&lt;Pages&gt;&lt;/Pages&gt;&lt;DisplayText&gt;(Gabrys et al., 2016)&lt;/DisplayText&gt;&lt;record&gt;&lt;database name="lit_2021.enl" path="/Volumes/zendata/tC/references/2021/lit_2021.enl"&gt;lit_2021.enl&lt;/database&gt;&lt;source-app name="EndNote" version="19.3"&gt;EndNote&lt;/source-app&gt;&lt;rec-number&gt;5003&lt;/rec-number&gt;&lt;foreign-keys&gt;&lt;key app="EN" db-id="zv9tw0t2n2xfdiet259x2tdh09prp29zrxsv"&gt;5003&lt;/key&gt;&lt;/foreign-keys&gt;&lt;ref-type name="Journal Article"&gt;17&lt;/ref-type&gt;&lt;contributors&gt;&lt;authors&gt;&lt;author&gt;&lt;style face="normal" font="default" size="100%"&gt;Gabrys, Jennifer&lt;/style&gt;&lt;/author&gt;&lt;author&gt;&lt;style face="normal" font="default" size="100%"&gt;Pritchard, Helen&lt;/style&gt;&lt;/author&gt;&lt;author&gt;&lt;style face="normal" font="default" size="100%"&gt;Barratt, Benjamin&lt;/style&gt;&lt;/author&gt;&lt;/authors&gt;&lt;/contributors&gt;&lt;titles&gt;&lt;title&gt;&lt;style face="normal" font="default" size="100%"&gt;Just good enough data: Figuring data citizenships through air pollution sensing and data stories&lt;/style&gt;&lt;/title&gt;&lt;secondary-title&gt;&lt;style face="normal" font="default" size="100%"&gt;Big Data &amp;amp; Society&lt;/style&gt;&lt;/secondary-title&gt;&lt;/titles&gt;&lt;periodical&gt;&lt;full-title&gt;&lt;style face="normal" font="default" size="100%"&gt;Big Data &amp;amp; Society&lt;/style&gt;&lt;/full-title&gt;&lt;/periodical&gt;&lt;pages&gt;&lt;style face="normal" font="default" size="100%"&gt;2053951716679677&lt;/style&gt;&lt;/pages&gt;&lt;volume&gt;&lt;style face="normal" font="default" size="100%"&gt;3&lt;/style&gt;&lt;/volume&gt;&lt;number&gt;&lt;style face="normal" font="default" size="100%"&gt;2&lt;/style&gt;&lt;/number&gt;&lt;dates&gt;&lt;year&gt;&lt;style face="normal" font="default" size="100%"&gt;2016&lt;/style&gt;&lt;/year&gt;&lt;pub-dates&gt;&lt;date&gt;&lt;style face="normal" font="default" size="100%"&gt;2016/12/01&lt;/style&gt;&lt;/date&gt;&lt;/pub-dates&gt;&lt;/dates&gt;&lt;publisher&gt;&lt;style face="normal" font="default" size="100%"&gt;SAGE Publications&lt;/style&gt;&lt;/publisher&gt;&lt;isbn&gt;&lt;style face="normal" font="default" size="100%"&gt;2053-9517&lt;/style&gt;&lt;/isbn&gt;&lt;abstract&gt;&lt;style face="normal" font="default" size="100%"&gt;Citizen sensing, or the use of low-cost and accessible digital technologies to monitor environments, has contributed to new types of environmental data and data practices. Through a discussion of participatory research into air pollution sensing with residents of northeastern Pennsylvania concerned about the effects of hydraulic fracturing, we examine how new technologies for generating environmental data also give rise to new problems for analysing and making sense of citizen-gathered data. After first outlining the citizen data practices we collaboratively developed with residents for monitoring air quality, we then describe the data stories that we created along with citizens as a method and technique for composing data. We further mobilise the concept of ?just good enough data? to discuss the ways in which citizen data gives rise to alternative ways of creating, valuing and interpreting datasets. We specifically consider how environmental data raises different concerns and possibilities in relation to Big Data, which can be distinct from security or social media studies. We then suggest ways in which citizen datasets could generate different practices and interpretive insights that go beyond the usual uses of environmental data for regulation, compliance and modelling to generate expanded data citizenships.&lt;/style&gt;&lt;/abstract&gt;&lt;urls&gt;&lt;related-urls&gt;&lt;url&gt;&lt;style face="normal" font="default" size="100%"&gt;http://dx.doi.org/10.1177/2053951716679677&lt;/style&gt;&lt;/url&gt;&lt;/related-urls&gt;&lt;/urls&gt;&lt;electronic-resource-num&gt;&lt;style face="normal" font="default" size="100%"&gt;10.1177/2053951716679677&lt;/style&gt;&lt;/electronic-resource-num&gt;&lt;access-date&gt;&lt;style face="normal" font="default" size="100%"&gt;2017/08/11&lt;/style&gt;&lt;/access-date&gt;&lt;/record&gt;&lt;/Cite&gt;&lt;/EndNote&gt;</w:instrText>
      </w:r>
      <w:r>
        <w:rPr/>
        <w:fldChar w:fldCharType="separate" w:fldLock="0"/>
      </w:r>
      <w:r>
        <w:rPr>
          <w:rtl w:val="0"/>
          <w:lang w:val="fr-FR"/>
        </w:rPr>
        <w:t>(Gabrys et al., 2016)</w:t>
      </w:r>
      <w:r>
        <w:rPr/>
        <w:fldChar w:fldCharType="end" w:fldLock="0"/>
      </w:r>
      <w:r>
        <w:rPr>
          <w:rtl w:val="0"/>
          <w:lang w:val="en-US"/>
        </w:rPr>
        <w:t xml:space="preserve">. The concept of efficiency assumes analyses, visualization, writing and peer-review need seamless and likely repeat access to the data and meta-data as we work. Workflows can be simple or complex, but it is reasonable to propose that we must access and read (re-read) our data reproducibly to explore ideas - even as an individual researcher or team with our own datasets </w:t>
      </w:r>
      <w:r>
        <w:rPr/>
        <w:fldChar w:fldCharType="begin" w:fldLock="0"/>
      </w:r>
      <w:r>
        <w:instrText xml:space="preserve"> ADDIN EN.CITE &lt;EndNote&gt;&lt;Cite  &gt;&lt;Author&gt;Wilson, Greg; Bryan, Jennifer; Cranston, Karen; Kitzes, Justin; Nederbragt, Lex; Teal, Tracy K.&lt;/Author&gt;&lt;Year&gt;2017&lt;/Year&gt;&lt;RecNum&gt;5002&lt;/RecNum&gt;&lt;Prefix&gt;&lt;/Prefix&gt;&lt;Suffix&gt;&lt;/Suffix&gt;&lt;Pages&gt;&lt;/Pages&gt;&lt;DisplayText&gt;(Wilson et al., 2017)&lt;/DisplayText&gt;&lt;record&gt;&lt;database name="lit_2021.enl" path="/Volumes/zendata/tC/references/2021/lit_2021.enl"&gt;lit_2021.enl&lt;/database&gt;&lt;source-app name="EndNote" version="19.3"&gt;EndNote&lt;/source-app&gt;&lt;rec-number&gt;5002&lt;/rec-number&gt;&lt;foreign-keys&gt;&lt;key app="EN" db-id="zv9tw0t2n2xfdiet259x2tdh09prp29zrxsv"&gt;5002&lt;/key&gt;&lt;/foreign-keys&gt;&lt;ref-type name="Journal Article"&gt;17&lt;/ref-type&gt;&lt;contributors&gt;&lt;authors&gt;&lt;author&gt;&lt;style face="normal" font="default" size="100%"&gt;Wilson, Greg&lt;/style&gt;&lt;/author&gt;&lt;author&gt;&lt;style face="normal" font="default" size="100%"&gt;Bryan, Jennifer&lt;/style&gt;&lt;/author&gt;&lt;author&gt;&lt;style face="normal" font="default" size="100%"&gt;Cranston, Karen&lt;/style&gt;&lt;/author&gt;&lt;author&gt;&lt;style face="normal" font="default" size="100%"&gt;Kitzes, Justin&lt;/style&gt;&lt;/author&gt;&lt;author&gt;&lt;style face="normal" font="default" size="100%"&gt;Nederbragt, Lex&lt;/style&gt;&lt;/author&gt;&lt;author&gt;&lt;style face="normal" font="default" size="100%"&gt;Teal, Tracy K.&lt;/style&gt;&lt;/author&gt;&lt;/authors&gt;&lt;/contributors&gt;&lt;titles&gt;&lt;title&gt;&lt;style face="normal" font="default" size="100%"&gt;Good enough practices in scientific computing&lt;/style&gt;&lt;/title&gt;&lt;secondary-title&gt;&lt;style face="normal" font="default" size="100%"&gt;PLOS Computational Biology&lt;/style&gt;&lt;/secondary-title&gt;&lt;/titles&gt;&lt;periodical&gt;&lt;full-title&gt;&lt;style face="normal" font="default" size="100%"&gt;PLOS Computational Biology&lt;/style&gt;&lt;/full-title&gt;&lt;/periodical&gt;&lt;pages&gt;&lt;style face="normal" font="default" size="100%"&gt;e1005510&lt;/style&gt;&lt;/pages&gt;&lt;volume&gt;&lt;style face="normal" font="default" size="100%"&gt;13&lt;/style&gt;&lt;/volume&gt;&lt;number&gt;&lt;style face="normal" font="default" size="100%"&gt;6&lt;/style&gt;&lt;/number&gt;&lt;dates&gt;&lt;year&gt;&lt;style face="normal" font="default" size="100%"&gt;2017&lt;/style&gt;&lt;/year&gt;&lt;/dates&gt;&lt;publisher&gt;&lt;style face="normal" font="default" size="100%"&gt;Public Library of Science&lt;/style&gt;&lt;/publisher&gt;&lt;abstract&gt;&lt;style face="normal" font="default" size="100%"&gt;Author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2010.&lt;/style&gt;&lt;/abstract&gt;&lt;urls&gt;&lt;related-urls&gt;&lt;url&gt;&lt;style face="normal" font="default" size="100%"&gt;https://doi.org/10.1371/journal.pcbi.1005510&lt;/style&gt;&lt;/url&gt;&lt;/related-urls&gt;&lt;/urls&gt;&lt;electronic-resource-num&gt;&lt;style face="normal" font="default" size="100%"&gt;10.1371/journal.pcbi.1005510&lt;/style&gt;&lt;/electronic-resource-num&gt;&lt;/record&gt;&lt;/Cite&gt;&lt;/EndNote&gt;</w:instrText>
      </w:r>
      <w:r>
        <w:rPr/>
        <w:fldChar w:fldCharType="separate" w:fldLock="0"/>
      </w:r>
      <w:r>
        <w:rPr>
          <w:rtl w:val="0"/>
        </w:rPr>
        <w:t>(Wilson et al., 2017)</w:t>
      </w:r>
      <w:r>
        <w:rPr/>
        <w:fldChar w:fldCharType="end" w:fldLock="0"/>
      </w:r>
      <w:r>
        <w:rPr>
          <w:rtl w:val="0"/>
          <w:lang w:val="en-US"/>
        </w:rPr>
        <w:t xml:space="preserve">. Data improvements is a more general concept predicated upon the assumption that data should be preserved in their most truthful form and then cleaned, tidied, and explored through computational tools such as R programming language </w:t>
      </w:r>
      <w:r>
        <w:rPr/>
        <w:fldChar w:fldCharType="begin" w:fldLock="0"/>
      </w:r>
      <w:r>
        <w:instrText xml:space="preserve"> ADDIN EN.CITE &lt;EndNote&gt;&lt;Cite  &gt;&lt;Author&gt;Wickham, H.&lt;/Author&gt;&lt;Year&gt;2014&lt;/Year&gt;&lt;RecNum&gt;4416&lt;/RecNum&gt;&lt;Prefix&gt;&lt;/Prefix&gt;&lt;Suffix&gt;&lt;/Suffix&gt;&lt;Pages&gt;&lt;/Pages&gt;&lt;DisplayText&gt;(Grolemund &amp; Wickham, 2016; Wickham, 2014)&lt;/DisplayText&gt;&lt;record&gt;&lt;database name="lit_2021.enl" path="/Volumes/zendata/tC/references/2021/lit_2021.enl"&gt;lit_2021.enl&lt;/database&gt;&lt;source-app name="EndNote" version="19.3"&gt;EndNote&lt;/source-app&gt;&lt;rec-number&gt;4416&lt;/rec-number&gt;&lt;foreign-keys&gt;&lt;key app="EN" db-id="zv9tw0t2n2xfdiet259x2tdh09prp29zrxsv"&gt;4416&lt;/key&gt;&lt;/foreign-keys&gt;&lt;ref-type name="Journal Article"&gt;17&lt;/ref-type&gt;&lt;contributors&gt;&lt;authors&gt;&lt;author&gt;&lt;style face="normal" font="default" size="100%"&gt;Wickham, H.&lt;/style&gt;&lt;/author&gt;&lt;/authors&gt;&lt;/contributors&gt;&lt;titles&gt;&lt;title&gt;&lt;style face="normal" font="default" size="100%"&gt;Tidy Data&lt;/style&gt;&lt;/title&gt;&lt;secondary-title&gt;&lt;style face="normal" font="default" size="100%"&gt;Journal of Statistical Software&lt;/style&gt;&lt;/secondary-title&gt;&lt;/titles&gt;&lt;periodical&gt;&lt;full-title&gt;&lt;style face="normal" font="default" size="100%"&gt;Journal of Statistical Software&lt;/style&gt;&lt;/full-title&gt;&lt;/periodical&gt;&lt;pages&gt;&lt;style face="normal" font="default" size="100%"&gt;1-23&lt;/style&gt;&lt;/pages&gt;&lt;volume&gt;&lt;style face="normal" font="default" size="100%"&gt;59&lt;/style&gt;&lt;/volume&gt;&lt;dates&gt;&lt;year&gt;&lt;style face="normal" font="default" size="100%"&gt;2014&lt;/style&gt;&lt;/year&gt;&lt;/dates&gt;&lt;abstract&gt;&lt;style face="normal" font="default" size="100%"&gt;A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chores.&lt;/style&gt;&lt;/abstract&gt;&lt;urls&gt;&lt;/urls&gt;&lt;/record&gt;&lt;/Cite&gt;&lt;Cite  &gt;&lt;Author&gt;Grolemund, G.; Wickham, H.&lt;/Author&gt;&lt;Year&gt;2016&lt;/Year&gt;&lt;RecNum&gt;4369&lt;/RecNum&gt;&lt;Prefix&gt;&lt;/Prefix&gt;&lt;Suffix&gt;&lt;/Suffix&gt;&lt;Pages&gt;&lt;/Pages&gt;&lt;record&gt;&lt;database name="lit_2021.enl" path="/Volumes/zendata/tC/references/2021/lit_2021.enl"&gt;lit_2021.enl&lt;/database&gt;&lt;source-app name="EndNote" version="19.3"&gt;EndNote&lt;/source-app&gt;&lt;rec-number&gt;4369&lt;/rec-number&gt;&lt;foreign-keys&gt;&lt;key app="EN" db-id="zv9tw0t2n2xfdiet259x2tdh09prp29zrxsv"&gt;4369&lt;/key&gt;&lt;/foreign-keys&gt;&lt;ref-type name="Book"&gt;6&lt;/ref-type&gt;&lt;contributors&gt;&lt;authors&gt;&lt;author&gt;&lt;style face="normal" font="default" size="100%"&gt;Grolemund, G.&lt;/style&gt;&lt;/author&gt;&lt;author&gt;&lt;style face="normal" font="default" size="100%"&gt;Wickham, H.&lt;/style&gt;&lt;/author&gt;&lt;/authors&gt;&lt;/contributors&gt;&lt;titles&gt;&lt;title&gt;&lt;style face="normal" font="default" size="100%"&gt;R for Data Science&lt;/style&gt;&lt;/title&gt;&lt;/titles&gt;&lt;pages&gt;&lt;style face="normal" font="default" size="100%"&gt;522&lt;/style&gt;&lt;/pages&gt;&lt;dates&gt;&lt;year&gt;&lt;style face="normal" font="default" size="100%"&gt;2016&lt;/style&gt;&lt;/year&gt;&lt;/dates&gt;&lt;pub-location&gt;&lt;style face="normal" font="default" size="100%"&gt;Canada&lt;/style&gt;&lt;/pub-location&gt;&lt;publisher&gt;&lt;style face="normal" font="default" size="100%"&gt;O'Reilly Media&lt;/style&gt;&lt;/publisher&gt;&lt;isbn&gt;&lt;style face="normal" font="default" size="100%"&gt;978-1491910399&lt;/style&gt;&lt;/isbn&gt;&lt;urls&gt;&lt;/urls&gt;&lt;/record&gt;&lt;/Cite&gt;&lt;/EndNote&gt;</w:instrText>
      </w:r>
      <w:r>
        <w:rPr/>
        <w:fldChar w:fldCharType="separate" w:fldLock="0"/>
      </w:r>
      <w:r>
        <w:rPr>
          <w:rtl w:val="0"/>
          <w:lang w:val="da-DK"/>
        </w:rPr>
        <w:t>(Grolemund &amp; Wickham, 2016; Wickham, 2014)</w:t>
      </w:r>
      <w:r>
        <w:rPr/>
        <w:fldChar w:fldCharType="end" w:fldLock="0"/>
      </w:r>
      <w:r>
        <w:rPr>
          <w:rtl w:val="0"/>
          <w:lang w:val="en-US"/>
        </w:rPr>
        <w:t xml:space="preserve">. Ecoinformatic thinking is a component of most ecology and evolution, and it is not coupled to the size or complexity of a dataset or team </w:t>
      </w:r>
      <w:r>
        <w:rPr/>
        <w:fldChar w:fldCharType="begin" w:fldLock="0"/>
      </w:r>
      <w:r>
        <w:instrText xml:space="preserve"> ADDIN EN.CITE &lt;EndNote&gt;&lt;Cite  &gt;&lt;Author&gt;Michener, William K.; Jones, Matthew B.&lt;/Author&gt;&lt;Year&gt;2012&lt;/Year&gt;&lt;RecNum&gt;7145&lt;/RecNum&gt;&lt;Prefix&gt;&lt;/Prefix&gt;&lt;Suffix&gt;&lt;/Suffix&gt;&lt;Pages&gt;&lt;/Pages&gt;&lt;DisplayText&gt;(Michener &amp; Jones, 2012)&lt;/DisplayText&gt;&lt;record&gt;&lt;database name="lit_2021.enl" path="/Volumes/zendata/tC/references/2021/lit_2021.enl"&gt;lit_2021.enl&lt;/database&gt;&lt;source-app name="EndNote" version="19.3"&gt;EndNote&lt;/source-app&gt;&lt;rec-number&gt;7145&lt;/rec-number&gt;&lt;foreign-keys&gt;&lt;key app="EN" db-id="zv9tw0t2n2xfdiet259x2tdh09prp29zrxsv"&gt;7145&lt;/key&gt;&lt;/foreign-keys&gt;&lt;ref-type name="Journal Article"&gt;17&lt;/ref-type&gt;&lt;contributors&gt;&lt;authors&gt;&lt;author&gt;&lt;style face="normal" font="default" size="100%"&gt;Michener, William K.&lt;/style&gt;&lt;/author&gt;&lt;author&gt;&lt;style face="normal" font="default" size="100%"&gt;Jones, Matthew B.&lt;/style&gt;&lt;/author&gt;&lt;/authors&gt;&lt;/contributors&gt;&lt;titles&gt;&lt;title&gt;&lt;style face="normal" font="default" size="100%"&gt;Ecoinformatics: supporting ecology as a data-intensive science&lt;/style&gt;&lt;/title&gt;&lt;secondary-title&gt;&lt;style face="normal" font="default" size="100%"&gt;Trends in Ecology &amp;amp; Evolution&lt;/style&gt;&lt;/secondary-title&gt;&lt;/titles&gt;&lt;periodical&gt;&lt;full-title&gt;&lt;style face="normal" font="default" size="100%"&gt;Trends in Ecology &amp;amp; Evolution&lt;/style&gt;&lt;/full-title&gt;&lt;/periodical&gt;&lt;pages&gt;&lt;style face="normal" font="default" size="100%"&gt;85-93&lt;/style&gt;&lt;/pages&gt;&lt;volume&gt;&lt;style face="normal" font="default" size="100%"&gt;27&lt;/style&gt;&lt;/volume&gt;&lt;number&gt;&lt;style face="normal" font="default" size="100%"&gt;2&lt;/style&gt;&lt;/number&gt;&lt;dates&gt;&lt;year&gt;&lt;style face="normal" font="default" size="100%"&gt;2012&lt;/style&gt;&lt;/year&gt;&lt;pub-dates&gt;&lt;date&gt;&lt;style face="normal" font="default" size="100%"&gt;2012/02/01/&lt;/style&gt;&lt;/date&gt;&lt;/pub-dates&gt;&lt;/dates&gt;&lt;isbn&gt;&lt;style face="normal" font="default" size="100%"&gt;0169-5347&lt;/style&gt;&lt;/isbn&gt;&lt;abstract&gt;&lt;style face="normal" font="default" size="100%"&gt;Ecology is evolving rapidly and increasingly changing into a more open, accountable, interdisciplinary, collaborative and data-intensive science. Discovering, integrating and analyzing massive amounts of heterogeneous data are central to ecology as researchers address complex questions at scales from the gene to the biosphere. Ecoinformatics offers tools and approaches for managing ecological data and transforming the data into information and knowledge. Here, we review the state-of-the-art and recent advances in ecoinformatics that can benefit ecologists and environmental scientists as they tackle increasingly challenging questions that require voluminous amounts of data across disciplines and scales of space and time. We also highlight the challenges and opportunities that remain.&lt;/style&gt;&lt;/abstract&gt;&lt;urls&gt;&lt;related-urls&gt;&lt;url&gt;&lt;style face="normal" font="default" size="100%"&gt;https://www.sciencedirect.com/science/article/pii/S0169534711003399&lt;/style&gt;&lt;/url&gt;&lt;/related-urls&gt;&lt;/urls&gt;&lt;electronic-resource-num&gt;&lt;style face="normal" font="default" size="100%"&gt;https://doi.org/10.1016/j.tree.2011.11.016&lt;/style&gt;&lt;/electronic-resource-num&gt;&lt;/record&gt;&lt;/Cite&gt;&lt;/EndNote&gt;</w:instrText>
      </w:r>
      <w:r>
        <w:rPr/>
        <w:fldChar w:fldCharType="separate" w:fldLock="0"/>
      </w:r>
      <w:r>
        <w:rPr>
          <w:rtl w:val="0"/>
          <w:lang w:val="de-DE"/>
        </w:rPr>
        <w:t>(Michener &amp; Jones, 2012)</w:t>
      </w:r>
      <w:r>
        <w:rPr/>
        <w:fldChar w:fldCharType="end" w:fldLock="0"/>
      </w:r>
      <w:r>
        <w:rPr>
          <w:rtl w:val="0"/>
          <w:lang w:val="en-US"/>
        </w:rPr>
        <w:t xml:space="preserve">. Team science and societal benefits are the positive outcomes associated with supporting transparency in all the steps of our work including </w:t>
      </w:r>
      <w:r>
        <w:rPr>
          <w:rtl w:val="0"/>
          <w:lang w:val="en-US"/>
        </w:rPr>
        <w:t>‘</w:t>
      </w:r>
      <w:r>
        <w:rPr>
          <w:rtl w:val="0"/>
          <w:lang w:val="en-US"/>
        </w:rPr>
        <w:t>works-in-progress</w:t>
      </w:r>
      <w:r>
        <w:rPr>
          <w:rtl w:val="0"/>
          <w:lang w:val="en-US"/>
        </w:rPr>
        <w:t xml:space="preserve">’ </w:t>
      </w:r>
      <w:r>
        <w:rPr>
          <w:rtl w:val="0"/>
          <w:lang w:val="en-US"/>
        </w:rPr>
        <w:t xml:space="preserve">to highlight the relative importance of process versus singular product thinking for many disciplines including ecology and evolution. Sharing work sooner supports a new more inclusive culture. Full stop. Sooner enables deeper opportunities for connection with others at multiple steps in addition to review of papers </w:t>
      </w:r>
      <w:r>
        <w:rPr/>
        <w:fldChar w:fldCharType="begin" w:fldLock="0"/>
      </w:r>
      <w:r>
        <w:instrText xml:space="preserve"> ADDIN EN.CITE &lt;EndNote&gt;&lt;Cite  &gt;&lt;Author&gt;Glynn, Pierre D.; Voinov, Alexey A.; Shapiro, Carl D.; White, Paul A.&lt;/Author&gt;&lt;Year&gt;2017&lt;/Year&gt;&lt;RecNum&gt;6358&lt;/RecNum&gt;&lt;Prefix&gt;&lt;/Prefix&gt;&lt;Suffix&gt;&lt;/Suffix&gt;&lt;Pages&gt;&lt;/Pages&gt;&lt;DisplayText&gt;(Glynn et al., 2017)&lt;/DisplayText&gt;&lt;record&gt;&lt;database name="lit_2021.enl" path="/Volumes/zendata/tC/references/2021/lit_2021.enl"&gt;lit_2021.enl&lt;/database&gt;&lt;source-app name="EndNote" version="19.3"&gt;EndNote&lt;/source-app&gt;&lt;rec-number&gt;6358&lt;/rec-number&gt;&lt;foreign-keys&gt;&lt;key app="EN" db-id="zv9tw0t2n2xfdiet259x2tdh09prp29zrxsv"&gt;6358&lt;/key&gt;&lt;/foreign-keys&gt;&lt;ref-type name="Journal Article"&gt;17&lt;/ref-type&gt;&lt;contributors&gt;&lt;authors&gt;&lt;author&gt;&lt;style face="normal" font="default" size="100%"&gt;Glynn, Pierre D.&lt;/style&gt;&lt;/author&gt;&lt;author&gt;&lt;style face="normal" font="default" size="100%"&gt;Voinov, Alexey A.&lt;/style&gt;&lt;/author&gt;&lt;author&gt;&lt;style face="normal" font="default" size="100%"&gt;Shapiro, Carl D.&lt;/style&gt;&lt;/author&gt;&lt;author&gt;&lt;style face="normal" font="default" size="100%"&gt;White, Paul A.&lt;/style&gt;&lt;/author&gt;&lt;/authors&gt;&lt;/contributors&gt;&lt;titles&gt;&lt;title&gt;&lt;style face="normal" font="default" size="100%"&gt;From data to decisions: Processing information, biases, and beliefs for improved management of natural resources and environments&lt;/style&gt;&lt;/title&gt;&lt;secondary-title&gt;&lt;style face="normal" font="default" size="100%"&gt;Earth's Future&lt;/style&gt;&lt;/secondary-title&gt;&lt;/titles&gt;&lt;periodical&gt;&lt;full-title&gt;&lt;style face="normal" font="default" size="100%"&gt;Earth's Future&lt;/style&gt;&lt;/full-title&gt;&lt;/periodical&gt;&lt;pages&gt;&lt;style face="normal" font="default" size="100%"&gt;356-378&lt;/style&gt;&lt;/pages&gt;&lt;volume&gt;&lt;style face="normal" font="default" size="100%"&gt;5&lt;/style&gt;&lt;/volume&gt;&lt;number&gt;&lt;style face="normal" font="default" size="100%"&gt;4&lt;/style&gt;&lt;/number&gt;&lt;keywords&gt;&lt;keyword&gt;&lt;style face="normal" font="default" size="100%"&gt;Biases&lt;/style&gt;&lt;/keyword&gt;&lt;keyword&gt;&lt;style face="normal" font="default" size="100%"&gt;Heuristics&lt;/style&gt;&lt;/keyword&gt;&lt;keyword&gt;&lt;style face="normal" font="default" size="100%"&gt;adaptive management&lt;/style&gt;&lt;/keyword&gt;&lt;keyword&gt;&lt;style face="normal" font="default" size="100%"&gt;post-normal science&lt;/style&gt;&lt;/keyword&gt;&lt;keyword&gt;&lt;style face="normal" font="default" size="100%"&gt;beliefs&lt;/style&gt;&lt;/keyword&gt;&lt;keyword&gt;&lt;style face="normal" font="default" size="100%"&gt;natural resources&lt;/style&gt;&lt;/keyword&gt;&lt;/keywords&gt;&lt;dates&gt;&lt;year&gt;&lt;style face="normal" font="default" size="100%"&gt;2017&lt;/style&gt;&lt;/year&gt;&lt;pub-dates&gt;&lt;date&gt;&lt;style face="normal" font="default" size="100%"&gt;2017/04/01&lt;/style&gt;&lt;/date&gt;&lt;/pub-dates&gt;&lt;/dates&gt;&lt;publisher&gt;&lt;style face="normal" font="default" size="100%"&gt;John Wiley &amp;amp; Sons, Ltd&lt;/style&gt;&lt;/publisher&gt;&lt;isbn&gt;&lt;style face="normal" font="default" size="100%"&gt;2328-4277&lt;/style&gt;&lt;/isbn&gt;&lt;abstract&gt;&lt;style face="normal" font="default" size="100%"&gt;Our different kinds of minds and types of thinking affect the ways we decide, take action, and cooperate (or not). Derived from these types of minds, innate biases, beliefs, heuristics, and values (BBHV) influence behaviors, often beneficially, when individuals or small groups face immediate, local, acute situations that they and their ancestors faced repeatedly in the past. BBHV, though, need to be recognized and possibly countered or used when facing new, complex issues or situations especially if they need to be managed for the benefit of a wider community, for the longer-term and the larger-scale. Taking BBHV into account, we explain and provide a cyclic science-infused adaptive framework for (1) gaining knowledge of complex systems and (2) improving their management. We explore how this process and framework could improve the governance of science and policy for different types of systems and issues, providing examples in the area of natural resources, hazards, and the environment. Lastly, we suggest that an ?Open Traceable Accountable Policy? initiative that followed our suggested adaptive framework could beneficially complement recent Open Data/Model science initiatives. Plain Language Summary Our review paper suggests that society can improve the management of natural resources and environments by (1) recognizing the sources of human decisions and thinking and understanding their role in the scientific progression to knowledge; (2) considering innate human needs and biases, beliefs, heuristics, and values that may need to be countered or embraced; and (3) creating science and policy governance that is inclusive, integrated, considerate of diversity, explicit, and accountable. The paper presents a science-infused adaptive framework for such governance, and discusses the types of issues and systems that it would be best suited to address.&lt;/style&gt;&lt;/abstract&gt;&lt;urls&gt;&lt;related-urls&gt;&lt;url&gt;&lt;style face="normal" font="default" size="100%"&gt;https://doi.org/10.1002/2016EF000487&lt;/style&gt;&lt;/url&gt;&lt;/related-urls&gt;&lt;/urls&gt;&lt;electronic-resource-num&gt;&lt;style face="normal" font="default" size="100%"&gt;10.1002/2016EF000487&lt;/style&gt;&lt;/electronic-resource-num&gt;&lt;access-date&gt;&lt;style face="normal" font="default" size="100%"&gt;2019/10/15&lt;/style&gt;&lt;/access-date&gt;&lt;/record&gt;&lt;/Cite&gt;&lt;/EndNote&gt;</w:instrText>
      </w:r>
      <w:r>
        <w:rPr/>
        <w:fldChar w:fldCharType="separate" w:fldLock="0"/>
      </w:r>
      <w:r>
        <w:rPr>
          <w:rtl w:val="0"/>
        </w:rPr>
        <w:t>(Glynn et al., 2017)</w:t>
      </w:r>
      <w:r>
        <w:rPr/>
        <w:fldChar w:fldCharType="end" w:fldLock="0"/>
      </w:r>
      <w:r>
        <w:rPr>
          <w:rtl w:val="0"/>
          <w:lang w:val="en-US"/>
        </w:rPr>
        <w:t xml:space="preserve">. This bigger picture thinking is similar to the concept of registered reports </w:t>
      </w:r>
      <w:r>
        <w:rPr/>
        <w:fldChar w:fldCharType="begin" w:fldLock="0"/>
      </w:r>
      <w:r>
        <w:instrText xml:space="preserve"> ADDIN EN.CITE &lt;EndNote&gt;&lt;Cite  &gt;&lt;Author&gt;Nosek, B. A.; Lakens, D.&lt;/Author&gt;&lt;Year&gt;2014&lt;/Year&gt;&lt;RecNum&gt;5060&lt;/RecNum&gt;&lt;Prefix&gt;&lt;/Prefix&gt;&lt;Suffix&gt;&lt;/Suffix&gt;&lt;Pages&gt;&lt;/Pages&gt;&lt;DisplayText&gt;(Nosek &amp; Lakens, 2014)&lt;/DisplayText&gt;&lt;record&gt;&lt;database name="lit_2021.enl" path="/Volumes/zendata/tC/references/2021/lit_2021.enl"&gt;lit_2021.enl&lt;/database&gt;&lt;source-app name="EndNote" version="19.3"&gt;EndNote&lt;/source-app&gt;&lt;rec-number&gt;5060&lt;/rec-number&gt;&lt;foreign-keys&gt;&lt;key app="EN" db-id="zv9tw0t2n2xfdiet259x2tdh09prp29zrxsv"&gt;5060&lt;/key&gt;&lt;/foreign-keys&gt;&lt;ref-type name="Journal Article"&gt;17&lt;/ref-type&gt;&lt;contributors&gt;&lt;authors&gt;&lt;author&gt;&lt;style face="normal" font="default" size="100%"&gt;Nosek, B. A.&lt;/style&gt;&lt;/author&gt;&lt;author&gt;&lt;style face="normal" font="default" size="100%"&gt;Lakens, D.&lt;/style&gt;&lt;/author&gt;&lt;/authors&gt;&lt;/contributors&gt;&lt;titles&gt;&lt;title&gt;&lt;style face="normal" font="default" size="100%"&gt;Registered reports a method to increase the credibility of published results&lt;/style&gt;&lt;/title&gt;&lt;secondary-title&gt;&lt;style face="normal" font="default" size="100%"&gt;Soc Psychol Ger&lt;/style&gt;&lt;/secondary-title&gt;&lt;/titles&gt;&lt;periodical&gt;&lt;full-title&gt;&lt;style face="normal" font="default" size="100%"&gt;Soc Psychol Ger&lt;/style&gt;&lt;/full-title&gt;&lt;/periodical&gt;&lt;volume&gt;&lt;style face="normal" font="default" size="100%"&gt;45&lt;/style&gt;&lt;/volume&gt;&lt;dates&gt;&lt;year&gt;&lt;style face="normal" font="default" size="100%"&gt;2014&lt;/style&gt;&lt;/year&gt;&lt;pub-dates&gt;&lt;date&gt;&lt;style face="normal" font="default" size="100%"&gt;2014//&lt;/style&gt;&lt;/date&gt;&lt;/pub-dates&gt;&lt;/dates&gt;&lt;urls&gt;&lt;related-urls&gt;&lt;url&gt;&lt;style face="normal" font="default" size="100%"&gt;https://doi.org/10.1027/1864-9335/a000192&lt;/style&gt;&lt;/url&gt;&lt;/related-urls&gt;&lt;/urls&gt;&lt;electronic-resource-num&gt;&lt;style face="normal" font="default" size="100%"&gt;10.1027/1864-9335/a000192&lt;/style&gt;&lt;/electronic-resource-num&gt;&lt;/record&gt;&lt;/Cite&gt;&lt;/EndNote&gt;</w:instrText>
      </w:r>
      <w:r>
        <w:rPr/>
        <w:fldChar w:fldCharType="separate" w:fldLock="0"/>
      </w:r>
      <w:r>
        <w:rPr>
          <w:rtl w:val="0"/>
        </w:rPr>
        <w:t>(Nosek &amp; Lakens, 2014)</w:t>
      </w:r>
      <w:r>
        <w:rPr/>
        <w:fldChar w:fldCharType="end" w:fldLock="0"/>
      </w:r>
      <w:r>
        <w:rPr>
          <w:rtl w:val="0"/>
          <w:lang w:val="en-US"/>
        </w:rPr>
        <w:t xml:space="preserve"> and other tools that we can use to signal intent and share ideas even if we are not at the final stage of writing (if that is one of the goals of a project but there can be others). Both categories of benefits thus directly improve the research process for individuals, but the scale of benefits and implications vary by the specific benefit. </w:t>
      </w:r>
    </w:p>
    <w:p>
      <w:pPr>
        <w:pStyle w:val="Body"/>
        <w:spacing w:line="480" w:lineRule="auto"/>
      </w:pPr>
    </w:p>
    <w:p>
      <w:pPr>
        <w:pStyle w:val="Body"/>
        <w:spacing w:line="480" w:lineRule="auto"/>
      </w:pPr>
      <w:r>
        <w:rPr>
          <w:rtl w:val="0"/>
          <w:lang w:val="en-US"/>
        </w:rPr>
        <w:t xml:space="preserve">The first seven proposed benefits all stem from the anchor that data archived online, accessed remotely, and reasonably well formatted with meta-data catalyze positive opportunities for individuals and teams to both avoid errors and adopt better data management and open science practices (Table 1). Publishing sooner increases the likelihood that data will more presentable, more readable, and better tracked. This is a corollary of the Hawthorne Effect from the social sciences that proposes positive outcomes emerge from interventions including observation or participation effects </w:t>
      </w:r>
      <w:r>
        <w:rPr/>
        <w:fldChar w:fldCharType="begin" w:fldLock="0"/>
      </w:r>
      <w:r>
        <w:instrText xml:space="preserve"> ADDIN EN.CITE &lt;EndNote&gt;&lt;Cite  &gt;&lt;Author&gt;Mayo, Elton&lt;/Author&gt;&lt;Year&gt;1949&lt;/Year&gt;&lt;RecNum&gt;1457&lt;/RecNum&gt;&lt;Prefix&gt;&lt;/Prefix&gt;&lt;Suffix&gt;&lt;/Suffix&gt;&lt;Pages&gt;&lt;/Pages&gt;&lt;DisplayText&gt;(Mayo, 1949; McCambridge et al., 2014)&lt;/DisplayText&gt;&lt;record&gt;&lt;database name="lit_2021.enl" path="/Volumes/zendata/tC/references/2021/lit_2021.enl"&gt;lit_2021.enl&lt;/database&gt;&lt;source-app name="EndNote" version="19.3"&gt;EndNote&lt;/source-app&gt;&lt;rec-number&gt;1457&lt;/rec-number&gt;&lt;foreign-keys&gt;&lt;key app="EN" db-id="zv9tw0t2n2xfdiet259x2tdh09prp29zrxsv"&gt;1457&lt;/key&gt;&lt;/foreign-keys&gt;&lt;ref-type name="Book"&gt;6&lt;/ref-type&gt;&lt;contributors&gt;&lt;authors&gt;&lt;author&gt;&lt;style face="normal" font="default" size="100%"&gt;Mayo, Elton&lt;/style&gt;&lt;/author&gt;&lt;/authors&gt;&lt;/contributors&gt;&lt;titles&gt;&lt;title&gt;&lt;style face="normal" font="default" size="100%"&gt;Hawthorne and the Western Electric Company. The Social Problems of an Industrial Civilisation.&lt;/style&gt;&lt;/title&gt;&lt;/titles&gt;&lt;keywords&gt;&lt;keyword&gt;&lt;style face="normal" font="default" size="100%"&gt;interactions&lt;/style&gt;&lt;/keyword&gt;&lt;/keywords&gt;&lt;dates&gt;&lt;year&gt;&lt;style face="normal" font="default" size="100%"&gt;1949&lt;/style&gt;&lt;/year&gt;&lt;/dates&gt;&lt;publisher&gt;&lt;style face="normal" font="default" size="100%"&gt;Routledge&lt;/style&gt;&lt;/publisher&gt;&lt;urls&gt;&lt;/urls&gt;&lt;/record&gt;&lt;/Cite&gt;&lt;Cite  &gt;&lt;Author&gt;McCambridge, Jim; Witton, John; Elbourne, Diana R.&lt;/Author&gt;&lt;Year&gt;2014&lt;/Year&gt;&lt;RecNum&gt;7141&lt;/RecNum&gt;&lt;Prefix&gt;&lt;/Prefix&gt;&lt;Suffix&gt;&lt;/Suffix&gt;&lt;Pages&gt;&lt;/Pages&gt;&lt;record&gt;&lt;database name="lit_2021.enl" path="/Volumes/zendata/tC/references/2021/lit_2021.enl"&gt;lit_2021.enl&lt;/database&gt;&lt;source-app name="EndNote" version="19.3"&gt;EndNote&lt;/source-app&gt;&lt;rec-number&gt;7141&lt;/rec-number&gt;&lt;foreign-keys&gt;&lt;key app="EN" db-id="zv9tw0t2n2xfdiet259x2tdh09prp29zrxsv"&gt;7141&lt;/key&gt;&lt;/foreign-keys&gt;&lt;ref-type name="Journal Article"&gt;17&lt;/ref-type&gt;&lt;contributors&gt;&lt;authors&gt;&lt;author&gt;&lt;style face="normal" font="default" size="100%"&gt;McCambridge, Jim&lt;/style&gt;&lt;/author&gt;&lt;author&gt;&lt;style face="normal" font="default" size="100%"&gt;Witton, John&lt;/style&gt;&lt;/author&gt;&lt;author&gt;&lt;style face="normal" font="default" size="100%"&gt;Elbourne, Diana R.&lt;/style&gt;&lt;/author&gt;&lt;/authors&gt;&lt;/contributors&gt;&lt;titles&gt;&lt;title&gt;&lt;style face="normal" font="default" size="100%"&gt;Systematic review of the Hawthorne effect: New concepts are needed to study research participation effects&lt;/style&gt;&lt;/title&gt;&lt;secondary-title&gt;&lt;style face="normal" font="default" size="100%"&gt;Journal of Clinical Epidemiology&lt;/style&gt;&lt;/secondary-title&gt;&lt;/titles&gt;&lt;periodical&gt;&lt;full-title&gt;&lt;style face="normal" font="default" size="100%"&gt;Journal of Clinical Epidemiology&lt;/style&gt;&lt;/full-title&gt;&lt;/periodical&gt;&lt;pages&gt;&lt;style face="normal" font="default" size="100%"&gt;267-277&lt;/style&gt;&lt;/pages&gt;&lt;volume&gt;&lt;style face="normal" font="default" size="100%"&gt;67&lt;/style&gt;&lt;/volume&gt;&lt;number&gt;&lt;style face="normal" font="default" size="100%"&gt;3&lt;/style&gt;&lt;/number&gt;&lt;keywords&gt;&lt;keyword&gt;&lt;style face="normal" font="default" size="100%"&gt;Hawthorne effect&lt;/style&gt;&lt;/keyword&gt;&lt;keyword&gt;&lt;style face="normal" font="default" size="100%"&gt;Reactivity&lt;/style&gt;&lt;/keyword&gt;&lt;keyword&gt;&lt;style face="normal" font="default" size="100%"&gt;Observation&lt;/style&gt;&lt;/keyword&gt;&lt;keyword&gt;&lt;style face="normal" font="default" size="100%"&gt;Research methods&lt;/style&gt;&lt;/keyword&gt;&lt;keyword&gt;&lt;style face="normal" font="default" size="100%"&gt;Research participation&lt;/style&gt;&lt;/keyword&gt;&lt;keyword&gt;&lt;style face="normal" font="default" size="100%"&gt;Assessment&lt;/style&gt;&lt;/keyword&gt;&lt;/keywords&gt;&lt;dates&gt;&lt;year&gt;&lt;style face="normal" font="default" size="100%"&gt;2014&lt;/style&gt;&lt;/year&gt;&lt;pub-dates&gt;&lt;date&gt;&lt;style face="normal" font="default" size="100%"&gt;2014/03/01/&lt;/style&gt;&lt;/date&gt;&lt;/pub-dates&gt;&lt;/dates&gt;&lt;isbn&gt;&lt;style face="normal" font="default" size="100%"&gt;0895-4356&lt;/style&gt;&lt;/isbn&gt;&lt;abstract&gt;&lt;style face="normal" font="default" size="100%"&gt;Objectives This study aims to (1) elucidate whether the Hawthorne effect exists, (2) explore under what conditions, and (3) estimate the size of any such effect. Study Design and Setting This systematic review summarizes and evaluates the strength of available evidence on the Hawthorne effect. An inclusive definition of any form of research artifact on behavior using this label, and without cointerventions, was adopted. Results Nineteen purposively designed studies were included, providing quantitative data on the size of the effect in eight randomized controlled trials, five quasiexperimental studies, and six observational evaluations of reporting on one's behavior by answering questions or being directly observed and being aware of being studied. Although all but one study was undertaken within health sciences, study methods, contexts, and findings were highly heterogeneous. Most studies reported some evidence of an effect, although significant biases are judged likely because of the complexity of the evaluation object. Conclusion Consequences of research participation for behaviors being investigated do exist, although little can be securely known about the conditions under which they operate, their mechanisms of effects, or their magnitudes. New concepts are needed to guide empirical studies.&lt;/style&gt;&lt;/abstract&gt;&lt;urls&gt;&lt;related-urls&gt;&lt;url&gt;&lt;style face="normal" font="default" size="100%"&gt;https://www.sciencedirect.com/science/article/pii/S0895435613003545&lt;/style&gt;&lt;/url&gt;&lt;/related-urls&gt;&lt;/urls&gt;&lt;electronic-resource-num&gt;&lt;style face="normal" font="default" size="100%"&gt;https://doi.org/10.1016/j.jclinepi.2013.08.015&lt;/style&gt;&lt;/electronic-resource-num&gt;&lt;/record&gt;&lt;/Cite&gt;&lt;/EndNote&gt;</w:instrText>
      </w:r>
      <w:r>
        <w:rPr/>
        <w:fldChar w:fldCharType="separate" w:fldLock="0"/>
      </w:r>
      <w:r>
        <w:rPr>
          <w:rtl w:val="0"/>
          <w:lang w:val="en-US"/>
        </w:rPr>
        <w:t>(Mayo, 1949; McCambridge et al., 2014)</w:t>
      </w:r>
      <w:r>
        <w:rPr/>
        <w:fldChar w:fldCharType="end" w:fldLock="0"/>
      </w:r>
      <w:r>
        <w:rPr>
          <w:rtl w:val="0"/>
          <w:lang w:val="en-US"/>
        </w:rPr>
        <w:t xml:space="preserve">. Furthermore, code can be used to read data remotely, check for errors, do manipulations, and link data to other resources whilst keeping the original data intact </w:t>
      </w:r>
      <w:r>
        <w:rPr/>
        <w:fldChar w:fldCharType="begin" w:fldLock="0"/>
      </w:r>
      <w:r>
        <w:instrText xml:space="preserve"> ADDIN EN.CITE &lt;EndNote&gt;&lt;Cite  &gt;&lt;Author&gt;Kumuthini, Judit; Chimenti, Michael; Nahnsen, Sven; Peltzer, Alexander; Meraba, Rebone; McFadyen, Ross; Wells, Gordon; Taylor, Deanne; Maienschein-Cline, Mark; Li, Jian-Liang; Thimmapuram, Jyothi; Murthy-Karuturi, Radha; Zass, Lyndon&lt;/Author&gt;&lt;Year&gt;2020&lt;/Year&gt;&lt;RecNum&gt;6982&lt;/RecNum&gt;&lt;Prefix&gt;&lt;/Prefix&gt;&lt;Suffix&gt;&lt;/Suffix&gt;&lt;Pages&gt;&lt;/Pages&gt;&lt;DisplayText&gt;(Kumuthini et al., 2020)&lt;/DisplayText&gt;&lt;record&gt;&lt;database name="lit_2021.enl" path="/Volumes/zendata/tC/references/2021/lit_2021.enl"&gt;lit_2021.enl&lt;/database&gt;&lt;source-app name="EndNote" version="19.3"&gt;EndNote&lt;/source-app&gt;&lt;rec-number&gt;6982&lt;/rec-number&gt;&lt;foreign-keys&gt;&lt;key app="EN" db-id="zv9tw0t2n2xfdiet259x2tdh09prp29zrxsv"&gt;6982&lt;/key&gt;&lt;/foreign-keys&gt;&lt;ref-type name="Journal Article"&gt;17&lt;/ref-type&gt;&lt;contributors&gt;&lt;authors&gt;&lt;author&gt;&lt;style face="normal" font="default" size="100%"&gt;Kumuthini, Judit&lt;/style&gt;&lt;/author&gt;&lt;author&gt;&lt;style face="normal" font="default" size="100%"&gt;Chimenti, Michael&lt;/style&gt;&lt;/author&gt;&lt;author&gt;&lt;style face="normal" font="default" size="100%"&gt;Nahnsen, Sven&lt;/style&gt;&lt;/author&gt;&lt;author&gt;&lt;style face="normal" font="default" size="100%"&gt;Peltzer, Alexander&lt;/style&gt;&lt;/author&gt;&lt;author&gt;&lt;style face="normal" font="default" size="100%"&gt;Meraba, Rebone&lt;/style&gt;&lt;/author&gt;&lt;author&gt;&lt;style face="normal" font="default" size="100%"&gt;McFadyen, Ross&lt;/style&gt;&lt;/author&gt;&lt;author&gt;&lt;style face="normal" font="default" size="100%"&gt;Wells, Gordon&lt;/style&gt;&lt;/author&gt;&lt;author&gt;&lt;style face="normal" font="default" size="100%"&gt;Taylor, Deanne&lt;/style&gt;&lt;/author&gt;&lt;author&gt;&lt;style face="normal" font="default" size="100%"&gt;Maienschein-Cline, Mark&lt;/style&gt;&lt;/author&gt;&lt;author&gt;&lt;style face="normal" font="default" size="100%"&gt;Li, Jian-Liang&lt;/style&gt;&lt;/author&gt;&lt;author&gt;&lt;style face="normal" font="default" size="100%"&gt;Thimmapuram, Jyothi&lt;/style&gt;&lt;/author&gt;&lt;author&gt;&lt;style face="normal" font="default" size="100%"&gt;Murthy-Karuturi, Radha&lt;/style&gt;&lt;/author&gt;&lt;author&gt;&lt;style face="normal" font="default" size="100%"&gt;Zass, Lyndon&lt;/style&gt;&lt;/author&gt;&lt;/authors&gt;&lt;/contributors&gt;&lt;titles&gt;&lt;title&gt;&lt;style face="normal" font="default" size="100%"&gt;Ten simple rules for providing effective bioinformatics research support&lt;/style&gt;&lt;/title&gt;&lt;secondary-title&gt;&lt;style face="normal" font="default" size="100%"&gt;PLOS Computational Biology&lt;/style&gt;&lt;/secondary-title&gt;&lt;/titles&gt;&lt;periodical&gt;&lt;full-title&gt;&lt;style face="normal" font="default" size="100%"&gt;PLOS Computational Biology&lt;/style&gt;&lt;/full-title&gt;&lt;/periodical&gt;&lt;pages&gt;&lt;style face="normal" font="default" size="100%"&gt;e1007531&lt;/style&gt;&lt;/pages&gt;&lt;volume&gt;&lt;style face="normal" font="default" size="100%"&gt;16&lt;/style&gt;&lt;/volume&gt;&lt;number&gt;&lt;style face="normal" font="default" size="100%"&gt;3&lt;/style&gt;&lt;/number&gt;&lt;dates&gt;&lt;year&gt;&lt;style face="normal" font="default" size="100%"&gt;2020&lt;/style&gt;&lt;/year&gt;&lt;/dates&gt;&lt;publisher&gt;&lt;style face="normal" font="default" size="100%"&gt;Public Library of Science&lt;/style&gt;&lt;/publisher&gt;&lt;abstract&gt;&lt;style face="normal" font="default" size="100%"&gt;Author summary The article we wrote draws from our experience in core support facilities and highlights 10 best practices that individuals who apply information technology approaches to biological, medical, and health research should consider when providing support to individuals who generate data for this research in the lab. As interdisciplinary approaches are increasingly being utilized within the biological and medical sciences, effective collaboration and support between the aforementioned parties is crucial to promote the quality and integrity of research. These practices highlight the importance of quality control, comprehensive reporting, effective communication, and more in the production of quality data as well as the promotion of effective collaboration.&lt;/style&gt;&lt;/abstract&gt;&lt;urls&gt;&lt;related-urls&gt;&lt;url&gt;&lt;style face="normal" font="default" size="100%"&gt;https://doi.org/10.1371/journal.pcbi.1007531&lt;/style&gt;&lt;/url&gt;&lt;/related-urls&gt;&lt;/urls&gt;&lt;electronic-resource-num&gt;&lt;style face="normal" font="default" size="100%"&gt;10.1371/journal.pcbi.1007531&lt;/style&gt;&lt;/electronic-resource-num&gt;&lt;/record&gt;&lt;/Cite&gt;&lt;/EndNote&gt;</w:instrText>
      </w:r>
      <w:r>
        <w:rPr/>
        <w:fldChar w:fldCharType="separate" w:fldLock="0"/>
      </w:r>
      <w:r>
        <w:rPr>
          <w:rtl w:val="0"/>
        </w:rPr>
        <w:t>(Kumuthini et al., 2020)</w:t>
      </w:r>
      <w:r>
        <w:rPr/>
        <w:fldChar w:fldCharType="end" w:fldLock="0"/>
      </w:r>
      <w:r>
        <w:rPr>
          <w:rtl w:val="0"/>
          <w:lang w:val="en-US"/>
        </w:rPr>
        <w:t xml:space="preserve">. This also enables reproducible team science and replication </w:t>
      </w:r>
      <w:r>
        <w:rPr/>
        <w:fldChar w:fldCharType="begin" w:fldLock="0"/>
      </w:r>
      <w:r>
        <w:instrText xml:space="preserve"> ADDIN EN.CITE &lt;EndNote&gt;&lt;Cite  &gt;&lt;Author&gt;Fanelli, Daniele&lt;/Author&gt;&lt;Year&gt;2018&lt;/Year&gt;&lt;RecNum&gt;6080&lt;/RecNum&gt;&lt;Prefix&gt;&lt;/Prefix&gt;&lt;Suffix&gt;&lt;/Suffix&gt;&lt;Pages&gt;&lt;/Pages&gt;&lt;DisplayText&gt;(Fanelli, 2018; Reed, 2018)&lt;/DisplayText&gt;&lt;record&gt;&lt;database name="lit_2021.enl" path="/Volumes/zendata/tC/references/2021/lit_2021.enl"&gt;lit_2021.enl&lt;/database&gt;&lt;source-app name="EndNote" version="19.3"&gt;EndNote&lt;/source-app&gt;&lt;rec-number&gt;6080&lt;/rec-number&gt;&lt;foreign-keys&gt;&lt;key app="EN" db-id="zv9tw0t2n2xfdiet259x2tdh09prp29zrxsv"&gt;6080&lt;/key&gt;&lt;/foreign-keys&gt;&lt;ref-type name="Journal Article"&gt;17&lt;/ref-type&gt;&lt;contributors&gt;&lt;authors&gt;&lt;author&gt;&lt;style face="normal" font="default" size="100%"&gt;Fanelli, Daniele&lt;/style&gt;&lt;/author&gt;&lt;/authors&gt;&lt;/contributors&gt;&lt;titles&gt;&lt;title&gt;&lt;style face="normal" font="default" size="100%"&gt;Opinion: Is science really facing a reproducibility crisis, and do we need it to?&lt;/style&gt;&lt;/title&gt;&lt;secondary-title&gt;&lt;style face="normal" font="default" size="100%"&gt;Proceedings of the National Academy of Sciences&lt;/style&gt;&lt;/secondary-title&gt;&lt;/titles&gt;&lt;periodical&gt;&lt;full-title&gt;&lt;style face="normal" font="default" size="100%"&gt;Proceedings of the National Academy of Sciences&lt;/style&gt;&lt;/full-title&gt;&lt;/periodical&gt;&lt;pages&gt;&lt;style face="normal" font="default" size="100%"&gt;2628&lt;/style&gt;&lt;/pages&gt;&lt;volume&gt;&lt;style face="normal" font="default" size="100%"&gt;115&lt;/style&gt;&lt;/volume&gt;&lt;number&gt;&lt;style face="normal" font="default" size="100%"&gt;11&lt;/style&gt;&lt;/number&gt;&lt;dates&gt;&lt;year&gt;&lt;style face="normal" font="default" size="100%"&gt;2018&lt;/style&gt;&lt;/year&gt;&lt;/dates&gt;&lt;abstract&gt;&lt;style face="normal" font="default" size="100%"&gt;Efforts to improve the reproducibility and integrity of science are typically justified by a narrative of crisis, according to which most published results are unreliable due to growing problems with research and publication practices. This article provides an overview of recent evidence suggesting that this narrative is mistaken, and argues that a narrative of epochal changes and empowerment of scientists would be more accurate, inspiring, and compelling.&lt;/style&gt;&lt;/abstract&gt;&lt;work-type&gt;&lt;style face="normal" font="default" size="100%"&gt;10.1073/pnas.1708272114&lt;/style&gt;&lt;/work-type&gt;&lt;urls&gt;&lt;related-urls&gt;&lt;url&gt;&lt;style face="normal" font="default" size="100%"&gt;http://www.pnas.org/content/115/11/2628.abstract&lt;/style&gt;&lt;/url&gt;&lt;/related-urls&gt;&lt;/urls&gt;&lt;/record&gt;&lt;/Cite&gt;&lt;Cite  &gt;&lt;Author&gt;Reed, W. Robert&lt;/Author&gt;&lt;Year&gt;2018&lt;/Year&gt;&lt;Prefix&gt;&lt;/Prefix&gt;&lt;Suffix&gt;&lt;/Suffix&gt;&lt;Pages&gt;&lt;/Pages&gt;&lt;record&gt;&lt;database name="lit_2021.enl" path="/Volumes/zendata/tC/references/2021/lit_2021.enl"&gt;lit_2021.enl&lt;/database&gt;&lt;source-app name="EndNote" version="19.3"&gt;EndNote&lt;/source-app&gt;&lt;rec-number&gt;6079&lt;/rec-number&gt;&lt;foreign-keys&gt;&lt;key app="EN" db-id="zv9tw0t2n2xfdiet259x2tdh09prp29zrxsv"&gt;6079&lt;/key&gt;&lt;/foreign-keys&gt;&lt;ref-type name="Journal Article"&gt;17&lt;/ref-type&gt;&lt;contributors&gt;&lt;authors&gt;&lt;author&gt;&lt;style face="normal" font="default" size="100%"&gt;Reed, W. Robert&lt;/style&gt;&lt;/author&gt;&lt;/authors&gt;&lt;/contributors&gt;&lt;titles&gt;&lt;title&gt;&lt;style face="normal" font="default" size="100%"&gt;A Primer on the ‘Reproducibility Crisis’ and Ways to Fix It&lt;/style&gt;&lt;/title&gt;&lt;secondary-title&gt;&lt;style face="normal" font="default" size="100%"&gt;Australian Economic Review&lt;/style&gt;&lt;/secondary-title&gt;&lt;/titles&gt;&lt;periodical&gt;&lt;full-title&gt;&lt;style face="normal" font="default" size="100%"&gt;Australian Economic Review&lt;/style&gt;&lt;/full-title&gt;&lt;/periodical&gt;&lt;pages&gt;&lt;style face="normal" font="default" size="100%"&gt;286-300&lt;/style&gt;&lt;/pages&gt;&lt;volume&gt;&lt;style face="normal" font="default" size="100%"&gt;51&lt;/style&gt;&lt;/volume&gt;&lt;number&gt;&lt;style face="normal" font="default" size="100%"&gt;2&lt;/style&gt;&lt;/number&gt;&lt;dates&gt;&lt;year&gt;&lt;style face="normal" font="default" size="100%"&gt;2018&lt;/style&gt;&lt;/year&gt;&lt;pub-dates&gt;&lt;date&gt;&lt;style face="normal" font="default" size="100%"&gt;2018/06/01&lt;/style&gt;&lt;/date&gt;&lt;/pub-dates&gt;&lt;/dates&gt;&lt;publisher&gt;&lt;style face="normal" font="default" size="100%"&gt;John Wiley &amp;amp; Sons, Ltd (10.1111)&lt;/style&gt;&lt;/publisher&gt;&lt;isbn&gt;&lt;style face="normal" font="default" size="100%"&gt;0004-9018&lt;/style&gt;&lt;/isbn&gt;&lt;abstract&gt;&lt;style face="normal" font="default" size="100%"&gt;Abstract This article uses the framework of Ioannidis () to organise a discussion of issues related to the ?reproducibility crisis?. It then goes on to use that framework to evaluate various proposals to fix the problem. Of particular interest is the ?post-study probability?, the probability that a reported research finding represents a true relationship. This probability is inherently unknowable. However, a number of insightful results emerge if we are willing to make some conjectures about reasonable parameter values. Among other things, this analysis demonstrates the important role that replication can play in improving the signal value of empirical research.&lt;/style&gt;&lt;/abstract&gt;&lt;urls&gt;&lt;related-urls&gt;&lt;url&gt;&lt;style face="normal" font="default" size="100%"&gt;https://doi.org/10.1111/1467-8462.12262&lt;/style&gt;&lt;/url&gt;&lt;/related-urls&gt;&lt;/urls&gt;&lt;electronic-resource-num&gt;&lt;style face="normal" font="default" size="100%"&gt;10.1111/1467-8462.12262&lt;/style&gt;&lt;/electronic-resource-num&gt;&lt;access-date&gt;&lt;style face="normal" font="default" size="100%"&gt;2018/12/04&lt;/style&gt;&lt;/access-date&gt;&lt;/record&gt;&lt;/Cite&gt;&lt;/EndNote&gt;</w:instrText>
      </w:r>
      <w:r>
        <w:rPr/>
        <w:fldChar w:fldCharType="separate" w:fldLock="0"/>
      </w:r>
      <w:r>
        <w:rPr>
          <w:rtl w:val="0"/>
          <w:lang w:val="it-IT"/>
        </w:rPr>
        <w:t>(Fanelli, 2018; Reed, 2018)</w:t>
      </w:r>
      <w:r>
        <w:rPr/>
        <w:fldChar w:fldCharType="end" w:fldLock="0"/>
      </w:r>
      <w:r>
        <w:rPr>
          <w:rtl w:val="0"/>
          <w:lang w:val="en-US"/>
        </w:rPr>
        <w:t xml:space="preserve">. Data repositories support versioning so tracked updates are also possible, and this promotes more transparent and accountable science (including an opportunity to revisit previous instances). Data in a repository online are also your insurance policy against lost data, accidental deletions and propagation of these errors </w:t>
      </w:r>
      <w:r>
        <w:rPr/>
        <w:fldChar w:fldCharType="begin" w:fldLock="0"/>
      </w:r>
      <w:r>
        <w:instrText xml:space="preserve"> ADDIN EN.CITE &lt;EndNote&gt;&lt;Cite  &gt;&lt;Author&gt;Peter Buneman; Sanjeev Khanna; Wang-Chiew Tan&lt;/Author&gt;&lt;Year&gt;2002&lt;/Year&gt;&lt;Prefix&gt;&lt;/Prefix&gt;&lt;Suffix&gt;&lt;/Suffix&gt;&lt;Pages&gt;&lt;/Pages&gt;&lt;DisplayText&gt;(Buneman et al., 2002)&lt;/DisplayText&gt;&lt;record&gt;&lt;database name="lit_2021.enl" path="/Volumes/zendata/tC/references/2021/lit_2021.enl"&gt;lit_2021.enl&lt;/database&gt;&lt;source-app name="EndNote" version="19.3"&gt;EndNote&lt;/source-app&gt;&lt;rec-number&gt;7143&lt;/rec-number&gt;&lt;foreign-keys&gt;&lt;key app="EN" db-id="zv9tw0t2n2xfdiet259x2tdh09prp29zrxsv"&gt;7143&lt;/key&gt;&lt;/foreign-keys&gt;&lt;ref-type name="Conference Paper"&gt;47&lt;/ref-type&gt;&lt;contributors&gt;&lt;authors&gt;&lt;author&gt;&lt;style face="normal" font="default" size="100%"&gt;Peter Buneman&lt;/style&gt;&lt;/author&gt;&lt;author&gt;&lt;style face="normal" font="default" size="100%"&gt;Sanjeev Khanna&lt;/style&gt;&lt;/author&gt;&lt;author&gt;&lt;style face="normal" font="default" size="100%"&gt;Wang-Chiew Tan&lt;/style&gt;&lt;/author&gt;&lt;/authors&gt;&lt;/contributors&gt;&lt;titles&gt;&lt;title&gt;&lt;style face="normal" font="default" size="100%"&gt;On propagation of deletions and annotations through views&lt;/style&gt;&lt;/title&gt;&lt;secondary-title&gt;&lt;style face="normal" font="default" size="100%"&gt;Proceedings of the twenty-first ACM SIGMOD-SIGACT-SIGART symposium on Principles of database systems&lt;/style&gt;&lt;/secondary-title&gt;&lt;/titles&gt;&lt;pages&gt;&lt;style face="normal" font="default" size="100%"&gt;150–158&lt;/style&gt;&lt;/pages&gt;&lt;dates&gt;&lt;year&gt;&lt;style face="normal" font="default" size="100%"&gt;2002&lt;/style&gt;&lt;/year&gt;&lt;/dates&gt;&lt;pub-location&gt;&lt;style face="normal" font="default" size="100%"&gt;Madison, Wisconsin&lt;/style&gt;&lt;/pub-location&gt;&lt;publisher&gt;&lt;style face="normal" font="default" size="100%"&gt;Association for Computing Machinery&lt;/style&gt;&lt;/publisher&gt;&lt;urls&gt;&lt;related-urls&gt;&lt;url&gt;&lt;style face="normal" font="default" size="100%"&gt;https://doi.org/10.1145/543613.543633&lt;/style&gt;&lt;/url&gt;&lt;/related-urls&gt;&lt;/urls&gt;&lt;electronic-resource-num&gt;&lt;style face="normal" font="default" size="100%"&gt;10.1145/543613.543633&lt;/style&gt;&lt;/electronic-resource-num&gt;&lt;/record&gt;&lt;/Cite&gt;&lt;/EndNote&gt;</w:instrText>
      </w:r>
      <w:r>
        <w:rPr/>
        <w:fldChar w:fldCharType="separate" w:fldLock="0"/>
      </w:r>
      <w:r>
        <w:rPr>
          <w:rtl w:val="0"/>
          <w:lang w:val="fr-FR"/>
        </w:rPr>
        <w:t>(Buneman et al., 2002)</w:t>
      </w:r>
      <w:r>
        <w:rPr/>
        <w:fldChar w:fldCharType="end" w:fldLock="0"/>
      </w:r>
      <w:r>
        <w:rPr>
          <w:rtl w:val="0"/>
          <w:lang w:val="en-US"/>
        </w:rPr>
        <w:t xml:space="preserve">, and for larger files, online can resolve storage challenges locally. Publishing data in most data repositories in ecology and evolution also ensures that meta-data are described appropriately and adhere to meta-data standards for a specific meta-data language required by many member nodes within the DataOne network for instance (a federation of data repositories) </w:t>
      </w:r>
      <w:r>
        <w:rPr/>
        <w:fldChar w:fldCharType="begin" w:fldLock="0"/>
      </w:r>
      <w:r>
        <w:instrText xml:space="preserve"> ADDIN EN.CITE &lt;EndNote&gt;&lt;Cite  &gt;&lt;Author&gt;Michener, W. K.; Allard, S.; Budden, A. E.; Cook, R.; Douglass, K.; Frame, M.; Kelling, S.&lt;/Author&gt;&lt;Year&gt;2012&lt;/Year&gt;&lt;Prefix&gt;&lt;/Prefix&gt;&lt;Suffix&gt;&lt;/Suffix&gt;&lt;Pages&gt;&lt;/Pages&gt;&lt;DisplayText&gt;(Michener et al., 2012)&lt;/DisplayText&gt;&lt;record&gt;&lt;database name="lit_2021.enl" path="/Volumes/zendata/tC/references/2021/lit_2021.enl"&gt;lit_2021.enl&lt;/database&gt;&lt;source-app name="EndNote" version="19.3"&gt;EndNote&lt;/source-app&gt;&lt;rec-number&gt;2187&lt;/rec-number&gt;&lt;foreign-keys&gt;&lt;key app="EN" db-id="zv9tw0t2n2xfdiet259x2tdh09prp29zrxsv"&gt;2187&lt;/key&gt;&lt;/foreign-keys&gt;&lt;ref-type name="Journal Article"&gt;17&lt;/ref-type&gt;&lt;contributors&gt;&lt;authors&gt;&lt;author&gt;&lt;style face="normal" font="default" size="100%"&gt;Michener, W. K.&lt;/style&gt;&lt;/author&gt;&lt;author&gt;&lt;style face="normal" font="default" size="100%"&gt;Allard, S.&lt;/style&gt;&lt;/author&gt;&lt;author&gt;&lt;style face="normal" font="default" size="100%"&gt;Budden, A. E.&lt;/style&gt;&lt;/author&gt;&lt;author&gt;&lt;style face="normal" font="default" size="100%"&gt;Cook, R.&lt;/style&gt;&lt;/author&gt;&lt;author&gt;&lt;style face="normal" font="default" size="100%"&gt;Douglass, K.&lt;/style&gt;&lt;/author&gt;&lt;author&gt;&lt;style face="normal" font="default" size="100%"&gt;Frame, M.&lt;/style&gt;&lt;/author&gt;&lt;author&gt;&lt;style face="normal" font="default" size="100%"&gt;Kelling, S.&lt;/style&gt;&lt;/author&gt;&lt;/authors&gt;&lt;/contributors&gt;&lt;titles&gt;&lt;title&gt;&lt;style face="normal" font="default" size="100%"&gt;Participatory design of DataONE—Enabling cyberinfrastructure for the biological and environmental sciences.&lt;/style&gt;&lt;/title&gt;&lt;secondary-title&gt;&lt;style face="normal" font="default" size="100%"&gt;Ecological Informatics&lt;/style&gt;&lt;/secondary-title&gt;&lt;/titles&gt;&lt;periodical&gt;&lt;full-title&gt;&lt;style face="normal" font="default" size="100%"&gt;Ecological Informatics&lt;/style&gt;&lt;/full-title&gt;&lt;/periodical&gt;&lt;keywords&gt;&lt;keyword&gt;&lt;style face="normal" font="default" size="100%"&gt;interactions&lt;/style&gt;&lt;/keyword&gt;&lt;/keywords&gt;&lt;dates&gt;&lt;year&gt;&lt;style face="normal" font="default" size="100%"&gt;2012&lt;/style&gt;&lt;/year&gt;&lt;/dates&gt;&lt;urls&gt;&lt;/urls&gt;&lt;electronic-resource-num&gt;&lt;style face="normal" font="default" size="100%"&gt;doi:10.1016/j.ecoinf.2011.08.007&lt;/style&gt;&lt;/electronic-resource-num&gt;&lt;/record&gt;&lt;/Cite&gt;&lt;/EndNote&gt;</w:instrText>
      </w:r>
      <w:r>
        <w:rPr/>
        <w:fldChar w:fldCharType="separate" w:fldLock="0"/>
      </w:r>
      <w:r>
        <w:rPr>
          <w:rtl w:val="0"/>
          <w:lang w:val="de-DE"/>
        </w:rPr>
        <w:t>(Michener et al., 2012)</w:t>
      </w:r>
      <w:r>
        <w:rPr/>
        <w:fldChar w:fldCharType="end" w:fldLock="0"/>
      </w:r>
      <w:r>
        <w:rPr>
          <w:rtl w:val="0"/>
          <w:lang w:val="en-US"/>
        </w:rPr>
        <w:t xml:space="preserve">. Writing meta-data (i.e. documenting key/all aspects of data) can also become the stepping stone for the methods section in a paper. Error checking is dramatically improved through relatively longer review and access periods, additional checks by yourself and the team, and finally by publishing the data prior to peer review of the paper, you provide an opportunity for independent checks of the data </w:t>
      </w:r>
      <w:r>
        <w:rPr>
          <w:rtl w:val="0"/>
          <w:lang w:val="en-US"/>
        </w:rPr>
        <w:t xml:space="preserve">by referees </w:t>
      </w:r>
      <w:r>
        <w:rPr>
          <w:rtl w:val="0"/>
          <w:lang w:val="en-US"/>
        </w:rPr>
        <w:t>if they so choose (it happens).  Stakeholders can also engage with the evidence, i.e. data, if openly archived, and this can precipitate novel insights. The final item directly associated with efficiency is that by sharing data online you enable the capacity for collaboration via a shared linked versus interactions and changes to a file communicated via email. Less email and tracking of files sent back and forth is a massive gain in time and integrity in your work. A brief caveat is worth mentioning. Many of these benefits of efficiency and data integrity (but not necessarily preservation) can be accrued through remote storage, privately until the team is prepared for full and open global access. Many repositories and other tools support private sharing that still provide the capacity for remote storage, easy access, and versioning. This is a viable consideration depending on the circumstances and with some forward thinking this approach can still set one up for much easier and more rapid final data publication.</w:t>
      </w:r>
    </w:p>
    <w:p>
      <w:pPr>
        <w:pStyle w:val="Body"/>
        <w:spacing w:line="480" w:lineRule="auto"/>
      </w:pPr>
    </w:p>
    <w:p>
      <w:pPr>
        <w:pStyle w:val="Body"/>
        <w:spacing w:line="480" w:lineRule="auto"/>
      </w:pPr>
      <w:r>
        <w:rPr>
          <w:rtl w:val="0"/>
          <w:lang w:val="en-US"/>
        </w:rPr>
        <w:t xml:space="preserve">The final three proposed benefits link more directly to positive outcomes for team science and societal good. </w:t>
      </w:r>
      <w:r>
        <w:rPr>
          <w:rtl w:val="0"/>
          <w:lang w:val="en-US"/>
        </w:rPr>
        <w:t xml:space="preserve">Peer-review </w:t>
      </w:r>
      <w:r>
        <w:rPr>
          <w:rtl w:val="0"/>
          <w:lang w:val="en-US"/>
        </w:rPr>
        <w:t xml:space="preserve">of papers </w:t>
      </w:r>
      <w:r>
        <w:rPr>
          <w:rtl w:val="0"/>
          <w:lang w:val="en-US"/>
        </w:rPr>
        <w:t>can take time</w:t>
      </w:r>
      <w:r>
        <w:rPr>
          <w:rtl w:val="0"/>
          <w:lang w:val="en-US"/>
        </w:rPr>
        <w:t xml:space="preserve"> </w:t>
      </w:r>
      <w:r>
        <w:rPr/>
        <w:fldChar w:fldCharType="begin" w:fldLock="0"/>
      </w:r>
      <w:r>
        <w:instrText xml:space="preserve"> ADDIN EN.CITE &lt;EndNote&gt;&lt;Cite  &gt;&lt;Author&gt;Csiszar, A.&lt;/Author&gt;&lt;Year&gt;2016&lt;/Year&gt;&lt;RecNum&gt;7152&lt;/RecNum&gt;&lt;Prefix&gt;&lt;/Prefix&gt;&lt;Suffix&gt;&lt;/Suffix&gt;&lt;Pages&gt;&lt;/Pages&gt;&lt;DisplayText&gt;(Csiszar, 2016)&lt;/DisplayText&gt;&lt;record&gt;&lt;database name="lit_2021.enl" path="/Volumes/zendata/tC/references/2021/lit_2021.enl"&gt;lit_2021.enl&lt;/database&gt;&lt;source-app name="EndNote" version="19.3"&gt;EndNote&lt;/source-app&gt;&lt;rec-number&gt;7152&lt;/rec-number&gt;&lt;foreign-keys&gt;&lt;key app="EN" db-id="zv9tw0t2n2xfdiet259x2tdh09prp29zrxsv"&gt;7152&lt;/key&gt;&lt;/foreign-keys&gt;&lt;ref-type name="Journal Article"&gt;17&lt;/ref-type&gt;&lt;contributors&gt;&lt;authors&gt;&lt;author&gt;&lt;style face="normal" font="default" size="100%"&gt;Csiszar, A.&lt;/style&gt;&lt;/author&gt;&lt;/authors&gt;&lt;/contributors&gt;&lt;titles&gt;&lt;title&gt;&lt;style face="normal" font="default" size="100%"&gt;Peer review: Troubled from the start&lt;/style&gt;&lt;/title&gt;&lt;secondary-title&gt;&lt;style face="normal" font="default" size="100%"&gt;Nature&lt;/style&gt;&lt;/secondary-title&gt;&lt;/titles&gt;&lt;periodical&gt;&lt;full-title&gt;&lt;style face="normal" font="default" size="100%"&gt;Nature&lt;/style&gt;&lt;/full-title&gt;&lt;/periodical&gt;&lt;pages&gt;&lt;style face="normal" font="default" size="100%"&gt;306-308&lt;/style&gt;&lt;/pages&gt;&lt;volume&gt;&lt;style face="normal" font="default" size="100%"&gt;532&lt;/style&gt;&lt;/volume&gt;&lt;dates&gt;&lt;year&gt;&lt;style face="normal" font="default" size="100%"&gt;2016&lt;/style&gt;&lt;/year&gt;&lt;/dates&gt;&lt;urls&gt;&lt;/urls&gt;&lt;/record&gt;&lt;/Cite&gt;&lt;/EndNote&gt;</w:instrText>
      </w:r>
      <w:r>
        <w:rPr/>
        <w:fldChar w:fldCharType="separate" w:fldLock="0"/>
      </w:r>
      <w:r>
        <w:rPr>
          <w:rtl w:val="0"/>
        </w:rPr>
        <w:t>(Csiszar, 2016)</w:t>
      </w:r>
      <w:r>
        <w:rPr/>
        <w:fldChar w:fldCharType="end" w:fldLock="0"/>
      </w:r>
      <w:r>
        <w:rPr>
          <w:rtl w:val="0"/>
          <w:lang w:val="en-US"/>
        </w:rPr>
        <w:t>. Similar to pre-prints, publish</w:t>
      </w:r>
      <w:r>
        <w:rPr>
          <w:rtl w:val="0"/>
          <w:lang w:val="en-US"/>
        </w:rPr>
        <w:t>ing</w:t>
      </w:r>
      <w:r>
        <w:rPr>
          <w:rtl w:val="0"/>
          <w:lang w:val="en-US"/>
        </w:rPr>
        <w:t xml:space="preserve"> your data sooner can establish precedence and provide a citable object. </w:t>
      </w:r>
      <w:r>
        <w:rPr>
          <w:rtl w:val="0"/>
          <w:lang w:val="en-US"/>
        </w:rPr>
        <w:t xml:space="preserve">There is also the capacity for establishing ideas sooner through not just pre-prints but via data or code to generate additional interest and use (estimated through citations or altmetrics) in the final paper (from the a project if that is the goal) </w:t>
      </w:r>
      <w:r>
        <w:rPr/>
        <w:fldChar w:fldCharType="begin" w:fldLock="0"/>
      </w:r>
      <w:r>
        <w:instrText xml:space="preserve"> ADDIN EN.CITE &lt;EndNote&gt;&lt;Cite  &gt;&lt;Author&gt;Eysenbach, G.&lt;/Author&gt;&lt;Year&gt;2006&lt;/Year&gt;&lt;RecNum&gt;1896&lt;/RecNum&gt;&lt;Prefix&gt;&lt;/Prefix&gt;&lt;Suffix&gt;&lt;/Suffix&gt;&lt;Pages&gt;&lt;/Pages&gt;&lt;DisplayText&gt;(Eysenbach, 2006; Fu &amp; Hughey, 2019; Serghiou &amp; Ioannidis, 2018; Shuai et al., 2012)&lt;/DisplayText&gt;&lt;record&gt;&lt;database name="lit_2021.enl" path="/Volumes/zendata/tC/references/2021/lit_2021.enl"&gt;lit_2021.enl&lt;/database&gt;&lt;source-app name="EndNote" version="19.3"&gt;EndNote&lt;/source-app&gt;&lt;rec-number&gt;1896&lt;/rec-number&gt;&lt;foreign-keys&gt;&lt;key app="EN" db-id="zv9tw0t2n2xfdiet259x2tdh09prp29zrxsv"&gt;1896&lt;/key&gt;&lt;/foreign-keys&gt;&lt;ref-type name="Journal Article"&gt;17&lt;/ref-type&gt;&lt;contributors&gt;&lt;authors&gt;&lt;author&gt;&lt;style face="normal" font="default" size="100%"&gt;Eysenbach, G.&lt;/style&gt;&lt;/author&gt;&lt;/authors&gt;&lt;/contributors&gt;&lt;titles&gt;&lt;title&gt;&lt;style face="normal" font="default" size="100%"&gt;Citation advantage of open access articles.&lt;/style&gt;&lt;/title&gt;&lt;secondary-title&gt;&lt;style face="normal" font="default" size="100%"&gt;Plos Biology&lt;/style&gt;&lt;/secondary-title&gt;&lt;/titles&gt;&lt;periodical&gt;&lt;full-title&gt;&lt;style face="normal" font="default" size="100%"&gt;Plos Biology&lt;/style&gt;&lt;/full-title&gt;&lt;/periodical&gt;&lt;pages&gt;&lt;style face="normal" font="default" size="100%"&gt;e157&lt;/style&gt;&lt;/pages&gt;&lt;volume&gt;&lt;style face="normal" font="default" size="100%"&gt;4&lt;/style&gt;&lt;/volume&gt;&lt;keywords&gt;&lt;keyword&gt;&lt;style face="normal" font="default" size="100%"&gt;interactions bias, publication&lt;/style&gt;&lt;/keyword&gt;&lt;/keywords&gt;&lt;dates&gt;&lt;year&gt;&lt;style face="normal" font="default" size="100%"&gt;2006&lt;/style&gt;&lt;/year&gt;&lt;/dates&gt;&lt;notes&gt;&lt;style face="normal" font="default" size="100%"&gt;tested whether OA articles had higher citation rates, YES. OA vs non-OA were twice as likely to be cited within the first 4-10mo then with the ratio increasing at 10-16mos. - conclude that OA articles are more immediately recognized and thereby accelerates the dissemination process. ALSO, make great points about confounding effects such as the following: 1. articles are online because they are highly cited. 2. self-archiving and higher citation rates may be due to earlier dissemination processes such as preprints and data registry 3. publications with more authors are more likely to be self-archived n=1492 articles used in study here. I like the idea of an immediacy index: the average number of times that an article published in a specific year within a specific journal is cited over the course of the same year.&lt;/style&gt;&lt;/notes&gt;&lt;urls&gt;&lt;/urls&gt;&lt;/record&gt;&lt;/Cite&gt;&lt;Cite  &gt;&lt;Author&gt;Shuai, X.; Pepe, A.; Bollen, J.&lt;/Author&gt;&lt;Year&gt;2012&lt;/Year&gt;&lt;RecNum&gt;2352&lt;/RecNum&gt;&lt;Prefix&gt;&lt;/Prefix&gt;&lt;Suffix&gt;&lt;/Suffix&gt;&lt;Pages&gt;&lt;/Pages&gt;&lt;record&gt;&lt;database name="lit_2021.enl" path="/Volumes/zendata/tC/references/2021/lit_2021.enl"&gt;lit_2021.enl&lt;/database&gt;&lt;source-app name="EndNote" version="19.3"&gt;EndNote&lt;/source-app&gt;&lt;rec-number&gt;2352&lt;/rec-number&gt;&lt;foreign-keys&gt;&lt;key app="EN" db-id="zv9tw0t2n2xfdiet259x2tdh09prp29zrxsv"&gt;2352&lt;/key&gt;&lt;/foreign-keys&gt;&lt;ref-type name="Journal Article"&gt;17&lt;/ref-type&gt;&lt;contributors&gt;&lt;authors&gt;&lt;author&gt;&lt;style face="normal" font="default" size="100%"&gt;Shuai, X.&lt;/style&gt;&lt;/author&gt;&lt;author&gt;&lt;style face="normal" font="default" size="100%"&gt;Pepe, A.&lt;/style&gt;&lt;/author&gt;&lt;author&gt;&lt;style face="normal" font="default" size="100%"&gt;Bollen, J.&lt;/style&gt;&lt;/author&gt;&lt;/authors&gt;&lt;/contributors&gt;&lt;titles&gt;&lt;title&gt;&lt;style face="normal" font="default" size="100%"&gt;How the Scientific Community Reacts to Newly Submitted Preprints: Article Downloads, Twitter Mentions, and Citations.&lt;/style&gt;&lt;/title&gt;&lt;secondary-title&gt;&lt;style face="normal" font="default" size="100%"&gt;arXiv&lt;/style&gt;&lt;/secondary-title&gt;&lt;/titles&gt;&lt;periodical&gt;&lt;full-title&gt;&lt;style face="normal" font="default" size="100%"&gt;arXiv&lt;/style&gt;&lt;/full-title&gt;&lt;/periodical&gt;&lt;pages&gt;&lt;style face="normal" font="default" size="100%"&gt;1202.2461v1&lt;/style&gt;&lt;/pages&gt;&lt;keywords&gt;&lt;keyword&gt;&lt;style face="normal" font="default" size="100%"&gt;general science&lt;/style&gt;&lt;/keyword&gt;&lt;/keywords&gt;&lt;dates&gt;&lt;year&gt;&lt;style face="normal" font="default" size="100%"&gt;2012&lt;/style&gt;&lt;/year&gt;&lt;/dates&gt;&lt;urls&gt;&lt;/urls&gt;&lt;/record&gt;&lt;/Cite&gt;&lt;Cite  &gt;&lt;Author&gt;Serghiou, Stylianos; Ioannidis, John P. A.&lt;/Author&gt;&lt;Year&gt;2018&lt;/Year&gt;&lt;RecNum&gt;7151&lt;/RecNum&gt;&lt;Prefix&gt;&lt;/Prefix&gt;&lt;Suffix&gt;&lt;/Suffix&gt;&lt;Pages&gt;&lt;/Pages&gt;&lt;record&gt;&lt;database name="lit_2021.enl" path="/Volumes/zendata/tC/references/2021/lit_2021.enl"&gt;lit_2021.enl&lt;/database&gt;&lt;source-app name="EndNote" version="19.3"&gt;EndNote&lt;/source-app&gt;&lt;rec-number&gt;7151&lt;/rec-number&gt;&lt;foreign-keys&gt;&lt;key app="EN" db-id="zv9tw0t2n2xfdiet259x2tdh09prp29zrxsv"&gt;7151&lt;/key&gt;&lt;/foreign-keys&gt;&lt;ref-type name="Journal Article"&gt;17&lt;/ref-type&gt;&lt;contributors&gt;&lt;authors&gt;&lt;author&gt;&lt;style face="normal" font="default" size="100%"&gt;Serghiou, Stylianos&lt;/style&gt;&lt;/author&gt;&lt;author&gt;&lt;style face="normal" font="default" size="100%"&gt;Ioannidis, John P. A.&lt;/style&gt;&lt;/author&gt;&lt;/authors&gt;&lt;/contributors&gt;&lt;titles&gt;&lt;title&gt;&lt;style face="normal" font="default" size="100%"&gt;Altmetric Scores, Citations, and Publication of Studies Posted as Preprints&lt;/style&gt;&lt;/title&gt;&lt;secondary-title&gt;&lt;style face="normal" font="default" size="100%"&gt;JAMA&lt;/style&gt;&lt;/secondary-title&gt;&lt;/titles&gt;&lt;periodical&gt;&lt;full-title&gt;&lt;style face="normal" font="default" size="100%"&gt;JAMA&lt;/style&gt;&lt;/full-title&gt;&lt;/periodical&gt;&lt;pages&gt;&lt;style face="normal" font="default" size="100%"&gt;402-404&lt;/style&gt;&lt;/pages&gt;&lt;volume&gt;&lt;style face="normal" font="default" size="100%"&gt;319&lt;/style&gt;&lt;/volume&gt;&lt;number&gt;&lt;style face="normal" font="default" size="100%"&gt;4&lt;/style&gt;&lt;/number&gt;&lt;dates&gt;&lt;year&gt;&lt;style face="normal" font="default" size="100%"&gt;2018&lt;/style&gt;&lt;/year&gt;&lt;/dates&gt;&lt;isbn&gt;&lt;style face="normal" font="default" size="100%"&gt;0098-7484&lt;/style&gt;&lt;/isbn&gt;&lt;abstract&gt;&lt;style face="normal" font="default" size="100%"&gt;Preprints are versions of articles that are made publicly available prior to peer-reviewed publication, are widely used in physical sciences, and are now emerging in life sciences. Preprints provide immediate access to new information; however, articles not formally peer reviewed may contain errors in methods, results, or interpretation.As preprints in medicine are debated, data on how preprints are used, cited, and published are needed. We evaluated views and downloads and Altmetric scores and citations of preprints and their publications. We also assessed whether Altmetric scores and citations of published articles correlated with prior preprint posting.&lt;/style&gt;&lt;/abstract&gt;&lt;urls&gt;&lt;related-urls&gt;&lt;url&gt;&lt;style face="normal" font="default" size="100%"&gt;https://doi.org/10.1001/jama.2017.21168&lt;/style&gt;&lt;/url&gt;&lt;/related-urls&gt;&lt;/urls&gt;&lt;electronic-resource-num&gt;&lt;style face="normal" font="default" size="100%"&gt;10.1001/jama.2017.21168&lt;/style&gt;&lt;/electronic-resource-num&gt;&lt;access-date&gt;&lt;style face="normal" font="default" size="100%"&gt;5/29/2021&lt;/style&gt;&lt;/access-date&gt;&lt;/record&gt;&lt;/Cite&gt;&lt;Cite  &gt;&lt;Author&gt;Fu, Darwin Y.; Hughey, Jacob J.; Rodgers, Peter; Amaral, Olavo&lt;/Author&gt;&lt;Year&gt;2019&lt;/Year&gt;&lt;RecNum&gt;7150&lt;/RecNum&gt;&lt;Prefix&gt;&lt;/Prefix&gt;&lt;Suffix&gt;&lt;/Suffix&gt;&lt;Pages&gt;&lt;/Pages&gt;&lt;record&gt;&lt;database name="lit_2021.enl" path="/Volumes/zendata/tC/references/2021/lit_2021.enl"&gt;lit_2021.enl&lt;/database&gt;&lt;source-app name="EndNote" version="19.3"&gt;EndNote&lt;/source-app&gt;&lt;rec-number&gt;7150&lt;/rec-number&gt;&lt;foreign-keys&gt;&lt;key app="EN" db-id="zv9tw0t2n2xfdiet259x2tdh09prp29zrxsv"&gt;7150&lt;/key&gt;&lt;/foreign-keys&gt;&lt;ref-type name="Journal Article"&gt;17&lt;/ref-type&gt;&lt;contributors&gt;&lt;authors&gt;&lt;author&gt;&lt;style face="normal" font="default" size="100%"&gt;Fu, Darwin Y.&lt;/style&gt;&lt;/author&gt;&lt;author&gt;&lt;style face="normal" font="default" size="100%"&gt;Hughey, Jacob J.&lt;/style&gt;&lt;/author&gt;&lt;/authors&gt;&lt;secondary-authors&gt;&lt;author&gt;&lt;style face="normal" font="default" size="100%"&gt;Rodgers, Peter&lt;/style&gt;&lt;/author&gt;&lt;author&gt;&lt;style face="normal" font="default" size="100%"&gt;Amaral, Olavo&lt;/style&gt;&lt;/author&gt;&lt;/secondary-authors&gt;&lt;/contributors&gt;&lt;titles&gt;&lt;title&gt;&lt;style face="normal" font="default" size="100%"&gt;Releasing a preprint is associated with more attention and citations for the peer-reviewed article&lt;/style&gt;&lt;/title&gt;&lt;secondary-title&gt;&lt;style face="normal" font="default" size="100%"&gt;eLife&lt;/style&gt;&lt;/secondary-title&gt;&lt;/titles&gt;&lt;periodical&gt;&lt;full-title&gt;&lt;style face="normal" font="default" size="100%"&gt;eLife&lt;/style&gt;&lt;/full-title&gt;&lt;/periodical&gt;&lt;pages&gt;&lt;style face="normal" font="default" size="100%"&gt;e52646&lt;/style&gt;&lt;/pages&gt;&lt;volume&gt;&lt;style face="normal" font="default" size="100%"&gt;8&lt;/style&gt;&lt;/volume&gt;&lt;keywords&gt;&lt;keyword&gt;&lt;style face="normal" font="default" size="100%"&gt;preprints&lt;/style&gt;&lt;/keyword&gt;&lt;keyword&gt;&lt;style face="normal" font="default" size="100%"&gt;scientific publishing&lt;/style&gt;&lt;/keyword&gt;&lt;keyword&gt;&lt;style face="normal" font="default" size="100%"&gt;citations&lt;/style&gt;&lt;/keyword&gt;&lt;/keywords&gt;&lt;dates&gt;&lt;year&gt;&lt;style face="normal" font="default" size="100%"&gt;2019&lt;/style&gt;&lt;/year&gt;&lt;pub-dates&gt;&lt;date&gt;&lt;style face="normal" font="default" size="100%"&gt;2019/12/06&lt;/style&gt;&lt;/date&gt;&lt;/pub-dates&gt;&lt;/dates&gt;&lt;publisher&gt;&lt;style face="normal" font="default" size="100%"&gt;eLife Sciences Publications, Ltd&lt;/style&gt;&lt;/publisher&gt;&lt;isbn&gt;&lt;style face="normal" font="default" size="100%"&gt;2050-084X&lt;/style&gt;&lt;/isbn&gt;&lt;abstract&gt;&lt;style face="normal" font="default" size="100%"&gt;Preprints in biology are becoming more popular, but only a small fraction of the articles published in peer-reviewed journals have previously been released as preprints. To examine whether releasing a preprint on bioRxiv was associated with the attention and citations received by the corresponding peer-reviewed article, we assembled a dataset of 74,239 articles, 5,405 of which had a preprint, published in 39 journals. Using log-linear regression and random-effects meta-analysis, we found that articles with a preprint had, on average, a 49% higher Altmetric Attention Score and 36% more citations than articles without a preprint. These associations were independent of several other article- and author-level variables (such as scientific subfield and number of authors), and were unrelated to journal-level variables such as access model and Impact Factor. This observational study can help researchers and publishers make informed decisions about how to incorporate preprints into their work.&lt;/style&gt;&lt;/abstract&gt;&lt;urls&gt;&lt;related-urls&gt;&lt;url&gt;&lt;style face="normal" font="default" size="100%"&gt;https://doi.org/10.7554/eLife.52646&lt;/style&gt;&lt;/url&gt;&lt;/related-urls&gt;&lt;/urls&gt;&lt;custom1&gt;&lt;style face="normal" font="default" size="100%"&gt;eLife 2019;8:e52646&lt;/style&gt;&lt;/custom1&gt;&lt;electronic-resource-num&gt;&lt;style face="normal" font="default" size="100%"&gt;10.7554/eLife.52646&lt;/style&gt;&lt;/electronic-resource-num&gt;&lt;/record&gt;&lt;/Cite&gt;&lt;/EndNote&gt;</w:instrText>
      </w:r>
      <w:r>
        <w:rPr/>
        <w:fldChar w:fldCharType="separate" w:fldLock="0"/>
      </w:r>
      <w:r>
        <w:rPr>
          <w:rtl w:val="0"/>
          <w:lang w:val="it-IT"/>
        </w:rPr>
        <w:t>(Eysenbach, 2006; Fu &amp; Hughey, 2019; Serghiou &amp; Ioannidis, 2018; Shuai et al., 2012)</w:t>
      </w:r>
      <w:r>
        <w:rPr/>
        <w:fldChar w:fldCharType="end" w:fldLock="0"/>
      </w:r>
      <w:r>
        <w:rPr>
          <w:rtl w:val="0"/>
          <w:lang w:val="en-US"/>
        </w:rPr>
        <w:t xml:space="preserve">. </w:t>
      </w:r>
      <w:r>
        <w:rPr>
          <w:rtl w:val="0"/>
          <w:lang w:val="en-US"/>
        </w:rPr>
        <w:t>More broadly, it accelerates collective discovery.</w:t>
      </w:r>
      <w:r>
        <w:rPr>
          <w:rtl w:val="0"/>
          <w:lang w:val="en-US"/>
        </w:rPr>
        <w:t xml:space="preserve"> More specifically, open data are more cited </w:t>
      </w:r>
      <w:r>
        <w:rPr/>
        <w:fldChar w:fldCharType="begin" w:fldLock="0"/>
      </w:r>
      <w:r>
        <w:instrText xml:space="preserve"> ADDIN EN.CITE &lt;EndNote&gt;&lt;Cite  &gt;&lt;Author&gt;Piwowar, Heather A.; Vision, Todd J.; Huang, Xiaolei&lt;/Author&gt;&lt;Year&gt;2013&lt;/Year&gt;&lt;Prefix&gt;&lt;/Prefix&gt;&lt;Suffix&gt;&lt;/Suffix&gt;&lt;Pages&gt;&lt;/Pages&gt;&lt;DisplayText&gt;(Piwowar &amp; Vision, 2013)&lt;/DisplayText&gt;&lt;record&gt;&lt;database name="lit_2021.enl" path="/Volumes/zendata/tC/references/2021/lit_2021.enl"&gt;lit_2021.enl&lt;/database&gt;&lt;source-app name="EndNote" version="19.3"&gt;EndNote&lt;/source-app&gt;&lt;rec-number&gt;4983&lt;/rec-number&gt;&lt;foreign-keys&gt;&lt;key app="EN" db-id="zv9tw0t2n2xfdiet259x2tdh09prp29zrxsv"&gt;4983&lt;/key&gt;&lt;/foreign-keys&gt;&lt;ref-type name="Journal Article"&gt;17&lt;/ref-type&gt;&lt;contributors&gt;&lt;authors&gt;&lt;author&gt;&lt;style face="normal" font="default" size="100%"&gt;Piwowar, Heather A.&lt;/style&gt;&lt;/author&gt;&lt;author&gt;&lt;style face="normal" font="default" size="100%"&gt;Vision, Todd J.&lt;/style&gt;&lt;/author&gt;&lt;/authors&gt;&lt;secondary-authors&gt;&lt;author&gt;&lt;style face="normal" font="default" size="100%"&gt;Huang, Xiaolei&lt;/style&gt;&lt;/author&gt;&lt;/secondary-authors&gt;&lt;/contributors&gt;&lt;titles&gt;&lt;title&gt;&lt;style face="normal" font="default" size="100%"&gt;Data reuse and the open data citation advantage&lt;/style&gt;&lt;/title&gt;&lt;secondary-title&gt;&lt;style face="normal" font="default" size="100%"&gt;PeerJ&lt;/style&gt;&lt;/secondary-title&gt;&lt;alt-title&gt;&lt;style face="normal" font="default" size="100%"&gt;PeerJ&lt;/style&gt;&lt;/alt-title&gt;&lt;/titles&gt;&lt;periodical&gt;&lt;full-title&gt;&lt;style face="normal" font="default" size="100%"&gt;PeerJ&lt;/style&gt;&lt;/full-title&gt;&lt;/periodical&gt;&lt;alt-periodical&gt;&lt;full-title&gt;&lt;style face="normal" font="default" size="100%"&gt;PeerJ&lt;/style&gt;&lt;/full-title&gt;&lt;/alt-periodical&gt;&lt;pages&gt;&lt;style face="normal" font="default" size="100%"&gt;e175&lt;/style&gt;&lt;/pages&gt;&lt;volume&gt;&lt;style face="normal" font="default" size="100%"&gt;1&lt;/style&gt;&lt;/volume&gt;&lt;keywords&gt;&lt;keyword&gt;&lt;style face="normal" font="default" size="100%"&gt;Data reuse&lt;/style&gt;&lt;/keyword&gt;&lt;keyword&gt;&lt;style face="normal" font="default" size="100%"&gt;Data repositories&lt;/style&gt;&lt;/keyword&gt;&lt;keyword&gt;&lt;style face="normal" font="default" size="100%"&gt;Gene expression microarray&lt;/style&gt;&lt;/keyword&gt;&lt;keyword&gt;&lt;style face="normal" font="default" size="100%"&gt;Incentives&lt;/style&gt;&lt;/keyword&gt;&lt;keyword&gt;&lt;style face="normal" font="default" size="100%"&gt;Data archiving&lt;/style&gt;&lt;/keyword&gt;&lt;keyword&gt;&lt;style face="normal" font="default" size="100%"&gt;Open data&lt;/style&gt;&lt;/keyword&gt;&lt;keyword&gt;&lt;style face="normal" font="default" size="100%"&gt;Bibliometrics&lt;/style&gt;&lt;/keyword&gt;&lt;keyword&gt;&lt;style face="normal" font="default" size="100%"&gt;Information science&lt;/style&gt;&lt;/keyword&gt;&lt;/keywords&gt;&lt;dates&gt;&lt;year&gt;&lt;style face="normal" font="default" size="100%"&gt;2013&lt;/style&gt;&lt;/year&gt;&lt;pub-dates&gt;&lt;date&gt;&lt;style face="normal" font="default" size="100%"&gt;2013/10/01&lt;/style&gt;&lt;/date&gt;&lt;/pub-dates&gt;&lt;/dates&gt;&lt;isbn&gt;&lt;style face="normal" font="default" size="100%"&gt;2167-8359&lt;/style&gt;&lt;/isbn&gt;&lt;abstract&gt;&lt;style face="normal" font="default" size="100%"&gt;Background. Attribution to the original contributor upon reuse of published data is important both as a reward for data creators and to document the provenance of research findings. Previous studies have found that papers with publicly available datasets receive a higher number of citations than similar studies without available data. However, few previous analyses have had the statistical power to control for the many variables known to predict citation rate, which has led to uncertain estimates of the “citation benefit”. Furthermore, little is known about patterns in data reuse over time and across datasets. Method and Results. Here, we look at citation rates while controlling for many known citation predictors and investigate the variability of data reuse. In a multivariate regression on 10,555 studies that created gene expression microarray data, we found that studies that made data available in a public repository received 9% (95% confidence interval: 5% to 13%) more citations than similar studies for which the data was not made available. Date of publication, journal impact factor, open access status, number of authors, first and last author publication history, corresponding author country, institution citation history, and study topic were included as covariates. The citation benefit varied with date of dataset deposition: a citation benefit was most clear for papers published in 2004 and 2005, at about 30%. Authors published most papers using their own datasets within two years of their first publication on the dataset, whereas data reuse papers published by third-party investigators continued to accumulate for at least six years. To study patterns of data reuse directly, we compiled 9,724 instances of third party data reuse via mention of GEO or ArrayExpress accession numbers in the full text of papers. The level of third-party data use was high: for 100 datasets deposited in year 0, we estimated that 40 papers in PubMed reused a dataset by year 2, 100 by year 4, and more than 150 data reuse papers had been published by year 5. Data reuse was distributed across a broad base of datasets: a very conservative estimate found that 20% of the datasets deposited between 2003 and 2007 had been reused at least once by third parties. Conclusion. After accounting for other factors affecting citation rate, we find a robust citation benefit from open data, although a smaller one than previously reported. We conclude there is a direct effect of third-party data reuse that persists for years beyond the time when researchers have published most of the papers reusing their own data. Other factors that may also contribute to the citation benefit are considered. We further conclude that, at least for gene expression microarray data, a substantial fraction of archived datasets are reused, and that the intensity of dataset reuse has been steadily increasing since 2003.&lt;/style&gt;&lt;/abstract&gt;&lt;urls&gt;&lt;related-urls&gt;&lt;url&gt;&lt;style face="normal" font="default" size="100%"&gt;https://doi.org/10.7717/peerj.175&lt;/style&gt;&lt;/url&gt;&lt;/related-urls&gt;&lt;/urls&gt;&lt;electronic-resource-num&gt;&lt;style face="normal" font="default" size="100%"&gt;10.7717/peerj.175&lt;/style&gt;&lt;/electronic-resource-num&gt;&lt;/record&gt;&lt;/Cite&gt;&lt;/EndNote&gt;</w:instrText>
      </w:r>
      <w:r>
        <w:rPr/>
        <w:fldChar w:fldCharType="separate" w:fldLock="0"/>
      </w:r>
      <w:r>
        <w:rPr>
          <w:rtl w:val="0"/>
        </w:rPr>
        <w:t>(Piwowar &amp; Vision, 2013)</w:t>
      </w:r>
      <w:r>
        <w:rPr/>
        <w:fldChar w:fldCharType="end" w:fldLock="0"/>
      </w:r>
      <w:r>
        <w:rPr>
          <w:rtl w:val="0"/>
          <w:lang w:val="en-US"/>
        </w:rPr>
        <w:t xml:space="preserve"> and sooner extends the citation window. Sharing an idea in different forms such as a paper (written word), data, code, or visually through slide decks also promotes a more accessible and diverse set of opportunities for people to engage with concepts. Next, this is more speculative and cultural, sharing your data sooner sends a signal that you are committed to open science right the start. That is not to say that one should be disadvantaged if they cannot publish data before a paper, but that when possible, sharing and at least getting the data accessibility statement sorted for the submission of papers signals good will to editors and referees that the community can or will be able access the supporting evidence directly. Researchers can also cite their own data in the paper if available in advance </w:t>
      </w:r>
      <w:r>
        <w:rPr/>
        <w:fldChar w:fldCharType="begin" w:fldLock="0"/>
      </w:r>
      <w:r>
        <w:instrText xml:space="preserve"> ADDIN EN.CITE &lt;EndNote&gt;&lt;Cite  &gt;&lt;Author&gt;Zhao, Mengnan; Yan, Erjia; Li, Kai&lt;/Author&gt;&lt;Year&gt;2018&lt;/Year&gt;&lt;RecNum&gt;7153&lt;/RecNum&gt;&lt;Prefix&gt;&lt;/Prefix&gt;&lt;Suffix&gt;&lt;/Suffix&gt;&lt;Pages&gt;&lt;/Pages&gt;&lt;DisplayText&gt;(Zhao et al., 2018)&lt;/DisplayText&gt;&lt;record&gt;&lt;database name="lit_2021.enl" path="/Volumes/zendata/tC/references/2021/lit_2021.enl"&gt;lit_2021.enl&lt;/database&gt;&lt;source-app name="EndNote" version="19.3"&gt;EndNote&lt;/source-app&gt;&lt;rec-number&gt;7153&lt;/rec-number&gt;&lt;foreign-keys&gt;&lt;key app="EN" db-id="zv9tw0t2n2xfdiet259x2tdh09prp29zrxsv"&gt;7153&lt;/key&gt;&lt;/foreign-keys&gt;&lt;ref-type name="Journal Article"&gt;17&lt;/ref-type&gt;&lt;contributors&gt;&lt;authors&gt;&lt;author&gt;&lt;style face="normal" font="default" size="100%"&gt;Zhao, Mengnan&lt;/style&gt;&lt;/author&gt;&lt;author&gt;&lt;style face="normal" font="default" size="100%"&gt;Yan, Erjia&lt;/style&gt;&lt;/author&gt;&lt;author&gt;&lt;style face="normal" font="default" size="100%"&gt;Li, Kai&lt;/style&gt;&lt;/author&gt;&lt;/authors&gt;&lt;/contributors&gt;&lt;titles&gt;&lt;title&gt;&lt;style face="normal" font="default" size="100%"&gt;Data set mentions and citations: A content analysis of full-text publications&lt;/style&gt;&lt;/title&gt;&lt;secondary-title&gt;&lt;style face="normal" font="default" size="100%"&gt;Journal of the Association for Information Science and Technology&lt;/style&gt;&lt;/secondary-title&gt;&lt;/titles&gt;&lt;periodical&gt;&lt;full-title&gt;&lt;style face="normal" font="default" size="100%"&gt;Journal of the Association for Information Science and Technology&lt;/style&gt;&lt;/full-title&gt;&lt;/periodical&gt;&lt;pages&gt;&lt;style face="normal" font="default" size="100%"&gt;32-46&lt;/style&gt;&lt;/pages&gt;&lt;volume&gt;&lt;style face="normal" font="default" size="100%"&gt;69&lt;/style&gt;&lt;/volume&gt;&lt;number&gt;&lt;style face="normal" font="default" size="100%"&gt;1&lt;/style&gt;&lt;/number&gt;&lt;dates&gt;&lt;year&gt;&lt;style face="normal" font="default" size="100%"&gt;2018&lt;/style&gt;&lt;/year&gt;&lt;pub-dates&gt;&lt;date&gt;&lt;style face="normal" font="default" size="100%"&gt;2018/01/01&lt;/style&gt;&lt;/date&gt;&lt;/pub-dates&gt;&lt;/dates&gt;&lt;publisher&gt;&lt;style face="normal" font="default" size="100%"&gt;John Wiley &amp;amp; Sons, Ltd&lt;/style&gt;&lt;/publisher&gt;&lt;isbn&gt;&lt;style face="normal" font="default" size="100%"&gt;2330-1635&lt;/style&gt;&lt;/isbn&gt;&lt;abstract&gt;&lt;style face="normal" font="default" size="100%"&gt;This study provides evidence of data set mentions and citations in multiple disciplines based on a content analysis of 600 publications in PLoS One. We find that data set mentions and citations varied greatly among disciplines in terms of how data sets were collected, referenced, and curated. While a majority of articles provided free access to data, formal ways of data attribution such as DOIs and data citations were used in a limited number of articles. In addition, data reuse took place in less than 30% of the publications that used data, suggesting that researchers are still inclined to create and use their own data sets, rather than reusing previously curated data. This paper provides a comprehensive understanding of how data sets are used in science and helps institutions and publishers make useful data policies.&lt;/style&gt;&lt;/abstract&gt;&lt;notes&gt;&lt;style face="normal" font="default" size="100%"&gt;https://doi.org/10.1002/asi.23919&lt;/style&gt;&lt;/notes&gt;&lt;work-type&gt;&lt;style face="normal" font="default" size="100%"&gt;https://doi.org/10.1002/asi.23919&lt;/style&gt;&lt;/work-type&gt;&lt;urls&gt;&lt;related-urls&gt;&lt;url&gt;&lt;style face="normal" font="default" size="100%"&gt;https://doi.org/10.1002/asi.23919&lt;/style&gt;&lt;/url&gt;&lt;/related-urls&gt;&lt;/urls&gt;&lt;electronic-resource-num&gt;&lt;style face="normal" font="default" size="100%"&gt;https://doi.org/10.1002/asi.23919&lt;/style&gt;&lt;/electronic-resource-num&gt;&lt;access-date&gt;&lt;style face="normal" font="default" size="100%"&gt;2021/05/29&lt;/style&gt;&lt;/access-date&gt;&lt;/record&gt;&lt;/Cite&gt;&lt;/EndNote&gt;</w:instrText>
      </w:r>
      <w:r>
        <w:rPr/>
        <w:fldChar w:fldCharType="separate" w:fldLock="0"/>
      </w:r>
      <w:r>
        <w:rPr>
          <w:rtl w:val="0"/>
        </w:rPr>
        <w:t>(Zhao et al., 2018)</w:t>
      </w:r>
      <w:r>
        <w:rPr/>
        <w:fldChar w:fldCharType="end" w:fldLock="0"/>
      </w:r>
      <w:r>
        <w:rPr>
          <w:rtl w:val="0"/>
          <w:lang w:val="en-US"/>
        </w:rPr>
        <w:t xml:space="preserve">. Finally, data are a valid research object and an opportunity to acknowledge and provide attribution. These can be contributions and recognition associated with the data collection that may not necessarily be reflected in the authorship of the publication or report (i.e. paid technicians or others contributed to this component). Unfortunately, it is also not a given that data or evidence collected will always becomes a pre-print, paper, or written document describing and reporting on the evidence collected. Data published at this stage of a research endeavour thus represent a chance for immediate attribution. Most data repositories in ecology and evolution are primarily reviewed or checked for technical correctness and thus ensure that sharing is a viable opportunity for communicating findings in this form and recognizing participants in this process. Collectively, these latter three benefits highlight a moment in the scientific process to address more expeditious sharing and new ways to think about data publication as an instrument to shift the culture of science. </w:t>
      </w:r>
    </w:p>
    <w:p>
      <w:pPr>
        <w:pStyle w:val="Body"/>
        <w:spacing w:line="480" w:lineRule="auto"/>
      </w:pPr>
    </w:p>
    <w:p>
      <w:pPr>
        <w:pStyle w:val="Body"/>
        <w:spacing w:line="480" w:lineRule="auto"/>
        <w:rPr>
          <w:b w:val="1"/>
          <w:bCs w:val="1"/>
        </w:rPr>
      </w:pPr>
      <w:r>
        <w:rPr>
          <w:b w:val="1"/>
          <w:bCs w:val="1"/>
          <w:rtl w:val="0"/>
          <w:lang w:val="en-US"/>
        </w:rPr>
        <w:t>Implications</w:t>
      </w:r>
    </w:p>
    <w:p>
      <w:pPr>
        <w:pStyle w:val="Body"/>
        <w:spacing w:line="480" w:lineRule="auto"/>
      </w:pPr>
      <w:r>
        <w:rPr>
          <w:rtl w:val="0"/>
          <w:lang w:val="en-US"/>
        </w:rPr>
        <w:t xml:space="preserve">Now, could someone else find </w:t>
      </w:r>
      <w:r>
        <w:rPr>
          <w:rtl w:val="0"/>
          <w:lang w:val="en-US"/>
        </w:rPr>
        <w:t>your data</w:t>
      </w:r>
      <w:r>
        <w:rPr>
          <w:rtl w:val="0"/>
          <w:lang w:val="en-US"/>
        </w:rPr>
        <w:t xml:space="preserve"> and use it? Sure. </w:t>
      </w:r>
      <w:r>
        <w:rPr>
          <w:rtl w:val="0"/>
          <w:lang w:val="en-US"/>
        </w:rPr>
        <w:t>However, t</w:t>
      </w:r>
      <w:r>
        <w:rPr>
          <w:rtl w:val="0"/>
          <w:lang w:val="en-US"/>
        </w:rPr>
        <w:t xml:space="preserve">hey are unlikely to write the same paper(s) </w:t>
      </w:r>
      <w:r>
        <w:rPr>
          <w:rtl w:val="0"/>
          <w:lang w:val="en-US"/>
        </w:rPr>
        <w:t>one</w:t>
      </w:r>
      <w:r>
        <w:rPr>
          <w:rtl w:val="0"/>
          <w:lang w:val="en-US"/>
        </w:rPr>
        <w:t xml:space="preserve"> may or may </w:t>
      </w:r>
      <w:r>
        <w:rPr>
          <w:rtl w:val="0"/>
          <w:lang w:val="en-US"/>
        </w:rPr>
        <w:t>not</w:t>
      </w:r>
      <w:r>
        <w:rPr>
          <w:rtl w:val="0"/>
          <w:lang w:val="en-US"/>
        </w:rPr>
        <w:t xml:space="preserve"> write about the work. </w:t>
      </w:r>
      <w:r>
        <w:rPr>
          <w:rtl w:val="0"/>
          <w:lang w:val="en-US"/>
        </w:rPr>
        <w:t>The nuances of ecology and evolution and perhaps many disciplines that use a wide palette of experimental and synthesis tools likely limits the capacity for direct experimental replication from a dataset without additional details of the methods. Nonetheless, others can and will</w:t>
      </w:r>
      <w:r>
        <w:rPr>
          <w:rtl w:val="0"/>
          <w:lang w:val="en-US"/>
        </w:rPr>
        <w:t xml:space="preserve"> find a new use </w:t>
      </w:r>
      <w:r>
        <w:rPr>
          <w:rtl w:val="0"/>
          <w:lang w:val="en-US"/>
        </w:rPr>
        <w:t>for the data.</w:t>
      </w:r>
      <w:r>
        <w:rPr>
          <w:rtl w:val="0"/>
        </w:rPr>
        <w:t xml:space="preserve"> </w:t>
      </w:r>
      <w:r>
        <w:rPr>
          <w:rtl w:val="0"/>
          <w:lang w:val="en-US"/>
        </w:rPr>
        <w:t>So, there is not zero</w:t>
      </w:r>
      <w:r>
        <w:rPr>
          <w:rtl w:val="0"/>
          <w:lang w:val="en-US"/>
        </w:rPr>
        <w:t xml:space="preserve"> risk to us of being scooped</w:t>
      </w:r>
      <w:r>
        <w:rPr>
          <w:rtl w:val="0"/>
          <w:lang w:val="en-US"/>
        </w:rPr>
        <w:t>,</w:t>
      </w:r>
      <w:r>
        <w:rPr>
          <w:rtl w:val="0"/>
          <w:lang w:val="en-US"/>
        </w:rPr>
        <w:t xml:space="preserve"> but </w:t>
      </w:r>
      <w:r>
        <w:rPr>
          <w:rtl w:val="0"/>
          <w:lang w:val="en-US"/>
        </w:rPr>
        <w:t>one</w:t>
      </w:r>
      <w:r>
        <w:rPr>
          <w:rtl w:val="0"/>
        </w:rPr>
        <w:t xml:space="preserve"> do</w:t>
      </w:r>
      <w:r>
        <w:rPr>
          <w:rtl w:val="0"/>
          <w:lang w:val="en-US"/>
        </w:rPr>
        <w:t>es</w:t>
      </w:r>
      <w:r>
        <w:rPr>
          <w:rtl w:val="0"/>
        </w:rPr>
        <w:t xml:space="preserve"> risk </w:t>
      </w:r>
      <w:r>
        <w:rPr>
          <w:rtl w:val="0"/>
          <w:lang w:val="en-US"/>
        </w:rPr>
        <w:t xml:space="preserve">a lost chance for </w:t>
      </w:r>
      <w:r>
        <w:rPr>
          <w:rtl w:val="0"/>
          <w:lang w:val="en-US"/>
        </w:rPr>
        <w:t xml:space="preserve">attribution and provenance </w:t>
      </w:r>
      <w:r>
        <w:rPr>
          <w:rtl w:val="0"/>
          <w:lang w:val="en-US"/>
        </w:rPr>
        <w:t>for ideas (and people) embodied in the collection of those data</w:t>
      </w:r>
      <w:r>
        <w:rPr>
          <w:rtl w:val="0"/>
        </w:rPr>
        <w:t xml:space="preserve">.  </w:t>
      </w:r>
      <w:r>
        <w:rPr>
          <w:rtl w:val="0"/>
          <w:lang w:val="en-US"/>
        </w:rPr>
        <w:t>A critical implication is that we are</w:t>
      </w:r>
      <w:r>
        <w:rPr>
          <w:rtl w:val="0"/>
          <w:lang w:val="en-US"/>
        </w:rPr>
        <w:t xml:space="preserve"> often obligated by funders to publish data, and </w:t>
      </w:r>
      <w:r>
        <w:rPr>
          <w:rtl w:val="0"/>
          <w:lang w:val="en-US"/>
        </w:rPr>
        <w:t>as described above, lags in peer review can be a real challenge and publication may not always be synchronous with the grant reporting cycle. Writing meta-data does consume</w:t>
      </w:r>
      <w:r>
        <w:rPr>
          <w:rtl w:val="0"/>
          <w:lang w:val="en-US"/>
        </w:rPr>
        <w:t xml:space="preserve"> time </w:t>
      </w:r>
      <w:r>
        <w:rPr>
          <w:rtl w:val="0"/>
          <w:lang w:val="en-US"/>
        </w:rPr>
        <w:t>that is unavailable for</w:t>
      </w:r>
      <w:r>
        <w:rPr>
          <w:rtl w:val="0"/>
          <w:lang w:val="en-US"/>
        </w:rPr>
        <w:t xml:space="preserve"> other activities like writing the paper</w:t>
      </w:r>
      <w:r>
        <w:rPr>
          <w:rtl w:val="0"/>
          <w:lang w:val="en-US"/>
        </w:rPr>
        <w:t>, but we are likely to commit the time at some point to satisfy requirements of agencies</w:t>
      </w:r>
      <w:r>
        <w:rPr>
          <w:rtl w:val="0"/>
        </w:rPr>
        <w:t>.</w:t>
      </w:r>
      <w:r>
        <w:rPr>
          <w:rtl w:val="0"/>
          <w:lang w:val="en-US"/>
        </w:rPr>
        <w:t xml:space="preserve"> Returns are also potentially higher in net efficiency and in recognition and reuse that benefit the researcher and team in having more to report. The main implication is that publishing sooner likely simplifies and makes your scientific life easier. </w:t>
      </w:r>
      <w:r>
        <w:rPr>
          <w:rtl w:val="0"/>
          <w:lang w:val="en-US"/>
        </w:rPr>
        <w:t xml:space="preserve">It </w:t>
      </w:r>
      <w:r>
        <w:rPr>
          <w:rtl w:val="0"/>
          <w:lang w:val="en-US"/>
        </w:rPr>
        <w:t>can support</w:t>
      </w:r>
      <w:r>
        <w:rPr>
          <w:rtl w:val="0"/>
          <w:lang w:val="en-US"/>
        </w:rPr>
        <w:t xml:space="preserve"> more efficient, rapid, </w:t>
      </w:r>
      <w:r>
        <w:rPr>
          <w:rtl w:val="0"/>
          <w:lang w:val="en-US"/>
        </w:rPr>
        <w:t xml:space="preserve">and </w:t>
      </w:r>
      <w:r>
        <w:rPr>
          <w:rtl w:val="0"/>
          <w:lang w:val="nl-NL"/>
        </w:rPr>
        <w:t>open</w:t>
      </w:r>
      <w:r>
        <w:rPr>
          <w:rtl w:val="0"/>
          <w:lang w:val="en-US"/>
        </w:rPr>
        <w:t xml:space="preserve"> work.</w:t>
      </w:r>
      <w:r>
        <w:rPr>
          <w:rtl w:val="0"/>
        </w:rPr>
        <w:t xml:space="preserve"> So</w:t>
      </w:r>
      <w:r>
        <w:rPr>
          <w:rtl w:val="0"/>
          <w:lang w:val="en-US"/>
        </w:rPr>
        <w:t>, if can consider it for some of your data some of the time</w:t>
      </w:r>
      <w:r>
        <w:rPr>
          <w:rtl w:val="0"/>
          <w:lang w:val="en-US"/>
        </w:rPr>
        <w:t>, make a change and accelerate the research</w:t>
      </w:r>
      <w:r>
        <w:rPr>
          <w:rtl w:val="0"/>
          <w:lang w:val="en-US"/>
        </w:rPr>
        <w:t xml:space="preserve">, recognition, and reuse </w:t>
      </w:r>
      <w:r>
        <w:rPr>
          <w:rtl w:val="0"/>
          <w:lang w:val="en-US"/>
        </w:rPr>
        <w:t>process.  A little bit more speed and openness will ensure that the early bird gets the return.</w:t>
      </w:r>
      <w:r>
        <w:rPr>
          <w:rtl w:val="0"/>
          <w:lang w:val="en-US"/>
        </w:rPr>
        <w:t xml:space="preserve">  </w:t>
      </w:r>
      <w:r>
        <w:rPr>
          <w:rFonts w:ascii="Arial Unicode MS" w:cs="Arial Unicode MS" w:hAnsi="Arial Unicode MS" w:eastAsia="Arial Unicode MS"/>
          <w:b w:val="0"/>
          <w:bCs w:val="0"/>
          <w:i w:val="0"/>
          <w:iCs w:val="0"/>
        </w:rPr>
        <w:br w:type="page"/>
      </w:r>
    </w:p>
    <w:p>
      <w:pPr>
        <w:pStyle w:val="Body"/>
        <w:bidi w:val="0"/>
        <w:spacing w:line="480" w:lineRule="auto"/>
        <w:ind w:left="0" w:right="0" w:firstLine="0"/>
        <w:jc w:val="left"/>
        <w:rPr>
          <w:rFonts w:ascii="Arial" w:cs="Arial" w:hAnsi="Arial" w:eastAsia="Arial"/>
          <w:b w:val="1"/>
          <w:bCs w:val="1"/>
          <w:sz w:val="24"/>
          <w:szCs w:val="24"/>
          <w:u w:color="000000"/>
          <w:rtl w:val="0"/>
        </w:rPr>
      </w:pPr>
      <w:r>
        <w:rPr>
          <w:rFonts w:ascii="Arial" w:hAnsi="Arial"/>
          <w:b w:val="1"/>
          <w:bCs w:val="1"/>
          <w:sz w:val="24"/>
          <w:szCs w:val="24"/>
          <w:u w:color="000000"/>
          <w:rtl w:val="0"/>
          <w:lang w:val="en-US"/>
        </w:rPr>
        <w:t>Acknowledgements</w:t>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CJL is funded by an NSERC DG.  There are no conflicts of interest.</w:t>
      </w: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b w:val="1"/>
          <w:bCs w:val="1"/>
          <w:sz w:val="24"/>
          <w:szCs w:val="24"/>
          <w:u w:color="000000"/>
          <w:rtl w:val="0"/>
        </w:rPr>
      </w:pPr>
      <w:r>
        <w:rPr>
          <w:rFonts w:ascii="Arial" w:hAnsi="Arial"/>
          <w:b w:val="1"/>
          <w:bCs w:val="1"/>
          <w:sz w:val="24"/>
          <w:szCs w:val="24"/>
          <w:u w:color="000000"/>
          <w:rtl w:val="0"/>
          <w:lang w:val="en-US"/>
        </w:rPr>
        <w:t>Authors</w:t>
      </w:r>
      <w:r>
        <w:rPr>
          <w:rFonts w:ascii="Arial" w:hAnsi="Arial" w:hint="default"/>
          <w:b w:val="1"/>
          <w:bCs w:val="1"/>
          <w:sz w:val="24"/>
          <w:szCs w:val="24"/>
          <w:u w:color="000000"/>
          <w:rtl w:val="1"/>
        </w:rPr>
        <w:t xml:space="preserve">’ </w:t>
      </w:r>
      <w:r>
        <w:rPr>
          <w:rFonts w:ascii="Arial" w:hAnsi="Arial"/>
          <w:b w:val="1"/>
          <w:bCs w:val="1"/>
          <w:sz w:val="24"/>
          <w:szCs w:val="24"/>
          <w:u w:color="000000"/>
          <w:rtl w:val="0"/>
          <w:lang w:val="fr-FR"/>
        </w:rPr>
        <w:t>contributions</w:t>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CJL</w:t>
      </w:r>
      <w:r>
        <w:rPr>
          <w:rFonts w:ascii="Arial" w:hAnsi="Arial"/>
          <w:sz w:val="24"/>
          <w:szCs w:val="24"/>
          <w:u w:color="000000"/>
          <w:rtl w:val="0"/>
          <w:lang w:val="en-US"/>
        </w:rPr>
        <w:t xml:space="preserve"> and </w:t>
      </w:r>
      <w:r>
        <w:rPr>
          <w:rFonts w:ascii="Arial" w:hAnsi="Arial"/>
          <w:sz w:val="24"/>
          <w:szCs w:val="24"/>
          <w:u w:color="000000"/>
          <w:rtl w:val="0"/>
          <w:lang w:val="en-US"/>
        </w:rPr>
        <w:t>JF</w:t>
      </w:r>
      <w:r>
        <w:rPr>
          <w:rFonts w:ascii="Arial" w:hAnsi="Arial"/>
          <w:sz w:val="24"/>
          <w:szCs w:val="24"/>
          <w:u w:color="000000"/>
          <w:rtl w:val="0"/>
          <w:lang w:val="en-US"/>
        </w:rPr>
        <w:t xml:space="preserve"> conceived the ideas; </w:t>
      </w:r>
      <w:r>
        <w:rPr>
          <w:rFonts w:ascii="Arial" w:hAnsi="Arial"/>
          <w:sz w:val="24"/>
          <w:szCs w:val="24"/>
          <w:u w:color="000000"/>
          <w:rtl w:val="0"/>
          <w:lang w:val="en-US"/>
        </w:rPr>
        <w:t>CJL</w:t>
      </w:r>
      <w:r>
        <w:rPr>
          <w:rFonts w:ascii="Arial" w:hAnsi="Arial"/>
          <w:sz w:val="24"/>
          <w:szCs w:val="24"/>
          <w:u w:color="000000"/>
          <w:rtl w:val="0"/>
          <w:lang w:val="en-US"/>
        </w:rPr>
        <w:t xml:space="preserve"> and </w:t>
      </w:r>
      <w:r>
        <w:rPr>
          <w:rFonts w:ascii="Arial" w:hAnsi="Arial"/>
          <w:sz w:val="24"/>
          <w:szCs w:val="24"/>
          <w:u w:color="000000"/>
          <w:rtl w:val="0"/>
          <w:lang w:val="en-US"/>
        </w:rPr>
        <w:t>JF</w:t>
      </w:r>
      <w:r>
        <w:rPr>
          <w:rFonts w:ascii="Arial" w:hAnsi="Arial"/>
          <w:sz w:val="24"/>
          <w:szCs w:val="24"/>
          <w:u w:color="000000"/>
          <w:rtl w:val="0"/>
        </w:rPr>
        <w:t xml:space="preserve"> </w:t>
      </w:r>
      <w:r>
        <w:rPr>
          <w:rFonts w:ascii="Arial" w:hAnsi="Arial"/>
          <w:sz w:val="24"/>
          <w:szCs w:val="24"/>
          <w:u w:color="000000"/>
          <w:rtl w:val="0"/>
          <w:lang w:val="en-US"/>
        </w:rPr>
        <w:t>wrote</w:t>
      </w:r>
      <w:r>
        <w:rPr>
          <w:rFonts w:ascii="Arial" w:hAnsi="Arial"/>
          <w:sz w:val="24"/>
          <w:szCs w:val="24"/>
          <w:u w:color="000000"/>
          <w:rtl w:val="0"/>
          <w:lang w:val="en-US"/>
        </w:rPr>
        <w:t xml:space="preserve"> of the manuscript. All authors gave final approval for publication.</w:t>
      </w:r>
    </w:p>
    <w:p>
      <w:pPr>
        <w:pStyle w:val="Body"/>
        <w:bidi w:val="0"/>
        <w:spacing w:line="480" w:lineRule="auto"/>
        <w:ind w:left="0" w:right="0" w:firstLine="0"/>
        <w:jc w:val="left"/>
        <w:rPr>
          <w:rFonts w:ascii="Arial" w:cs="Arial" w:hAnsi="Arial" w:eastAsia="Arial"/>
          <w:sz w:val="24"/>
          <w:szCs w:val="24"/>
          <w:u w:color="000000"/>
          <w:rtl w:val="0"/>
        </w:rPr>
      </w:pPr>
    </w:p>
    <w:p>
      <w:pPr>
        <w:pStyle w:val="Body"/>
        <w:bidi w:val="0"/>
        <w:spacing w:line="480" w:lineRule="auto"/>
        <w:ind w:left="0" w:right="0" w:firstLine="0"/>
        <w:jc w:val="left"/>
        <w:rPr>
          <w:rFonts w:ascii="Arial" w:cs="Arial" w:hAnsi="Arial" w:eastAsia="Arial"/>
          <w:b w:val="1"/>
          <w:bCs w:val="1"/>
          <w:sz w:val="24"/>
          <w:szCs w:val="24"/>
          <w:u w:color="000000"/>
          <w:rtl w:val="0"/>
        </w:rPr>
      </w:pPr>
      <w:r>
        <w:rPr>
          <w:rFonts w:ascii="Arial" w:hAnsi="Arial"/>
          <w:b w:val="1"/>
          <w:bCs w:val="1"/>
          <w:sz w:val="24"/>
          <w:szCs w:val="24"/>
          <w:u w:color="000000"/>
          <w:rtl w:val="0"/>
          <w:lang w:val="en-US"/>
        </w:rPr>
        <w:t>Data availability</w:t>
      </w:r>
    </w:p>
    <w:p>
      <w:pPr>
        <w:pStyle w:val="Body"/>
        <w:bidi w:val="0"/>
        <w:spacing w:line="480" w:lineRule="auto"/>
        <w:ind w:left="0" w:right="0" w:firstLine="0"/>
        <w:jc w:val="left"/>
        <w:rPr>
          <w:rFonts w:ascii="Arial" w:cs="Arial" w:hAnsi="Arial" w:eastAsia="Arial"/>
          <w:sz w:val="24"/>
          <w:szCs w:val="24"/>
          <w:u w:color="000000"/>
          <w:rtl w:val="0"/>
        </w:rPr>
      </w:pPr>
      <w:r>
        <w:rPr>
          <w:rFonts w:ascii="Arial" w:hAnsi="Arial"/>
          <w:sz w:val="24"/>
          <w:szCs w:val="24"/>
          <w:u w:color="000000"/>
          <w:rtl w:val="0"/>
          <w:lang w:val="en-US"/>
        </w:rPr>
        <w:t>There are no data directly associated with this commentary</w:t>
      </w:r>
      <w:r>
        <w:rPr>
          <w:rFonts w:ascii="Arial" w:hAnsi="Arial"/>
          <w:sz w:val="24"/>
          <w:szCs w:val="24"/>
          <w:u w:color="000000"/>
          <w:rtl w:val="0"/>
        </w:rPr>
        <w:t xml:space="preserve">. </w:t>
      </w:r>
    </w:p>
    <w:p>
      <w:pPr>
        <w:pStyle w:val="Body"/>
        <w:bidi w:val="0"/>
        <w:spacing w:line="480" w:lineRule="auto"/>
        <w:ind w:left="0" w:right="0" w:firstLine="0"/>
        <w:jc w:val="left"/>
        <w:rPr>
          <w:rFonts w:ascii="Arial" w:cs="Arial" w:hAnsi="Arial" w:eastAsia="Arial"/>
          <w:sz w:val="24"/>
          <w:szCs w:val="24"/>
          <w:u w:color="000000"/>
          <w:rtl w:val="0"/>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b w:val="1"/>
          <w:bCs w:val="1"/>
        </w:rPr>
      </w:pPr>
      <w:r>
        <w:rPr>
          <w:b w:val="1"/>
          <w:bCs w:val="1"/>
          <w:rtl w:val="0"/>
          <w:lang w:val="en-US"/>
        </w:rPr>
        <w:t>Literature cited</w:t>
      </w:r>
    </w:p>
    <w:p>
      <w:pPr>
        <w:pStyle w:val="Body"/>
        <w:spacing w:line="480" w:lineRule="auto"/>
      </w:pPr>
      <w:r>
        <w:rPr/>
        <w:fldChar w:fldCharType="begin" w:fldLock="0"/>
      </w:r>
      <w:r>
        <w:instrText xml:space="preserve"> ADDIN EN.REFLIST </w:instrText>
      </w:r>
      <w:r>
        <w:rPr/>
        <w:fldChar w:fldCharType="separate" w:fldLock="0"/>
      </w:r>
    </w:p>
    <w:p>
      <w:pPr>
        <w:pStyle w:val="Body"/>
        <w:spacing w:line="480" w:lineRule="auto"/>
      </w:pPr>
      <w:r>
        <w:rPr>
          <w:rtl w:val="0"/>
          <w:lang w:val="en-US"/>
        </w:rPr>
        <w:t xml:space="preserve">Agley, J. (2020) Assessing changes in US public trust in science amid the COVID-19 pandemic. </w:t>
      </w:r>
      <w:r>
        <w:rPr>
          <w:i w:val="1"/>
          <w:iCs w:val="1"/>
          <w:rtl w:val="0"/>
          <w:lang w:val="en-US"/>
        </w:rPr>
        <w:t>Public Health</w:t>
      </w:r>
      <w:r>
        <w:rPr>
          <w:rtl w:val="0"/>
        </w:rPr>
        <w:t xml:space="preserve">, </w:t>
      </w:r>
      <w:r>
        <w:rPr>
          <w:b w:val="1"/>
          <w:bCs w:val="1"/>
          <w:rtl w:val="0"/>
        </w:rPr>
        <w:t>183</w:t>
      </w:r>
      <w:r>
        <w:rPr>
          <w:rtl w:val="0"/>
        </w:rPr>
        <w:t>, 122-125.</w:t>
      </w:r>
    </w:p>
    <w:p>
      <w:pPr>
        <w:pStyle w:val="Body"/>
        <w:spacing w:line="480" w:lineRule="auto"/>
      </w:pPr>
      <w:r>
        <w:rPr>
          <w:rtl w:val="0"/>
          <w:lang w:val="en-US"/>
        </w:rPr>
        <w:t xml:space="preserve">Allen, C. &amp; Mehler, D.M.A. (2019) Open science challenges, benefits and tips in early career and beyond. </w:t>
      </w:r>
      <w:r>
        <w:rPr>
          <w:i w:val="1"/>
          <w:iCs w:val="1"/>
          <w:rtl w:val="0"/>
        </w:rPr>
        <w:t>Plos Biology</w:t>
      </w:r>
      <w:r>
        <w:rPr>
          <w:rtl w:val="0"/>
        </w:rPr>
        <w:t xml:space="preserve">, </w:t>
      </w:r>
      <w:r>
        <w:rPr>
          <w:b w:val="1"/>
          <w:bCs w:val="1"/>
          <w:rtl w:val="0"/>
        </w:rPr>
        <w:t>17</w:t>
      </w:r>
      <w:r>
        <w:rPr>
          <w:rtl w:val="0"/>
          <w:lang w:val="en-US"/>
        </w:rPr>
        <w:t>, e3000246.</w:t>
      </w:r>
    </w:p>
    <w:p>
      <w:pPr>
        <w:pStyle w:val="Body"/>
        <w:spacing w:line="480" w:lineRule="auto"/>
      </w:pPr>
      <w:r>
        <w:rPr>
          <w:rtl w:val="0"/>
          <w:lang w:val="en-US"/>
        </w:rPr>
        <w:t>Bennett, E.M., Solan, M., Biggs, R., McPhearson, T., Norstr</w:t>
      </w:r>
      <w:r>
        <w:rPr>
          <w:rtl w:val="0"/>
          <w:lang w:val="sv-SE"/>
        </w:rPr>
        <w:t>ö</w:t>
      </w:r>
      <w:r>
        <w:rPr>
          <w:rtl w:val="0"/>
          <w:lang w:val="de-DE"/>
        </w:rPr>
        <w:t>m, A.V., Olsson, P., Pereira, L., Peterson, G.D., Raudsepp-Hearne, C., Biermann, F., Carpenter, S.R., Ellis, E.C., Hichert, T., Galaz, V., Lahsen, M., Milkoreit, M., Martin L</w:t>
      </w:r>
      <w:r>
        <w:rPr>
          <w:rtl w:val="0"/>
          <w:lang w:val="es-ES_tradnl"/>
        </w:rPr>
        <w:t>ó</w:t>
      </w:r>
      <w:r>
        <w:rPr>
          <w:rtl w:val="0"/>
          <w:lang w:val="nl-NL"/>
        </w:rPr>
        <w:t xml:space="preserve">pez, B., Nicholas, K.A., Preiser, R., Vince, G., Vervoort, J.M., &amp; Xu, J. (2016) Bright spots: seeds of a good Anthropocene. </w:t>
      </w:r>
      <w:r>
        <w:rPr>
          <w:i w:val="1"/>
          <w:iCs w:val="1"/>
          <w:rtl w:val="0"/>
          <w:lang w:val="en-US"/>
        </w:rPr>
        <w:t>Frontiers in Ecology and the Environment</w:t>
      </w:r>
      <w:r>
        <w:rPr>
          <w:rtl w:val="0"/>
        </w:rPr>
        <w:t xml:space="preserve">, </w:t>
      </w:r>
      <w:r>
        <w:rPr>
          <w:b w:val="1"/>
          <w:bCs w:val="1"/>
          <w:rtl w:val="0"/>
        </w:rPr>
        <w:t>14</w:t>
      </w:r>
      <w:r>
        <w:rPr>
          <w:rtl w:val="0"/>
        </w:rPr>
        <w:t>, 441-448.</w:t>
      </w:r>
    </w:p>
    <w:p>
      <w:pPr>
        <w:pStyle w:val="Body"/>
        <w:spacing w:line="480" w:lineRule="auto"/>
      </w:pPr>
      <w:r>
        <w:rPr>
          <w:rtl w:val="0"/>
          <w:lang w:val="en-US"/>
        </w:rPr>
        <w:t>Betts, M.G., Hadley, A.S., Frey, D.W., Frey, S.J.K., Gannon, D., Harris, S.H., Kim, H., Kormann, U.G., Leimberger, K., Moriarty, K., Northrup, J.M., Phalan, B., Rousseau, J.S., Stokely, T.D., Valente, J.J., Wolf, C., &amp; Z</w:t>
      </w:r>
      <w:r>
        <w:rPr>
          <w:rtl w:val="0"/>
        </w:rPr>
        <w:t>á</w:t>
      </w:r>
      <w:r>
        <w:rPr>
          <w:rtl w:val="0"/>
          <w:lang w:val="en-US"/>
        </w:rPr>
        <w:t xml:space="preserve">rrate-Charry, D. (2021) When are hypotheses useful in ecology and evolution? </w:t>
      </w:r>
      <w:r>
        <w:rPr>
          <w:i w:val="1"/>
          <w:iCs w:val="1"/>
          <w:rtl w:val="0"/>
          <w:lang w:val="en-US"/>
        </w:rPr>
        <w:t>Ecology and Evolution</w:t>
      </w:r>
      <w:r>
        <w:rPr>
          <w:rtl w:val="0"/>
        </w:rPr>
        <w:t xml:space="preserve">, </w:t>
      </w:r>
      <w:r>
        <w:rPr>
          <w:b w:val="1"/>
          <w:bCs w:val="1"/>
          <w:rtl w:val="0"/>
        </w:rPr>
        <w:t>n/a</w:t>
      </w:r>
      <w:r>
        <w:rPr>
          <w:rtl w:val="0"/>
        </w:rPr>
        <w:t>.</w:t>
      </w:r>
    </w:p>
    <w:p>
      <w:pPr>
        <w:pStyle w:val="Body"/>
        <w:spacing w:line="480" w:lineRule="auto"/>
      </w:pPr>
      <w:r>
        <w:rPr>
          <w:rtl w:val="0"/>
          <w:lang w:val="en-US"/>
        </w:rPr>
        <w:t>Buneman, P., Khanna, S., &amp; Tan, W.-C. (2002) On propagation of deletions and annotations through views. In Proceedings of the twenty-first ACM SIGMOD-SIGACT-SIGART symposium on Principles of database systems, pp. 150</w:t>
      </w:r>
      <w:r>
        <w:rPr>
          <w:rtl w:val="0"/>
        </w:rPr>
        <w:t>–</w:t>
      </w:r>
      <w:r>
        <w:rPr>
          <w:rtl w:val="0"/>
          <w:lang w:val="en-US"/>
        </w:rPr>
        <w:t>158. Association for Computing Machinery, Madison, Wisconsin.</w:t>
      </w:r>
    </w:p>
    <w:p>
      <w:pPr>
        <w:pStyle w:val="Body"/>
        <w:spacing w:line="480" w:lineRule="auto"/>
      </w:pPr>
      <w:r>
        <w:rPr>
          <w:rtl w:val="0"/>
          <w:lang w:val="en-US"/>
        </w:rPr>
        <w:t xml:space="preserve">Cooke, S.J., Gallagher, A.J., Sopinka, N.M., Nguyen, V.M., Skubel, R.A., Hammerschlag, N., Boon, S., Young, N., &amp; Danylchuk, A.J. (2017) Considerations for effective science communication. </w:t>
      </w:r>
      <w:r>
        <w:rPr>
          <w:i w:val="1"/>
          <w:iCs w:val="1"/>
          <w:rtl w:val="0"/>
          <w:lang w:val="de-DE"/>
        </w:rPr>
        <w:t>FACETS</w:t>
      </w:r>
      <w:r>
        <w:rPr>
          <w:rtl w:val="0"/>
        </w:rPr>
        <w:t xml:space="preserve">, </w:t>
      </w:r>
      <w:r>
        <w:rPr>
          <w:b w:val="1"/>
          <w:bCs w:val="1"/>
          <w:rtl w:val="0"/>
        </w:rPr>
        <w:t>2</w:t>
      </w:r>
      <w:r>
        <w:rPr>
          <w:rtl w:val="0"/>
        </w:rPr>
        <w:t>, 233.</w:t>
      </w:r>
    </w:p>
    <w:p>
      <w:pPr>
        <w:pStyle w:val="Body"/>
        <w:spacing w:line="480" w:lineRule="auto"/>
      </w:pPr>
      <w:r>
        <w:rPr>
          <w:rtl w:val="0"/>
          <w:lang w:val="en-US"/>
        </w:rPr>
        <w:t xml:space="preserve">Csiszar, A. (2016) Peer review: Troubled from the start. </w:t>
      </w:r>
      <w:r>
        <w:rPr>
          <w:i w:val="1"/>
          <w:iCs w:val="1"/>
          <w:rtl w:val="0"/>
          <w:lang w:val="fr-FR"/>
        </w:rPr>
        <w:t>Nature</w:t>
      </w:r>
      <w:r>
        <w:rPr>
          <w:rtl w:val="0"/>
        </w:rPr>
        <w:t xml:space="preserve">, </w:t>
      </w:r>
      <w:r>
        <w:rPr>
          <w:b w:val="1"/>
          <w:bCs w:val="1"/>
          <w:rtl w:val="0"/>
        </w:rPr>
        <w:t>532</w:t>
      </w:r>
      <w:r>
        <w:rPr>
          <w:rtl w:val="0"/>
          <w:lang w:val="it-IT"/>
        </w:rPr>
        <w:t>, 306-308.</w:t>
      </w:r>
    </w:p>
    <w:p>
      <w:pPr>
        <w:pStyle w:val="Body"/>
        <w:spacing w:line="480" w:lineRule="auto"/>
      </w:pPr>
      <w:r>
        <w:rPr>
          <w:rtl w:val="0"/>
          <w:lang w:val="en-US"/>
        </w:rPr>
        <w:t xml:space="preserve">Devine, D., Gaskell, J., Jennings, W., &amp; Stoker, G. (2020) Trust and the Coronavirus Pandemic: What are the Consequences of and for Trust? An Early Review of the Literature. </w:t>
      </w:r>
      <w:r>
        <w:rPr>
          <w:i w:val="1"/>
          <w:iCs w:val="1"/>
          <w:rtl w:val="0"/>
          <w:lang w:val="en-US"/>
        </w:rPr>
        <w:t>Political Studies Review</w:t>
      </w:r>
      <w:r>
        <w:rPr>
          <w:rtl w:val="0"/>
        </w:rPr>
        <w:t xml:space="preserve">, </w:t>
      </w:r>
      <w:r>
        <w:rPr>
          <w:b w:val="1"/>
          <w:bCs w:val="1"/>
          <w:rtl w:val="0"/>
        </w:rPr>
        <w:t>19</w:t>
      </w:r>
      <w:r>
        <w:rPr>
          <w:rtl w:val="0"/>
        </w:rPr>
        <w:t>, 274-285.</w:t>
      </w:r>
    </w:p>
    <w:p>
      <w:pPr>
        <w:pStyle w:val="Body"/>
        <w:spacing w:line="480" w:lineRule="auto"/>
      </w:pPr>
      <w:r>
        <w:rPr>
          <w:rtl w:val="0"/>
          <w:lang w:val="en-US"/>
        </w:rPr>
        <w:t xml:space="preserve">Eysenbach, G. (2006) Citation advantage of open access articles. </w:t>
      </w:r>
      <w:r>
        <w:rPr>
          <w:i w:val="1"/>
          <w:iCs w:val="1"/>
          <w:rtl w:val="0"/>
        </w:rPr>
        <w:t>Plos Biology</w:t>
      </w:r>
      <w:r>
        <w:rPr>
          <w:rtl w:val="0"/>
        </w:rPr>
        <w:t xml:space="preserve">, </w:t>
      </w:r>
      <w:r>
        <w:rPr>
          <w:b w:val="1"/>
          <w:bCs w:val="1"/>
          <w:rtl w:val="0"/>
        </w:rPr>
        <w:t>4</w:t>
      </w:r>
      <w:r>
        <w:rPr>
          <w:rtl w:val="0"/>
        </w:rPr>
        <w:t>, e157.</w:t>
      </w:r>
    </w:p>
    <w:p>
      <w:pPr>
        <w:pStyle w:val="Body"/>
        <w:spacing w:line="480" w:lineRule="auto"/>
      </w:pPr>
      <w:r>
        <w:rPr>
          <w:rtl w:val="0"/>
        </w:rPr>
        <w:t>Fagerstr</w:t>
      </w:r>
      <w:r>
        <w:rPr>
          <w:rtl w:val="0"/>
          <w:lang w:val="sv-SE"/>
        </w:rPr>
        <w:t>ö</w:t>
      </w:r>
      <w:r>
        <w:rPr>
          <w:rtl w:val="0"/>
          <w:lang w:val="en-US"/>
        </w:rPr>
        <w:t xml:space="preserve">m, T. (1987) On Theory, Data and Mathematics in Ecology. </w:t>
      </w:r>
      <w:r>
        <w:rPr>
          <w:i w:val="1"/>
          <w:iCs w:val="1"/>
          <w:rtl w:val="0"/>
        </w:rPr>
        <w:t>Oikos</w:t>
      </w:r>
      <w:r>
        <w:rPr>
          <w:rtl w:val="0"/>
        </w:rPr>
        <w:t xml:space="preserve">, </w:t>
      </w:r>
      <w:r>
        <w:rPr>
          <w:b w:val="1"/>
          <w:bCs w:val="1"/>
          <w:rtl w:val="0"/>
        </w:rPr>
        <w:t>50</w:t>
      </w:r>
      <w:r>
        <w:rPr>
          <w:rtl w:val="0"/>
        </w:rPr>
        <w:t>, 258-261.</w:t>
      </w:r>
    </w:p>
    <w:p>
      <w:pPr>
        <w:pStyle w:val="Body"/>
        <w:spacing w:line="480" w:lineRule="auto"/>
      </w:pPr>
      <w:r>
        <w:rPr>
          <w:rtl w:val="0"/>
          <w:lang w:val="en-US"/>
        </w:rPr>
        <w:t xml:space="preserve">Fan, W., Geerts, F., &amp; Wijsen, J. (2012) Determining the Currency of Data. </w:t>
      </w:r>
      <w:r>
        <w:rPr>
          <w:i w:val="1"/>
          <w:iCs w:val="1"/>
          <w:rtl w:val="0"/>
          <w:lang w:val="pt-PT"/>
        </w:rPr>
        <w:t>ACM Trans. Database Syst.</w:t>
      </w:r>
      <w:r>
        <w:rPr>
          <w:rtl w:val="0"/>
        </w:rPr>
        <w:t xml:space="preserve">, </w:t>
      </w:r>
      <w:r>
        <w:rPr>
          <w:b w:val="1"/>
          <w:bCs w:val="1"/>
          <w:rtl w:val="0"/>
        </w:rPr>
        <w:t>37</w:t>
      </w:r>
      <w:r>
        <w:rPr>
          <w:rtl w:val="0"/>
          <w:lang w:val="fr-FR"/>
        </w:rPr>
        <w:t>, Article 25.</w:t>
      </w:r>
    </w:p>
    <w:p>
      <w:pPr>
        <w:pStyle w:val="Body"/>
        <w:spacing w:line="480" w:lineRule="auto"/>
      </w:pPr>
      <w:r>
        <w:rPr>
          <w:rtl w:val="0"/>
          <w:lang w:val="en-US"/>
        </w:rPr>
        <w:t xml:space="preserve">Fanelli, D. (2018) Opinion: Is science really facing a reproducibility crisis, and do we need it to? </w:t>
      </w:r>
      <w:r>
        <w:rPr>
          <w:i w:val="1"/>
          <w:iCs w:val="1"/>
          <w:rtl w:val="0"/>
          <w:lang w:val="en-US"/>
        </w:rPr>
        <w:t>Proceedings of the National Academy of Sciences</w:t>
      </w:r>
      <w:r>
        <w:rPr>
          <w:rtl w:val="0"/>
        </w:rPr>
        <w:t xml:space="preserve">, </w:t>
      </w:r>
      <w:r>
        <w:rPr>
          <w:b w:val="1"/>
          <w:bCs w:val="1"/>
          <w:rtl w:val="0"/>
        </w:rPr>
        <w:t>115</w:t>
      </w:r>
      <w:r>
        <w:rPr>
          <w:rtl w:val="0"/>
        </w:rPr>
        <w:t>, 2628.</w:t>
      </w:r>
    </w:p>
    <w:p>
      <w:pPr>
        <w:pStyle w:val="Body"/>
        <w:spacing w:line="480" w:lineRule="auto"/>
      </w:pPr>
      <w:r>
        <w:rPr>
          <w:rtl w:val="0"/>
          <w:lang w:val="en-US"/>
        </w:rPr>
        <w:t xml:space="preserve">Fox, C.W., Paine, C.E.T., &amp; Sauterey, B. (2016) Citations increase with manuscript length, author number, and references cited in ecology journals. </w:t>
      </w:r>
      <w:r>
        <w:rPr>
          <w:i w:val="1"/>
          <w:iCs w:val="1"/>
          <w:rtl w:val="0"/>
          <w:lang w:val="en-US"/>
        </w:rPr>
        <w:t>Ecology and Evolution</w:t>
      </w:r>
      <w:r>
        <w:rPr>
          <w:rtl w:val="0"/>
        </w:rPr>
        <w:t xml:space="preserve">, </w:t>
      </w:r>
      <w:r>
        <w:rPr>
          <w:b w:val="1"/>
          <w:bCs w:val="1"/>
          <w:rtl w:val="0"/>
        </w:rPr>
        <w:t>6</w:t>
      </w:r>
      <w:r>
        <w:rPr>
          <w:rtl w:val="0"/>
        </w:rPr>
        <w:t>, 7717-7726.</w:t>
      </w:r>
    </w:p>
    <w:p>
      <w:pPr>
        <w:pStyle w:val="Body"/>
        <w:spacing w:line="480" w:lineRule="auto"/>
      </w:pPr>
      <w:r>
        <w:rPr>
          <w:rtl w:val="0"/>
          <w:lang w:val="en-US"/>
        </w:rPr>
        <w:t xml:space="preserve">Fu, D.Y. &amp; Hughey, J.J. (2019) Releasing a preprint is associated with more attention and citations for the peer-reviewed article. </w:t>
      </w:r>
      <w:r>
        <w:rPr>
          <w:i w:val="1"/>
          <w:iCs w:val="1"/>
          <w:rtl w:val="0"/>
          <w:lang w:val="en-US"/>
        </w:rPr>
        <w:t>eLife</w:t>
      </w:r>
      <w:r>
        <w:rPr>
          <w:rtl w:val="0"/>
        </w:rPr>
        <w:t xml:space="preserve">, </w:t>
      </w:r>
      <w:r>
        <w:rPr>
          <w:b w:val="1"/>
          <w:bCs w:val="1"/>
          <w:rtl w:val="0"/>
        </w:rPr>
        <w:t>8</w:t>
      </w:r>
      <w:r>
        <w:rPr>
          <w:rtl w:val="0"/>
        </w:rPr>
        <w:t>, e52646.</w:t>
      </w:r>
    </w:p>
    <w:p>
      <w:pPr>
        <w:pStyle w:val="Body"/>
        <w:spacing w:line="480" w:lineRule="auto"/>
      </w:pPr>
      <w:r>
        <w:rPr>
          <w:rtl w:val="0"/>
          <w:lang w:val="en-US"/>
        </w:rPr>
        <w:t xml:space="preserve">Gabrys, J., Pritchard, H., &amp; Barratt, B. (2016) Just good enough data: Figuring data citizenships through air pollution sensing and data stories. </w:t>
      </w:r>
      <w:r>
        <w:rPr>
          <w:i w:val="1"/>
          <w:iCs w:val="1"/>
          <w:rtl w:val="0"/>
          <w:lang w:val="it-IT"/>
        </w:rPr>
        <w:t>Big Data &amp; Society</w:t>
      </w:r>
      <w:r>
        <w:rPr>
          <w:rtl w:val="0"/>
        </w:rPr>
        <w:t xml:space="preserve">, </w:t>
      </w:r>
      <w:r>
        <w:rPr>
          <w:b w:val="1"/>
          <w:bCs w:val="1"/>
          <w:rtl w:val="0"/>
        </w:rPr>
        <w:t>3</w:t>
      </w:r>
      <w:r>
        <w:rPr>
          <w:rtl w:val="0"/>
        </w:rPr>
        <w:t>, 2053951716679677.</w:t>
      </w:r>
    </w:p>
    <w:p>
      <w:pPr>
        <w:pStyle w:val="Body"/>
        <w:spacing w:line="480" w:lineRule="auto"/>
      </w:pPr>
      <w:r>
        <w:rPr>
          <w:rtl w:val="0"/>
          <w:lang w:val="en-US"/>
        </w:rPr>
        <w:t xml:space="preserve">George, G., Lakhani, K.R., &amp; Puranam, P. (2020) What has changed? The Impact of Covid Pandemic on the Technology and Innovation Management Research Agenda. </w:t>
      </w:r>
      <w:r>
        <w:rPr>
          <w:i w:val="1"/>
          <w:iCs w:val="1"/>
          <w:rtl w:val="0"/>
          <w:lang w:val="en-US"/>
        </w:rPr>
        <w:t>Journal of Management Studies</w:t>
      </w:r>
      <w:r>
        <w:rPr>
          <w:rtl w:val="0"/>
        </w:rPr>
        <w:t xml:space="preserve">, </w:t>
      </w:r>
      <w:r>
        <w:rPr>
          <w:b w:val="1"/>
          <w:bCs w:val="1"/>
          <w:rtl w:val="0"/>
          <w:lang w:val="ru-RU"/>
        </w:rPr>
        <w:t>57</w:t>
      </w:r>
      <w:r>
        <w:rPr>
          <w:rtl w:val="0"/>
        </w:rPr>
        <w:t>, 1754-1758.</w:t>
      </w:r>
    </w:p>
    <w:p>
      <w:pPr>
        <w:pStyle w:val="Body"/>
        <w:spacing w:line="480" w:lineRule="auto"/>
      </w:pPr>
      <w:r>
        <w:rPr>
          <w:rtl w:val="0"/>
          <w:lang w:val="en-US"/>
        </w:rPr>
        <w:t xml:space="preserve">Glynn, P.D., Voinov, A.A., Shapiro, C.D., &amp; White, P.A. (2017) From data to decisions: Processing information, biases, and beliefs for improved management of natural resources and environments. </w:t>
      </w:r>
      <w:r>
        <w:rPr>
          <w:i w:val="1"/>
          <w:iCs w:val="1"/>
          <w:rtl w:val="0"/>
          <w:lang w:val="en-US"/>
        </w:rPr>
        <w:t>Earth's Future</w:t>
      </w:r>
      <w:r>
        <w:rPr>
          <w:rtl w:val="0"/>
        </w:rPr>
        <w:t xml:space="preserve">, </w:t>
      </w:r>
      <w:r>
        <w:rPr>
          <w:b w:val="1"/>
          <w:bCs w:val="1"/>
          <w:rtl w:val="0"/>
        </w:rPr>
        <w:t>5</w:t>
      </w:r>
      <w:r>
        <w:rPr>
          <w:rtl w:val="0"/>
          <w:lang w:val="it-IT"/>
        </w:rPr>
        <w:t>, 356-378.</w:t>
      </w:r>
    </w:p>
    <w:p>
      <w:pPr>
        <w:pStyle w:val="Body"/>
        <w:spacing w:line="480" w:lineRule="auto"/>
      </w:pPr>
      <w:r>
        <w:rPr>
          <w:rtl w:val="0"/>
          <w:lang w:val="es-ES_tradnl"/>
        </w:rPr>
        <w:t xml:space="preserve">Grolemund, G. &amp; Wickham, H. (2016) </w:t>
      </w:r>
      <w:r>
        <w:rPr>
          <w:i w:val="1"/>
          <w:iCs w:val="1"/>
          <w:rtl w:val="0"/>
          <w:lang w:val="de-DE"/>
        </w:rPr>
        <w:t>R for Data Science</w:t>
      </w:r>
      <w:r>
        <w:rPr>
          <w:rtl w:val="0"/>
          <w:lang w:val="en-US"/>
        </w:rPr>
        <w:t xml:space="preserve"> O'Reilly Media, Canada.</w:t>
      </w:r>
    </w:p>
    <w:p>
      <w:pPr>
        <w:pStyle w:val="Body"/>
        <w:spacing w:line="480" w:lineRule="auto"/>
      </w:pPr>
      <w:r>
        <w:rPr>
          <w:rtl w:val="0"/>
          <w:lang w:val="nl-NL"/>
        </w:rPr>
        <w:t xml:space="preserve">Hampton, S.E., Anderson, S.S., Bagby, S.C., Gries, C., Han, X., Hart, E.M., Jones, M.B., Lenhardt, W.C., MacDonald, A., Michener, W.K., Mudge, J., Pourmokhtarian, A., Schildhauer, M.P., Woo, K.H., &amp; Zimmerman, N. (2015) The Tao of open science for ecology. </w:t>
      </w:r>
      <w:r>
        <w:rPr>
          <w:i w:val="1"/>
          <w:iCs w:val="1"/>
          <w:rtl w:val="0"/>
          <w:lang w:val="en-US"/>
        </w:rPr>
        <w:t>Ecosphere</w:t>
      </w:r>
      <w:r>
        <w:rPr>
          <w:rtl w:val="0"/>
        </w:rPr>
        <w:t xml:space="preserve">, </w:t>
      </w:r>
      <w:r>
        <w:rPr>
          <w:b w:val="1"/>
          <w:bCs w:val="1"/>
          <w:rtl w:val="0"/>
        </w:rPr>
        <w:t>6</w:t>
      </w:r>
      <w:r>
        <w:rPr>
          <w:rtl w:val="0"/>
        </w:rPr>
        <w:t>, 1-13.</w:t>
      </w:r>
    </w:p>
    <w:p>
      <w:pPr>
        <w:pStyle w:val="Body"/>
        <w:spacing w:line="480" w:lineRule="auto"/>
      </w:pPr>
      <w:r>
        <w:rPr>
          <w:rtl w:val="0"/>
          <w:lang w:val="en-US"/>
        </w:rPr>
        <w:t xml:space="preserve">Hampton, S.E., Strasser, C.A., Tewksbury, J.J., Gram, W.K., Budden, A.E., Batcheller, A.L., Duke, C.S., &amp; Porter, J.H. (2013) Big data and the future of ecology. </w:t>
      </w:r>
      <w:r>
        <w:rPr>
          <w:i w:val="1"/>
          <w:iCs w:val="1"/>
          <w:rtl w:val="0"/>
          <w:lang w:val="en-US"/>
        </w:rPr>
        <w:t>Frontiers in Ecology &amp; the Environment</w:t>
      </w:r>
      <w:r>
        <w:rPr>
          <w:rtl w:val="0"/>
        </w:rPr>
        <w:t xml:space="preserve">, </w:t>
      </w:r>
      <w:r>
        <w:rPr>
          <w:b w:val="1"/>
          <w:bCs w:val="1"/>
          <w:rtl w:val="0"/>
        </w:rPr>
        <w:t>11</w:t>
      </w:r>
      <w:r>
        <w:rPr>
          <w:rtl w:val="0"/>
        </w:rPr>
        <w:t>, 156-162.</w:t>
      </w:r>
    </w:p>
    <w:p>
      <w:pPr>
        <w:pStyle w:val="Body"/>
        <w:spacing w:line="480" w:lineRule="auto"/>
      </w:pPr>
      <w:r>
        <w:rPr>
          <w:rtl w:val="0"/>
          <w:lang w:val="en-US"/>
        </w:rPr>
        <w:t xml:space="preserve">Kenall, A., Harold, S., &amp; Foote, C. (2014) An open future for ecological and evolutionary data? </w:t>
      </w:r>
      <w:r>
        <w:rPr>
          <w:i w:val="1"/>
          <w:iCs w:val="1"/>
          <w:rtl w:val="0"/>
          <w:lang w:val="it-IT"/>
        </w:rPr>
        <w:t>BMC ecology</w:t>
      </w:r>
      <w:r>
        <w:rPr>
          <w:rtl w:val="0"/>
        </w:rPr>
        <w:t xml:space="preserve">, </w:t>
      </w:r>
      <w:r>
        <w:rPr>
          <w:b w:val="1"/>
          <w:bCs w:val="1"/>
          <w:rtl w:val="0"/>
        </w:rPr>
        <w:t>14</w:t>
      </w:r>
      <w:r>
        <w:rPr>
          <w:rtl w:val="0"/>
        </w:rPr>
        <w:t>, 10.</w:t>
      </w:r>
    </w:p>
    <w:p>
      <w:pPr>
        <w:pStyle w:val="Body"/>
        <w:spacing w:line="480" w:lineRule="auto"/>
      </w:pPr>
      <w:r>
        <w:rPr>
          <w:rtl w:val="0"/>
          <w:lang w:val="en-US"/>
        </w:rPr>
        <w:t xml:space="preserve">Kumuthini, J., Chimenti, M., Nahnsen, S., Peltzer, A., Meraba, R., McFadyen, R., Wells, G., Taylor, D., Maienschein-Cline, M., Li, J.-L., Thimmapuram, J., Murthy-Karuturi, R., &amp; Zass, L. (2020) Ten simple rules for providing effective bioinformatics research support. </w:t>
      </w:r>
      <w:r>
        <w:rPr>
          <w:i w:val="1"/>
          <w:iCs w:val="1"/>
          <w:rtl w:val="0"/>
          <w:lang w:val="en-US"/>
        </w:rPr>
        <w:t>PLOS Computational Biology</w:t>
      </w:r>
      <w:r>
        <w:rPr>
          <w:rtl w:val="0"/>
        </w:rPr>
        <w:t xml:space="preserve">, </w:t>
      </w:r>
      <w:r>
        <w:rPr>
          <w:b w:val="1"/>
          <w:bCs w:val="1"/>
          <w:rtl w:val="0"/>
        </w:rPr>
        <w:t>16</w:t>
      </w:r>
      <w:r>
        <w:rPr>
          <w:rtl w:val="0"/>
        </w:rPr>
        <w:t>, e1007531.</w:t>
      </w:r>
    </w:p>
    <w:p>
      <w:pPr>
        <w:pStyle w:val="Body"/>
        <w:spacing w:line="480" w:lineRule="auto"/>
      </w:pPr>
      <w:r>
        <w:rPr>
          <w:rtl w:val="0"/>
          <w:lang w:val="en-US"/>
        </w:rPr>
        <w:t xml:space="preserve">Ladouceur, E. &amp; Shackelford, N. (2021) The power of data synthesis to shape the future of the restoration community and capacity. </w:t>
      </w:r>
      <w:r>
        <w:rPr>
          <w:i w:val="1"/>
          <w:iCs w:val="1"/>
          <w:rtl w:val="0"/>
          <w:lang w:val="en-US"/>
        </w:rPr>
        <w:t>Restoration Ecology</w:t>
      </w:r>
      <w:r>
        <w:rPr>
          <w:rtl w:val="0"/>
        </w:rPr>
        <w:t xml:space="preserve">, </w:t>
      </w:r>
      <w:r>
        <w:rPr>
          <w:b w:val="1"/>
          <w:bCs w:val="1"/>
          <w:rtl w:val="0"/>
        </w:rPr>
        <w:t>29</w:t>
      </w:r>
      <w:r>
        <w:rPr>
          <w:rtl w:val="0"/>
        </w:rPr>
        <w:t>, e13251.</w:t>
      </w:r>
    </w:p>
    <w:p>
      <w:pPr>
        <w:pStyle w:val="Body"/>
        <w:spacing w:line="480" w:lineRule="auto"/>
      </w:pPr>
      <w:r>
        <w:rPr>
          <w:rtl w:val="0"/>
          <w:lang w:val="en-US"/>
        </w:rPr>
        <w:t xml:space="preserve">Lashley, M.A., Acevedo, M., Cotner, S., &amp; Lortie, C.J. (2020) How the ecology and evolution of the COVID-19 pandemic changed learning. </w:t>
      </w:r>
      <w:r>
        <w:rPr>
          <w:i w:val="1"/>
          <w:iCs w:val="1"/>
          <w:rtl w:val="0"/>
          <w:lang w:val="en-US"/>
        </w:rPr>
        <w:t>Ecology and Evolution</w:t>
      </w:r>
      <w:r>
        <w:rPr>
          <w:rtl w:val="0"/>
        </w:rPr>
        <w:t xml:space="preserve">, </w:t>
      </w:r>
      <w:r>
        <w:rPr>
          <w:b w:val="1"/>
          <w:bCs w:val="1"/>
          <w:rtl w:val="0"/>
        </w:rPr>
        <w:t>10</w:t>
      </w:r>
      <w:r>
        <w:rPr>
          <w:rtl w:val="0"/>
        </w:rPr>
        <w:t>, 12412-12417.</w:t>
      </w:r>
    </w:p>
    <w:p>
      <w:pPr>
        <w:pStyle w:val="Body"/>
        <w:spacing w:line="480" w:lineRule="auto"/>
      </w:pPr>
      <w:r>
        <w:rPr>
          <w:rtl w:val="0"/>
          <w:lang w:val="en-US"/>
        </w:rPr>
        <w:t xml:space="preserve">Madin, J., Bowers, S., Schildhauer, M., Krivov, S., Pennington, D., &amp; Villa, F. (2007) An ontology for describing and synthesizing ecological observation data. </w:t>
      </w:r>
      <w:r>
        <w:rPr>
          <w:i w:val="1"/>
          <w:iCs w:val="1"/>
          <w:rtl w:val="0"/>
          <w:lang w:val="en-US"/>
        </w:rPr>
        <w:t>Ecological Informatics</w:t>
      </w:r>
      <w:r>
        <w:rPr>
          <w:rtl w:val="0"/>
        </w:rPr>
        <w:t xml:space="preserve">, </w:t>
      </w:r>
      <w:r>
        <w:rPr>
          <w:b w:val="1"/>
          <w:bCs w:val="1"/>
          <w:rtl w:val="0"/>
        </w:rPr>
        <w:t>2</w:t>
      </w:r>
      <w:r>
        <w:rPr>
          <w:rtl w:val="0"/>
        </w:rPr>
        <w:t>, 279-296.</w:t>
      </w:r>
    </w:p>
    <w:p>
      <w:pPr>
        <w:pStyle w:val="Body"/>
        <w:spacing w:line="480" w:lineRule="auto"/>
      </w:pPr>
      <w:r>
        <w:rPr>
          <w:rtl w:val="0"/>
          <w:lang w:val="en-US"/>
        </w:rPr>
        <w:t xml:space="preserve">Markowetz, F. (2017) All biology is computational biology. </w:t>
      </w:r>
      <w:r>
        <w:rPr>
          <w:i w:val="1"/>
          <w:iCs w:val="1"/>
          <w:rtl w:val="0"/>
        </w:rPr>
        <w:t>Plos Biology</w:t>
      </w:r>
      <w:r>
        <w:rPr>
          <w:rtl w:val="0"/>
        </w:rPr>
        <w:t xml:space="preserve">, </w:t>
      </w:r>
      <w:r>
        <w:rPr>
          <w:b w:val="1"/>
          <w:bCs w:val="1"/>
          <w:rtl w:val="0"/>
        </w:rPr>
        <w:t>15</w:t>
      </w:r>
      <w:r>
        <w:rPr>
          <w:rtl w:val="0"/>
        </w:rPr>
        <w:t>, e2002050.</w:t>
      </w:r>
    </w:p>
    <w:p>
      <w:pPr>
        <w:pStyle w:val="Body"/>
        <w:spacing w:line="480" w:lineRule="auto"/>
      </w:pPr>
      <w:r>
        <w:rPr>
          <w:rtl w:val="0"/>
          <w:lang w:val="es-ES_tradnl"/>
        </w:rPr>
        <w:t xml:space="preserve">Mayo, E. (1949) </w:t>
      </w:r>
      <w:r>
        <w:rPr>
          <w:rtl w:val="0"/>
          <w:lang w:val="en-US"/>
        </w:rPr>
        <w:t>Hawthorne and the Western Electric Company. The Social Problems of an Industrial Civilisation.</w:t>
      </w:r>
      <w:r>
        <w:rPr>
          <w:rtl w:val="0"/>
          <w:lang w:val="en-US"/>
        </w:rPr>
        <w:t xml:space="preserve"> Routledge.</w:t>
      </w:r>
    </w:p>
    <w:p>
      <w:pPr>
        <w:pStyle w:val="Body"/>
        <w:spacing w:line="480" w:lineRule="auto"/>
      </w:pPr>
      <w:r>
        <w:rPr>
          <w:rtl w:val="0"/>
          <w:lang w:val="en-US"/>
        </w:rPr>
        <w:t xml:space="preserve">McCambridge, J., Witton, J., &amp; Elbourne, D.R. (2014) Systematic review of the Hawthorne effect: New concepts are needed to study research participation effects. </w:t>
      </w:r>
      <w:r>
        <w:rPr>
          <w:i w:val="1"/>
          <w:iCs w:val="1"/>
          <w:rtl w:val="0"/>
          <w:lang w:val="en-US"/>
        </w:rPr>
        <w:t>Journal of Clinical Epidemiology</w:t>
      </w:r>
      <w:r>
        <w:rPr>
          <w:rtl w:val="0"/>
        </w:rPr>
        <w:t xml:space="preserve">, </w:t>
      </w:r>
      <w:r>
        <w:rPr>
          <w:b w:val="1"/>
          <w:bCs w:val="1"/>
          <w:rtl w:val="0"/>
        </w:rPr>
        <w:t>67</w:t>
      </w:r>
      <w:r>
        <w:rPr>
          <w:rtl w:val="0"/>
        </w:rPr>
        <w:t>, 267-277.</w:t>
      </w:r>
    </w:p>
    <w:p>
      <w:pPr>
        <w:pStyle w:val="Body"/>
        <w:spacing w:line="480" w:lineRule="auto"/>
      </w:pPr>
      <w:r>
        <w:rPr>
          <w:rtl w:val="0"/>
          <w:lang w:val="it-IT"/>
        </w:rPr>
        <w:t xml:space="preserve">Michener, W.K. (2015a) Ecological data sharing. </w:t>
      </w:r>
      <w:r>
        <w:rPr>
          <w:i w:val="1"/>
          <w:iCs w:val="1"/>
          <w:rtl w:val="0"/>
          <w:lang w:val="en-US"/>
        </w:rPr>
        <w:t>Ecological Informatics</w:t>
      </w:r>
      <w:r>
        <w:rPr>
          <w:rtl w:val="0"/>
        </w:rPr>
        <w:t xml:space="preserve">, </w:t>
      </w:r>
      <w:r>
        <w:rPr>
          <w:b w:val="1"/>
          <w:bCs w:val="1"/>
          <w:rtl w:val="0"/>
        </w:rPr>
        <w:t>29</w:t>
      </w:r>
      <w:r>
        <w:rPr>
          <w:rtl w:val="0"/>
        </w:rPr>
        <w:t>, 33-44.</w:t>
      </w:r>
    </w:p>
    <w:p>
      <w:pPr>
        <w:pStyle w:val="Body"/>
        <w:spacing w:line="480" w:lineRule="auto"/>
      </w:pPr>
      <w:r>
        <w:rPr>
          <w:rtl w:val="0"/>
          <w:lang w:val="en-US"/>
        </w:rPr>
        <w:t xml:space="preserve">Michener, W.K. (2015b) Ten Simple Rules for Creating a Good Data Management Plan. </w:t>
      </w:r>
      <w:r>
        <w:rPr>
          <w:i w:val="1"/>
          <w:iCs w:val="1"/>
          <w:rtl w:val="0"/>
          <w:lang w:val="en-US"/>
        </w:rPr>
        <w:t>PLoS Comput Biol</w:t>
      </w:r>
      <w:r>
        <w:rPr>
          <w:rtl w:val="0"/>
        </w:rPr>
        <w:t xml:space="preserve">, </w:t>
      </w:r>
      <w:r>
        <w:rPr>
          <w:b w:val="1"/>
          <w:bCs w:val="1"/>
          <w:rtl w:val="0"/>
        </w:rPr>
        <w:t>11</w:t>
      </w:r>
      <w:r>
        <w:rPr>
          <w:rtl w:val="0"/>
        </w:rPr>
        <w:t>, e1004525.</w:t>
      </w:r>
    </w:p>
    <w:p>
      <w:pPr>
        <w:pStyle w:val="Body"/>
        <w:spacing w:line="480" w:lineRule="auto"/>
      </w:pPr>
      <w:r>
        <w:rPr>
          <w:rtl w:val="0"/>
          <w:lang w:val="en-US"/>
        </w:rPr>
        <w:t>Michener, W.K., Allard, S., Budden, A.E., Cook, R., Douglass, K., Frame, M., &amp; Kelling, S. (2012) Participatory design of DataONE</w:t>
      </w:r>
      <w:r>
        <w:rPr>
          <w:rtl w:val="0"/>
          <w:lang w:val="en-US"/>
        </w:rPr>
        <w:t>—</w:t>
      </w:r>
      <w:r>
        <w:rPr>
          <w:rtl w:val="0"/>
          <w:lang w:val="en-US"/>
        </w:rPr>
        <w:t xml:space="preserve">Enabling cyberinfrastructure for the biological and environmental sciences. </w:t>
      </w:r>
      <w:r>
        <w:rPr>
          <w:i w:val="1"/>
          <w:iCs w:val="1"/>
          <w:rtl w:val="0"/>
          <w:lang w:val="en-US"/>
        </w:rPr>
        <w:t>Ecological Informatics</w:t>
      </w:r>
      <w:r>
        <w:rPr>
          <w:rtl w:val="0"/>
        </w:rPr>
        <w:t>.</w:t>
      </w:r>
    </w:p>
    <w:p>
      <w:pPr>
        <w:pStyle w:val="Body"/>
        <w:spacing w:line="480" w:lineRule="auto"/>
      </w:pPr>
      <w:r>
        <w:rPr>
          <w:rtl w:val="0"/>
          <w:lang w:val="en-US"/>
        </w:rPr>
        <w:t xml:space="preserve">Michener, W.K. &amp; Jones, M.B. (2012) Ecoinformatics: supporting ecology as a data-intensive science. </w:t>
      </w:r>
      <w:r>
        <w:rPr>
          <w:i w:val="1"/>
          <w:iCs w:val="1"/>
          <w:rtl w:val="0"/>
          <w:lang w:val="en-US"/>
        </w:rPr>
        <w:t>Trends in Ecology &amp; Evolution</w:t>
      </w:r>
      <w:r>
        <w:rPr>
          <w:rtl w:val="0"/>
        </w:rPr>
        <w:t xml:space="preserve">, </w:t>
      </w:r>
      <w:r>
        <w:rPr>
          <w:b w:val="1"/>
          <w:bCs w:val="1"/>
          <w:rtl w:val="0"/>
        </w:rPr>
        <w:t>27</w:t>
      </w:r>
      <w:r>
        <w:rPr>
          <w:rtl w:val="0"/>
        </w:rPr>
        <w:t>, 85-93.</w:t>
      </w:r>
    </w:p>
    <w:p>
      <w:pPr>
        <w:pStyle w:val="Body"/>
        <w:spacing w:line="480" w:lineRule="auto"/>
      </w:pPr>
      <w:r>
        <w:rPr>
          <w:rtl w:val="0"/>
          <w:lang w:val="en-US"/>
        </w:rPr>
        <w:t xml:space="preserve">Nosek, B.A. &amp; Lakens, D. (2014) Registered reports a method to increase the credibility of published results. </w:t>
      </w:r>
      <w:r>
        <w:rPr>
          <w:i w:val="1"/>
          <w:iCs w:val="1"/>
          <w:rtl w:val="0"/>
        </w:rPr>
        <w:t>Soc Psychol Ger</w:t>
      </w:r>
      <w:r>
        <w:rPr>
          <w:rtl w:val="0"/>
        </w:rPr>
        <w:t xml:space="preserve">, </w:t>
      </w:r>
      <w:r>
        <w:rPr>
          <w:b w:val="1"/>
          <w:bCs w:val="1"/>
          <w:rtl w:val="0"/>
        </w:rPr>
        <w:t>45</w:t>
      </w:r>
      <w:r>
        <w:rPr>
          <w:rtl w:val="0"/>
        </w:rPr>
        <w:t>.</w:t>
      </w:r>
    </w:p>
    <w:p>
      <w:pPr>
        <w:pStyle w:val="Body"/>
        <w:spacing w:line="480" w:lineRule="auto"/>
      </w:pPr>
      <w:r>
        <w:rPr>
          <w:rtl w:val="0"/>
          <w:lang w:val="en-US"/>
        </w:rPr>
        <w:t xml:space="preserve">Piwowar, H.A. &amp; Vision, T.J. (2013) Data reuse and the open data citation advantage. </w:t>
      </w:r>
      <w:r>
        <w:rPr>
          <w:i w:val="1"/>
          <w:iCs w:val="1"/>
          <w:rtl w:val="0"/>
          <w:lang w:val="nl-NL"/>
        </w:rPr>
        <w:t>PeerJ</w:t>
      </w:r>
      <w:r>
        <w:rPr>
          <w:rtl w:val="0"/>
        </w:rPr>
        <w:t xml:space="preserve">, </w:t>
      </w:r>
      <w:r>
        <w:rPr>
          <w:b w:val="1"/>
          <w:bCs w:val="1"/>
          <w:rtl w:val="0"/>
        </w:rPr>
        <w:t>1</w:t>
      </w:r>
      <w:r>
        <w:rPr>
          <w:rtl w:val="0"/>
        </w:rPr>
        <w:t>, e175.</w:t>
      </w:r>
    </w:p>
    <w:p>
      <w:pPr>
        <w:pStyle w:val="Body"/>
        <w:spacing w:line="480" w:lineRule="auto"/>
      </w:pPr>
      <w:r>
        <w:rPr>
          <w:rtl w:val="0"/>
          <w:lang w:val="en-US"/>
        </w:rPr>
        <w:t xml:space="preserve">Reed, W.R. (2018) A Primer on the </w:t>
      </w:r>
      <w:r>
        <w:rPr>
          <w:rtl w:val="1"/>
        </w:rPr>
        <w:t>‘</w:t>
      </w:r>
      <w:r>
        <w:rPr>
          <w:rtl w:val="0"/>
          <w:lang w:val="it-IT"/>
        </w:rPr>
        <w:t>Reproducibility Crisis</w:t>
      </w:r>
      <w:r>
        <w:rPr>
          <w:rtl w:val="1"/>
        </w:rPr>
        <w:t xml:space="preserve">’ </w:t>
      </w:r>
      <w:r>
        <w:rPr>
          <w:rtl w:val="0"/>
          <w:lang w:val="en-US"/>
        </w:rPr>
        <w:t xml:space="preserve">and Ways to Fix It. </w:t>
      </w:r>
      <w:r>
        <w:rPr>
          <w:i w:val="1"/>
          <w:iCs w:val="1"/>
          <w:rtl w:val="0"/>
          <w:lang w:val="en-US"/>
        </w:rPr>
        <w:t>Australian Economic Review</w:t>
      </w:r>
      <w:r>
        <w:rPr>
          <w:rtl w:val="0"/>
        </w:rPr>
        <w:t xml:space="preserve">, </w:t>
      </w:r>
      <w:r>
        <w:rPr>
          <w:b w:val="1"/>
          <w:bCs w:val="1"/>
          <w:rtl w:val="0"/>
        </w:rPr>
        <w:t>51</w:t>
      </w:r>
      <w:r>
        <w:rPr>
          <w:rtl w:val="0"/>
          <w:lang w:val="it-IT"/>
        </w:rPr>
        <w:t>, 286-300.</w:t>
      </w:r>
    </w:p>
    <w:p>
      <w:pPr>
        <w:pStyle w:val="Body"/>
        <w:spacing w:line="480" w:lineRule="auto"/>
      </w:pPr>
      <w:r>
        <w:rPr>
          <w:rtl w:val="0"/>
          <w:lang w:val="en-US"/>
        </w:rPr>
        <w:t xml:space="preserve">Saitz, R. &amp; Schwitzer, G. (2020) Communicating Science in the Time of a Pandemic. </w:t>
      </w:r>
      <w:r>
        <w:rPr>
          <w:i w:val="1"/>
          <w:iCs w:val="1"/>
          <w:rtl w:val="0"/>
          <w:lang w:val="de-DE"/>
        </w:rPr>
        <w:t>JAMA</w:t>
      </w:r>
      <w:r>
        <w:rPr>
          <w:rtl w:val="0"/>
        </w:rPr>
        <w:t xml:space="preserve">, </w:t>
      </w:r>
      <w:r>
        <w:rPr>
          <w:b w:val="1"/>
          <w:bCs w:val="1"/>
          <w:rtl w:val="0"/>
        </w:rPr>
        <w:t>324</w:t>
      </w:r>
      <w:r>
        <w:rPr>
          <w:rtl w:val="0"/>
        </w:rPr>
        <w:t>, 443-444.</w:t>
      </w:r>
    </w:p>
    <w:p>
      <w:pPr>
        <w:pStyle w:val="Body"/>
        <w:spacing w:line="480" w:lineRule="auto"/>
      </w:pPr>
      <w:r>
        <w:rPr>
          <w:rtl w:val="0"/>
          <w:lang w:val="en-US"/>
        </w:rPr>
        <w:t xml:space="preserve">Serghiou, S. &amp; Ioannidis, J.P.A. (2018) Altmetric Scores, Citations, and Publication of Studies Posted as Preprints. </w:t>
      </w:r>
      <w:r>
        <w:rPr>
          <w:i w:val="1"/>
          <w:iCs w:val="1"/>
          <w:rtl w:val="0"/>
          <w:lang w:val="de-DE"/>
        </w:rPr>
        <w:t>JAMA</w:t>
      </w:r>
      <w:r>
        <w:rPr>
          <w:rtl w:val="0"/>
        </w:rPr>
        <w:t xml:space="preserve">, </w:t>
      </w:r>
      <w:r>
        <w:rPr>
          <w:b w:val="1"/>
          <w:bCs w:val="1"/>
          <w:rtl w:val="0"/>
        </w:rPr>
        <w:t>319</w:t>
      </w:r>
      <w:r>
        <w:rPr>
          <w:rtl w:val="0"/>
        </w:rPr>
        <w:t>, 402-404.</w:t>
      </w:r>
    </w:p>
    <w:p>
      <w:pPr>
        <w:pStyle w:val="Body"/>
        <w:spacing w:line="480" w:lineRule="auto"/>
      </w:pPr>
      <w:r>
        <w:rPr>
          <w:rtl w:val="0"/>
          <w:lang w:val="en-US"/>
        </w:rPr>
        <w:t xml:space="preserve">Shrader-Frechette, K.S. &amp; McCoy, E. (1990) Theory reduction and explanation in ecology. </w:t>
      </w:r>
      <w:r>
        <w:rPr>
          <w:i w:val="1"/>
          <w:iCs w:val="1"/>
          <w:rtl w:val="0"/>
        </w:rPr>
        <w:t>Oikos</w:t>
      </w:r>
      <w:r>
        <w:rPr>
          <w:rtl w:val="0"/>
        </w:rPr>
        <w:t xml:space="preserve">, </w:t>
      </w:r>
      <w:r>
        <w:rPr>
          <w:b w:val="1"/>
          <w:bCs w:val="1"/>
          <w:rtl w:val="0"/>
          <w:lang w:val="ru-RU"/>
        </w:rPr>
        <w:t>58</w:t>
      </w:r>
      <w:r>
        <w:rPr>
          <w:rtl w:val="0"/>
        </w:rPr>
        <w:t>, 109-114.</w:t>
      </w:r>
    </w:p>
    <w:p>
      <w:pPr>
        <w:pStyle w:val="Body"/>
        <w:spacing w:line="480" w:lineRule="auto"/>
      </w:pPr>
      <w:r>
        <w:rPr>
          <w:rtl w:val="0"/>
          <w:lang w:val="en-US"/>
        </w:rPr>
        <w:t xml:space="preserve">Shuai, X., Pepe, A., &amp; Bollen, J. (2012) How the Scientific Community Reacts to Newly Submitted Preprints: Article Downloads, Twitter Mentions, and Citations. </w:t>
      </w:r>
      <w:r>
        <w:rPr>
          <w:i w:val="1"/>
          <w:iCs w:val="1"/>
          <w:rtl w:val="0"/>
        </w:rPr>
        <w:t>arXiv</w:t>
      </w:r>
      <w:r>
        <w:rPr>
          <w:rtl w:val="0"/>
        </w:rPr>
        <w:t>, 1202.2461v1.</w:t>
      </w:r>
    </w:p>
    <w:p>
      <w:pPr>
        <w:pStyle w:val="Body"/>
        <w:spacing w:line="480" w:lineRule="auto"/>
      </w:pPr>
      <w:r>
        <w:rPr>
          <w:rtl w:val="0"/>
          <w:lang w:val="en-US"/>
        </w:rPr>
        <w:t xml:space="preserve">Spaargaren, G., Mol, A., &amp; Sonnenfeld, D. (2009) Ecological modernisation: assessment, critical debates and future directions. </w:t>
      </w:r>
      <w:r>
        <w:rPr>
          <w:i w:val="1"/>
          <w:iCs w:val="1"/>
          <w:rtl w:val="0"/>
          <w:lang w:val="en-US"/>
        </w:rPr>
        <w:t>The Ecological Modernisation Reader. Environmental reform in theory and practice.</w:t>
      </w:r>
      <w:r>
        <w:rPr>
          <w:rtl w:val="0"/>
        </w:rPr>
        <w:t>, 501-520.</w:t>
      </w:r>
    </w:p>
    <w:p>
      <w:pPr>
        <w:pStyle w:val="Body"/>
        <w:spacing w:line="480" w:lineRule="auto"/>
      </w:pPr>
      <w:r>
        <w:rPr>
          <w:rtl w:val="0"/>
          <w:lang w:val="en-US"/>
        </w:rPr>
        <w:t xml:space="preserve">Westoby, M., Falster, D.S., &amp; Schrader, J. (2021) Motivating data contributions via a distinct career currency. </w:t>
      </w:r>
      <w:r>
        <w:rPr>
          <w:i w:val="1"/>
          <w:iCs w:val="1"/>
          <w:rtl w:val="0"/>
          <w:lang w:val="en-US"/>
        </w:rPr>
        <w:t>Proceedings of the Royal Society B: Biological Sciences</w:t>
      </w:r>
      <w:r>
        <w:rPr>
          <w:rtl w:val="0"/>
        </w:rPr>
        <w:t xml:space="preserve">, </w:t>
      </w:r>
      <w:r>
        <w:rPr>
          <w:b w:val="1"/>
          <w:bCs w:val="1"/>
          <w:rtl w:val="0"/>
        </w:rPr>
        <w:t>288</w:t>
      </w:r>
      <w:r>
        <w:rPr>
          <w:rtl w:val="0"/>
        </w:rPr>
        <w:t>, 20202830.</w:t>
      </w:r>
    </w:p>
    <w:p>
      <w:pPr>
        <w:pStyle w:val="Body"/>
        <w:spacing w:line="480" w:lineRule="auto"/>
      </w:pPr>
      <w:r>
        <w:rPr>
          <w:rtl w:val="0"/>
        </w:rPr>
        <w:t xml:space="preserve">Wickham, H. (2014) Tidy Data. </w:t>
      </w:r>
      <w:r>
        <w:rPr>
          <w:rtl w:val="0"/>
          <w:lang w:val="en-US"/>
        </w:rPr>
        <w:t>Journal of Statistical Software</w:t>
      </w:r>
      <w:r>
        <w:rPr>
          <w:rtl w:val="0"/>
        </w:rPr>
        <w:t xml:space="preserve">, </w:t>
      </w:r>
      <w:r>
        <w:rPr>
          <w:b w:val="1"/>
          <w:bCs w:val="1"/>
          <w:rtl w:val="0"/>
        </w:rPr>
        <w:t>59</w:t>
      </w:r>
      <w:r>
        <w:rPr>
          <w:rtl w:val="0"/>
        </w:rPr>
        <w:t>, 1-23.</w:t>
      </w:r>
    </w:p>
    <w:p>
      <w:pPr>
        <w:pStyle w:val="Body"/>
        <w:spacing w:line="480" w:lineRule="auto"/>
      </w:pPr>
      <w:r>
        <w:rPr>
          <w:rtl w:val="0"/>
          <w:lang w:val="en-US"/>
        </w:rPr>
        <w:t xml:space="preserve">Wilson, G., Bryan, J., Cranston, K., Kitzes, J., Nederbragt, L., &amp; Teal, T.K. (2017) Good enough practices in scientific computing. </w:t>
      </w:r>
      <w:r>
        <w:rPr>
          <w:i w:val="1"/>
          <w:iCs w:val="1"/>
          <w:rtl w:val="0"/>
          <w:lang w:val="en-US"/>
        </w:rPr>
        <w:t>PLOS Computational Biology</w:t>
      </w:r>
      <w:r>
        <w:rPr>
          <w:rtl w:val="0"/>
        </w:rPr>
        <w:t xml:space="preserve">, </w:t>
      </w:r>
      <w:r>
        <w:rPr>
          <w:b w:val="1"/>
          <w:bCs w:val="1"/>
          <w:rtl w:val="0"/>
        </w:rPr>
        <w:t>13</w:t>
      </w:r>
      <w:r>
        <w:rPr>
          <w:rtl w:val="0"/>
        </w:rPr>
        <w:t>, e1005510.</w:t>
      </w:r>
    </w:p>
    <w:p>
      <w:pPr>
        <w:pStyle w:val="Body"/>
        <w:spacing w:line="480" w:lineRule="auto"/>
      </w:pPr>
      <w:r>
        <w:rPr>
          <w:rtl w:val="0"/>
          <w:lang w:val="en-US"/>
        </w:rPr>
        <w:t xml:space="preserve">Zhao, M., Yan, E., &amp; Li, K. (2018) Data set mentions and citations: A content analysis of full-text publications. </w:t>
      </w:r>
      <w:r>
        <w:rPr>
          <w:i w:val="1"/>
          <w:iCs w:val="1"/>
          <w:rtl w:val="0"/>
          <w:lang w:val="en-US"/>
        </w:rPr>
        <w:t>Journal of the Association for Information Science and Technology</w:t>
      </w:r>
      <w:r>
        <w:rPr>
          <w:rtl w:val="0"/>
        </w:rPr>
        <w:t xml:space="preserve">, </w:t>
      </w:r>
      <w:r>
        <w:rPr>
          <w:b w:val="1"/>
          <w:bCs w:val="1"/>
          <w:rtl w:val="0"/>
        </w:rPr>
        <w:t>69</w:t>
      </w:r>
      <w:r>
        <w:rPr>
          <w:rtl w:val="0"/>
        </w:rPr>
        <w:t>, 32-46.</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