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Main Level"/>
        <w:rPr>
          <w:outline w:val="0"/>
          <w:color w:val="e13446"/>
          <w:u w:color="e13446"/>
          <w14:textFill>
            <w14:solidFill>
              <w14:srgbClr w14:val="E13446"/>
            </w14:solidFill>
          </w14:textFill>
        </w:rPr>
      </w:pPr>
      <w:r>
        <w:rPr>
          <w:outline w:val="0"/>
          <w:color w:val="e13446"/>
          <w:u w:color="e13446"/>
          <w:rtl w:val="0"/>
          <w:lang w:val="en-US"/>
          <w14:textFill>
            <w14:solidFill>
              <w14:srgbClr w14:val="E13446"/>
            </w14:solidFill>
          </w14:textFill>
        </w:rPr>
        <w:t>New Graduate Course Proposal Form</w:t>
      </w:r>
    </w:p>
    <w:p>
      <w:pPr>
        <w:pStyle w:val="Main Level"/>
        <w:spacing w:after="480"/>
        <w:rPr>
          <w:outline w:val="0"/>
          <w:color w:val="686361"/>
          <w:u w:color="686361"/>
          <w14:textFill>
            <w14:solidFill>
              <w14:srgbClr w14:val="686361"/>
            </w14:solidFill>
          </w14:textFill>
        </w:rPr>
      </w:pPr>
      <w:r>
        <w:rPr>
          <w:outline w:val="0"/>
          <w:color w:val="686361"/>
          <w:u w:color="686361"/>
          <w:rtl w:val="0"/>
          <w:lang w:val="en-US"/>
          <w14:textFill>
            <w14:solidFill>
              <w14:srgbClr w14:val="686361"/>
            </w14:solidFill>
          </w14:textFill>
        </w:rPr>
        <w:t>Faculty of Science</w:t>
      </w:r>
    </w:p>
    <w:p>
      <w:pPr>
        <w:pStyle w:val="heading 9"/>
        <w:spacing w:after="360"/>
        <w:rPr>
          <w:rFonts w:ascii="IBM Plex Sans" w:cs="IBM Plex Sans" w:hAnsi="IBM Plex Sans" w:eastAsia="IBM Plex Sans"/>
          <w:i w:val="0"/>
          <w:iCs w:val="0"/>
          <w:sz w:val="24"/>
          <w:szCs w:val="24"/>
        </w:rPr>
      </w:pPr>
      <w:r>
        <w:rPr>
          <w:rFonts w:ascii="IBM Plex Sans" w:cs="IBM Plex Sans" w:hAnsi="IBM Plex Sans" w:eastAsia="IBM Plex Sans"/>
          <w:i w:val="0"/>
          <w:iCs w:val="0"/>
          <w:sz w:val="24"/>
          <w:szCs w:val="24"/>
          <w:rtl w:val="0"/>
          <w:lang w:val="en-US"/>
        </w:rPr>
        <w:t>The following information is required for all new course proposals. Provide evidence of consultation, where appropriate. To facilitate the review/approval process, please use the headings below (and omit the italicized explanations below each heading).</w:t>
      </w:r>
    </w:p>
    <w:p>
      <w:pPr>
        <w:pStyle w:val="Body A"/>
      </w:pPr>
      <w:r>
        <w:rPr>
          <w:rtl w:val="0"/>
          <w:lang w:val="en-US"/>
        </w:rPr>
        <w:t>All new course proposals must include a library statement.</w:t>
      </w:r>
    </w:p>
    <w:p>
      <w:pPr>
        <w:pStyle w:val="Body A"/>
      </w:pPr>
    </w:p>
    <w:p>
      <w:pPr>
        <w:pStyle w:val="Body A"/>
      </w:pPr>
      <w:r>
        <w:rPr>
          <w:rFonts w:ascii="IBM Plex Sans Regular" w:cs="IBM Plex Sans Regular" w:hAnsi="IBM Plex Sans Regular" w:eastAsia="IBM Plex Sans Regular"/>
          <w:b w:val="1"/>
          <w:bCs w:val="1"/>
          <w:rtl w:val="0"/>
          <w:lang w:val="en-US"/>
        </w:rPr>
        <w:t>1. Graduate Program:</w:t>
      </w:r>
      <w:r>
        <w:rPr>
          <w:rtl w:val="0"/>
          <w:lang w:val="en-US"/>
        </w:rPr>
        <w:t xml:space="preserve">  BIOLOGY</w:t>
      </w:r>
    </w:p>
    <w:p>
      <w:pPr>
        <w:pStyle w:val="Body A"/>
      </w:pPr>
    </w:p>
    <w:p>
      <w:pPr>
        <w:pStyle w:val="Body A"/>
        <w:rPr>
          <w:rFonts w:ascii="Cambria" w:cs="Cambria" w:hAnsi="Cambria" w:eastAsia="Cambria"/>
          <w:i w:val="1"/>
          <w:iCs w:val="1"/>
        </w:rPr>
      </w:pPr>
      <w:r>
        <w:rPr>
          <w:rFonts w:ascii="IBM Plex Sans Regular" w:cs="IBM Plex Sans Regular" w:hAnsi="IBM Plex Sans Regular" w:eastAsia="IBM Plex Sans Regular"/>
          <w:b w:val="1"/>
          <w:bCs w:val="1"/>
          <w:rtl w:val="0"/>
          <w:lang w:val="en-US"/>
        </w:rPr>
        <w:t xml:space="preserve">2. Responsible Unit: </w:t>
      </w:r>
      <w:r>
        <w:rPr>
          <w:rtl w:val="0"/>
          <w:lang w:val="en-US"/>
        </w:rPr>
        <w:t>Faculty of Science, Department of Biology</w:t>
      </w:r>
      <w:r>
        <w:br w:type="textWrapping"/>
      </w:r>
    </w:p>
    <w:p>
      <w:pPr>
        <w:pStyle w:val="Body A"/>
        <w:rPr>
          <w:rFonts w:ascii="IBM Plex Sans Regular" w:cs="IBM Plex Sans Regular" w:hAnsi="IBM Plex Sans Regular" w:eastAsia="IBM Plex Sans Regular"/>
          <w:b w:val="1"/>
          <w:bCs w:val="1"/>
        </w:rPr>
      </w:pPr>
      <w:r>
        <w:rPr>
          <w:rFonts w:ascii="IBM Plex Sans Regular" w:cs="IBM Plex Sans Regular" w:hAnsi="IBM Plex Sans Regular" w:eastAsia="IBM Plex Sans Regular"/>
          <w:b w:val="1"/>
          <w:bCs w:val="1"/>
          <w:rtl w:val="0"/>
          <w:lang w:val="en-US"/>
        </w:rPr>
        <w:t>3. Subject Code (Rubric) and Course Number:</w:t>
      </w:r>
      <w:r>
        <w:rPr>
          <w:rtl w:val="0"/>
          <w:lang w:val="en-US"/>
        </w:rPr>
        <w:t xml:space="preserve">  GS/BIOL 5150</w:t>
      </w:r>
      <w:r>
        <w:br w:type="textWrapping"/>
      </w:r>
    </w:p>
    <w:p>
      <w:pPr>
        <w:pStyle w:val="Body A"/>
        <w:rPr>
          <w:rFonts w:ascii="IBM Plex Sans Regular" w:cs="IBM Plex Sans Regular" w:hAnsi="IBM Plex Sans Regular" w:eastAsia="IBM Plex Sans Regular"/>
          <w:b w:val="1"/>
          <w:bCs w:val="1"/>
        </w:rPr>
      </w:pPr>
      <w:r>
        <w:rPr>
          <w:rFonts w:ascii="IBM Plex Sans Regular" w:cs="IBM Plex Sans Regular" w:hAnsi="IBM Plex Sans Regular" w:eastAsia="IBM Plex Sans Regular"/>
          <w:b w:val="1"/>
          <w:bCs w:val="1"/>
          <w:rtl w:val="0"/>
          <w:lang w:val="en-US"/>
        </w:rPr>
        <w:t>4. Credit Value:</w:t>
      </w:r>
      <w:r>
        <w:rPr>
          <w:rtl w:val="0"/>
          <w:lang w:val="en-US"/>
        </w:rPr>
        <w:t xml:space="preserve"> 1.5</w:t>
      </w:r>
      <w:r>
        <w:br w:type="textWrapping"/>
      </w:r>
    </w:p>
    <w:p>
      <w:pPr>
        <w:pStyle w:val="Body A"/>
        <w:rPr>
          <w:rFonts w:ascii="IBM Plex Sans Regular" w:cs="IBM Plex Sans Regular" w:hAnsi="IBM Plex Sans Regular" w:eastAsia="IBM Plex Sans Regular"/>
          <w:b w:val="1"/>
          <w:bCs w:val="1"/>
        </w:rPr>
      </w:pPr>
      <w:r>
        <w:rPr>
          <w:rFonts w:ascii="IBM Plex Sans Regular" w:cs="IBM Plex Sans Regular" w:hAnsi="IBM Plex Sans Regular" w:eastAsia="IBM Plex Sans Regular"/>
          <w:b w:val="1"/>
          <w:bCs w:val="1"/>
          <w:rtl w:val="0"/>
          <w:lang w:val="en-US"/>
        </w:rPr>
        <w:t>5. Long Course Title:</w:t>
      </w:r>
      <w:r>
        <w:rPr>
          <w:rtl w:val="0"/>
          <w:lang w:val="en-US"/>
        </w:rPr>
        <w:t xml:space="preserve"> Critical skills for meta-analyses and systematic reviews</w:t>
      </w:r>
      <w:r>
        <w:br w:type="textWrapping"/>
      </w:r>
    </w:p>
    <w:p>
      <w:pPr>
        <w:pStyle w:val="Body A"/>
        <w:rPr>
          <w:rFonts w:ascii="IBM Plex Sans Regular" w:cs="IBM Plex Sans Regular" w:hAnsi="IBM Plex Sans Regular" w:eastAsia="IBM Plex Sans Regular"/>
          <w:b w:val="1"/>
          <w:bCs w:val="1"/>
        </w:rPr>
      </w:pPr>
      <w:r>
        <w:rPr>
          <w:rFonts w:ascii="IBM Plex Sans Regular" w:cs="IBM Plex Sans Regular" w:hAnsi="IBM Plex Sans Regular" w:eastAsia="IBM Plex Sans Regular"/>
          <w:b w:val="1"/>
          <w:bCs w:val="1"/>
          <w:rtl w:val="0"/>
          <w:lang w:val="en-US"/>
        </w:rPr>
        <w:t>6. Short Course Title:</w:t>
      </w:r>
      <w:r>
        <w:rPr>
          <w:rtl w:val="0"/>
          <w:lang w:val="en-US"/>
        </w:rPr>
        <w:t xml:space="preserve">  Critical skills for meta-analyses and reviews</w:t>
      </w:r>
      <w:r>
        <w:rPr>
          <w:rFonts w:ascii="Cambria" w:cs="Cambria" w:hAnsi="Cambria" w:eastAsia="Cambria"/>
          <w:i w:val="1"/>
          <w:iCs w:val="1"/>
        </w:rPr>
        <w:br w:type="textWrapping"/>
      </w:r>
    </w:p>
    <w:p>
      <w:pPr>
        <w:pStyle w:val="Body A"/>
      </w:pPr>
      <w:r>
        <w:rPr>
          <w:rFonts w:ascii="IBM Plex Sans Regular" w:cs="IBM Plex Sans Regular" w:hAnsi="IBM Plex Sans Regular" w:eastAsia="IBM Plex Sans Regular"/>
          <w:b w:val="1"/>
          <w:bCs w:val="1"/>
          <w:rtl w:val="0"/>
          <w:lang w:val="en-US"/>
        </w:rPr>
        <w:t>7. Effective Term/Calendar Year:</w:t>
      </w:r>
      <w:r>
        <w:rPr>
          <w:rtl w:val="0"/>
          <w:lang w:val="en-US"/>
        </w:rPr>
        <w:t xml:space="preserve"> </w:t>
      </w:r>
    </w:p>
    <w:p>
      <w:pPr>
        <w:pStyle w:val="Body A"/>
      </w:pPr>
    </w:p>
    <w:p>
      <w:pPr>
        <w:pStyle w:val="Body A"/>
      </w:pPr>
      <w:r>
        <w:rPr>
          <w:rtl w:val="0"/>
          <w:lang w:val="en-US"/>
        </w:rPr>
        <w:t>Fall 2022</w:t>
      </w:r>
    </w:p>
    <w:p>
      <w:pPr>
        <w:pStyle w:val="Body A"/>
      </w:pPr>
    </w:p>
    <w:p>
      <w:pPr>
        <w:pStyle w:val="Body A"/>
      </w:pPr>
      <w:r>
        <w:rPr>
          <w:rFonts w:ascii="IBM Plex Sans Regular" w:cs="IBM Plex Sans Regular" w:hAnsi="IBM Plex Sans Regular" w:eastAsia="IBM Plex Sans Regular"/>
          <w:b w:val="1"/>
          <w:bCs w:val="1"/>
          <w:rtl w:val="0"/>
          <w:lang w:val="en-US"/>
        </w:rPr>
        <w:t>8. Language of Instruction:</w:t>
      </w:r>
      <w:r>
        <w:rPr>
          <w:rtl w:val="0"/>
          <w:lang w:val="en-US"/>
        </w:rPr>
        <w:t xml:space="preserve"> </w:t>
      </w:r>
    </w:p>
    <w:p>
      <w:pPr>
        <w:pStyle w:val="Body A"/>
      </w:pPr>
    </w:p>
    <w:p>
      <w:pPr>
        <w:pStyle w:val="Body A"/>
        <w:rPr>
          <w:rFonts w:ascii="IBM Plex Sans Regular" w:cs="IBM Plex Sans Regular" w:hAnsi="IBM Plex Sans Regular" w:eastAsia="IBM Plex Sans Regular"/>
          <w:b w:val="1"/>
          <w:bCs w:val="1"/>
        </w:rPr>
      </w:pPr>
      <w:r>
        <w:rPr>
          <w:rtl w:val="0"/>
          <w:lang w:val="en-US"/>
        </w:rPr>
        <w:t>English</w:t>
      </w:r>
      <w:r>
        <w:rPr>
          <w:rFonts w:ascii="IBM Plex Sans Regular" w:cs="IBM Plex Sans Regular" w:hAnsi="IBM Plex Sans Regular" w:eastAsia="IBM Plex Sans Regular"/>
          <w:b w:val="1"/>
          <w:bCs w:val="1"/>
        </w:rPr>
        <w:br w:type="textWrapping"/>
      </w:r>
    </w:p>
    <w:p>
      <w:pPr>
        <w:pStyle w:val="Body A"/>
        <w:rPr>
          <w:rFonts w:ascii="IBM Plex Sans Regular" w:cs="IBM Plex Sans Regular" w:hAnsi="IBM Plex Sans Regular" w:eastAsia="IBM Plex Sans Regular"/>
          <w:b w:val="1"/>
          <w:bCs w:val="1"/>
        </w:rPr>
      </w:pPr>
      <w:r>
        <w:rPr>
          <w:rFonts w:ascii="IBM Plex Sans Regular" w:cs="IBM Plex Sans Regular" w:hAnsi="IBM Plex Sans Regular" w:eastAsia="IBM Plex Sans Regular"/>
          <w:b w:val="1"/>
          <w:bCs w:val="1"/>
          <w:rtl w:val="0"/>
          <w:lang w:val="en-US"/>
        </w:rPr>
        <w:t>9. Calendar (Short) Course Description:</w:t>
      </w:r>
    </w:p>
    <w:p>
      <w:pPr>
        <w:pStyle w:val="Body A"/>
      </w:pPr>
      <w:r>
        <w:br w:type="textWrapping"/>
      </w:r>
      <w:r>
        <w:rPr>
          <w:rtl w:val="0"/>
          <w:lang w:val="en-US"/>
        </w:rPr>
        <w:t>Scientific synthesis of all academic evidence from data sources to published papers promotes evidence-informed decision making. Every discipline, from molecular biology to evolutionary biology, can benefit from advanced use of synthesis tools. This course develops a set of tools to support innovation and to leverage evidence through meta-analyses and systematic reviews.</w:t>
      </w:r>
    </w:p>
    <w:p>
      <w:pPr>
        <w:pStyle w:val="Body A"/>
        <w:rPr>
          <w:b w:val="1"/>
          <w:bCs w:val="1"/>
        </w:rPr>
      </w:pPr>
    </w:p>
    <w:p>
      <w:pPr>
        <w:pStyle w:val="Body A"/>
        <w:rPr>
          <w:rFonts w:ascii="IBM Plex Sans Regular" w:cs="IBM Plex Sans Regular" w:hAnsi="IBM Plex Sans Regular" w:eastAsia="IBM Plex Sans Regular"/>
          <w:b w:val="1"/>
          <w:bCs w:val="1"/>
        </w:rPr>
      </w:pPr>
      <w:r>
        <w:rPr>
          <w:rFonts w:ascii="IBM Plex Sans Regular" w:cs="IBM Plex Sans Regular" w:hAnsi="IBM Plex Sans Regular" w:eastAsia="IBM Plex Sans Regular"/>
          <w:b w:val="1"/>
          <w:bCs w:val="1"/>
          <w:rtl w:val="0"/>
          <w:lang w:val="en-US"/>
        </w:rPr>
        <w:t>10. Expanded Course Description:</w:t>
      </w:r>
    </w:p>
    <w:p>
      <w:pPr>
        <w:pStyle w:val="Body A"/>
        <w:rPr>
          <w:b w:val="1"/>
          <w:bCs w:val="1"/>
        </w:rPr>
      </w:pPr>
    </w:p>
    <w:p>
      <w:pPr>
        <w:pStyle w:val="Body A"/>
        <w:rPr>
          <w:rStyle w:val="None"/>
          <w:rFonts w:ascii="IBM Plex Sans Regular" w:cs="IBM Plex Sans Regular" w:hAnsi="IBM Plex Sans Regular" w:eastAsia="IBM Plex Sans Regular"/>
          <w:b w:val="1"/>
          <w:bCs w:val="1"/>
        </w:rPr>
      </w:pPr>
      <w:r>
        <w:rPr>
          <w:rFonts w:ascii="IBM Plex Sans Regular" w:cs="IBM Plex Sans Regular" w:hAnsi="IBM Plex Sans Regular" w:eastAsia="IBM Plex Sans Regular"/>
          <w:b w:val="1"/>
          <w:bCs w:val="1"/>
          <w:rtl w:val="0"/>
          <w:lang w:val="en-US"/>
        </w:rPr>
        <w:t xml:space="preserve">The course is developed and published in full here as an open, free e-book reader: </w:t>
      </w:r>
      <w:r>
        <w:rPr>
          <w:rFonts w:ascii="IBM Plex Sans Regular" w:cs="IBM Plex Sans Regular" w:hAnsi="IBM Plex Sans Regular" w:eastAsia="IBM Plex Sans Regular"/>
          <w:b w:val="1"/>
          <w:bCs w:val="1"/>
        </w:rPr>
        <w:br w:type="textWrapping"/>
      </w:r>
      <w:r>
        <w:rPr>
          <w:rStyle w:val="Hyperlink.0"/>
        </w:rPr>
        <w:fldChar w:fldCharType="begin" w:fldLock="0"/>
      </w:r>
      <w:r>
        <w:rPr>
          <w:rStyle w:val="Hyperlink.0"/>
        </w:rPr>
        <w:instrText xml:space="preserve"> HYPERLINK "https://bookdown.org/chris/quantitative_synthesis_tools/"</w:instrText>
      </w:r>
      <w:r>
        <w:rPr>
          <w:rStyle w:val="Hyperlink.0"/>
        </w:rPr>
        <w:fldChar w:fldCharType="separate" w:fldLock="0"/>
      </w:r>
      <w:r>
        <w:rPr>
          <w:rStyle w:val="Hyperlink.0"/>
          <w:rtl w:val="0"/>
        </w:rPr>
        <w:t>https://bookdown.org/chris/quantitative_synthesis_tools/</w:t>
      </w:r>
      <w:r>
        <w:rPr/>
        <w:fldChar w:fldCharType="end" w:fldLock="0"/>
      </w:r>
    </w:p>
    <w:p>
      <w:pPr>
        <w:pStyle w:val="Body A"/>
        <w:rPr>
          <w:rStyle w:val="None"/>
          <w:b w:val="1"/>
          <w:bCs w:val="1"/>
        </w:rPr>
      </w:pPr>
    </w:p>
    <w:p>
      <w:pPr>
        <w:pStyle w:val="Body A"/>
        <w:rPr>
          <w:rStyle w:val="None"/>
          <w:rFonts w:ascii="IBM Plex Sans Regular" w:cs="IBM Plex Sans Regular" w:hAnsi="IBM Plex Sans Regular" w:eastAsia="IBM Plex Sans Regular"/>
          <w:b w:val="1"/>
          <w:bCs w:val="1"/>
        </w:rPr>
      </w:pPr>
      <w:r>
        <w:rPr>
          <w:rStyle w:val="None"/>
          <w:rFonts w:ascii="IBM Plex Sans Regular" w:cs="IBM Plex Sans Regular" w:hAnsi="IBM Plex Sans Regular" w:eastAsia="IBM Plex Sans Regular"/>
          <w:b w:val="1"/>
          <w:bCs w:val="1"/>
          <w:rtl w:val="0"/>
          <w:lang w:val="en-US"/>
        </w:rPr>
        <w:t>Outline</w:t>
      </w:r>
    </w:p>
    <w:p>
      <w:pPr>
        <w:pStyle w:val="Body A"/>
        <w:rPr>
          <w:rStyle w:val="None"/>
          <w:b w:val="1"/>
          <w:bCs w:val="1"/>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spacing w:before="0" w:line="240" w:lineRule="auto"/>
        <w:rPr>
          <w:rStyle w:val="None"/>
          <w:rFonts w:ascii="Helvetica" w:cs="Helvetica" w:hAnsi="Helvetica" w:eastAsia="Helvetica"/>
          <w:lang w:val="en-US"/>
        </w:rPr>
      </w:pPr>
      <w:r>
        <w:rPr>
          <w:rStyle w:val="None"/>
          <w:rFonts w:ascii="Helvetica" w:hAnsi="Helvetica"/>
          <w:rtl w:val="0"/>
          <w:lang w:val="en-US"/>
        </w:rPr>
        <w:t>1</w:t>
        <w:tab/>
        <w:t>Introduction to synthesis in science:</w:t>
        <w:tab/>
        <w:t>Examine the scope and extent of synthesis in contemporary science for many disciplines.</w:t>
        <w:tab/>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spacing w:before="0" w:line="240" w:lineRule="auto"/>
        <w:rPr>
          <w:rStyle w:val="None"/>
          <w:rFonts w:ascii="Helvetica" w:cs="Helvetica" w:hAnsi="Helvetica" w:eastAsia="Helvetica"/>
          <w:lang w:val="en-US"/>
        </w:rPr>
      </w:pPr>
      <w:r>
        <w:rPr>
          <w:rStyle w:val="None"/>
          <w:rFonts w:ascii="Helvetica" w:hAnsi="Helvetica"/>
          <w:rtl w:val="0"/>
          <w:lang w:val="en-US"/>
        </w:rPr>
        <w:t>2</w:t>
        <w:tab/>
        <w:t>Quantitative synthesis tools:</w:t>
        <w:tab/>
        <w:t>Explore conceptual and mental models for synthesis.</w:t>
        <w:tab/>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spacing w:before="0" w:line="240" w:lineRule="auto"/>
        <w:rPr>
          <w:rStyle w:val="None"/>
          <w:rFonts w:ascii="Helvetica" w:cs="Helvetica" w:hAnsi="Helvetica" w:eastAsia="Helvetica"/>
          <w:lang w:val="en-US"/>
        </w:rPr>
      </w:pPr>
      <w:r>
        <w:rPr>
          <w:rStyle w:val="None"/>
          <w:rFonts w:ascii="Helvetica" w:hAnsi="Helvetica"/>
          <w:rtl w:val="0"/>
          <w:lang w:val="en-US"/>
        </w:rPr>
        <w:t>3</w:t>
        <w:tab/>
        <w:t>Evidence workflow reporting:</w:t>
        <w:tab/>
        <w:t>Develop reporting documentation from a formal synthesis review process.</w:t>
        <w:tab/>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spacing w:before="0" w:line="240" w:lineRule="auto"/>
        <w:rPr>
          <w:rStyle w:val="None"/>
          <w:rFonts w:ascii="Helvetica" w:cs="Helvetica" w:hAnsi="Helvetica" w:eastAsia="Helvetica"/>
          <w:lang w:val="en-US"/>
        </w:rPr>
      </w:pPr>
      <w:r>
        <w:rPr>
          <w:rStyle w:val="None"/>
          <w:rFonts w:ascii="Helvetica" w:hAnsi="Helvetica"/>
          <w:rtl w:val="0"/>
          <w:lang w:val="en-US"/>
        </w:rPr>
        <w:t>4</w:t>
        <w:tab/>
        <w:t>Meta-analysis in R:</w:t>
        <w:tab/>
        <w:t>Develop a template for derived data for analyses, and complete a meta-analysis in R.</w:t>
        <w:tab/>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spacing w:before="0" w:line="240" w:lineRule="auto"/>
        <w:rPr>
          <w:rStyle w:val="None"/>
          <w:rFonts w:ascii="Helvetica" w:cs="Helvetica" w:hAnsi="Helvetica" w:eastAsia="Helvetica"/>
          <w:lang w:val="en-US"/>
        </w:rPr>
      </w:pPr>
      <w:r>
        <w:rPr>
          <w:rStyle w:val="None"/>
          <w:rFonts w:ascii="Helvetica" w:hAnsi="Helvetica"/>
          <w:rtl w:val="0"/>
          <w:lang w:val="en-US"/>
        </w:rPr>
        <w:t>5</w:t>
        <w:tab/>
        <w:t>Interpretation of meta-analyses:</w:t>
        <w:tab/>
        <w:t>Examine model outputs from meta-analyses and interpret. Identify key components.</w:t>
        <w:tab/>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spacing w:before="0" w:line="240" w:lineRule="auto"/>
        <w:rPr>
          <w:rStyle w:val="None"/>
          <w:rFonts w:ascii="Helvetica" w:cs="Helvetica" w:hAnsi="Helvetica" w:eastAsia="Helvetica"/>
          <w:b w:val="1"/>
          <w:bCs w:val="1"/>
          <w:lang w:val="en-US"/>
        </w:rPr>
      </w:pPr>
      <w:r>
        <w:rPr>
          <w:rStyle w:val="None"/>
          <w:rFonts w:ascii="Helvetica" w:hAnsi="Helvetica"/>
          <w:rtl w:val="0"/>
          <w:lang w:val="en-US"/>
        </w:rPr>
        <w:t>6</w:t>
        <w:tab/>
        <w:t>Coursework:</w:t>
        <w:tab/>
        <w:t>A summary of the steps needed to complete summative assessment including rubrics</w:t>
        <w:tab/>
      </w:r>
    </w:p>
    <w:p>
      <w:pPr>
        <w:pStyle w:val="Body A"/>
        <w:rPr>
          <w:rStyle w:val="None"/>
          <w:b w:val="1"/>
          <w:bCs w:val="1"/>
        </w:rPr>
      </w:pPr>
    </w:p>
    <w:p>
      <w:pPr>
        <w:pStyle w:val="Body A"/>
        <w:rPr>
          <w:rStyle w:val="None"/>
          <w:b w:val="1"/>
          <w:bCs w:val="1"/>
        </w:rPr>
      </w:pPr>
    </w:p>
    <w:p>
      <w:pPr>
        <w:pStyle w:val="Body A"/>
        <w:rPr>
          <w:rStyle w:val="None"/>
          <w:rFonts w:ascii="IBM Plex Sans Regular" w:cs="IBM Plex Sans Regular" w:hAnsi="IBM Plex Sans Regular" w:eastAsia="IBM Plex Sans Regular"/>
          <w:b w:val="1"/>
          <w:bCs w:val="1"/>
        </w:rPr>
      </w:pPr>
      <w:r>
        <w:rPr>
          <w:rStyle w:val="None"/>
          <w:rFonts w:ascii="IBM Plex Sans Regular" w:cs="IBM Plex Sans Regular" w:hAnsi="IBM Plex Sans Regular" w:eastAsia="IBM Plex Sans Regular"/>
          <w:b w:val="1"/>
          <w:bCs w:val="1"/>
          <w:rtl w:val="0"/>
          <w:lang w:val="en-US"/>
        </w:rPr>
        <w:t>11. Course Learning Outcomes:</w:t>
      </w:r>
    </w:p>
    <w:p>
      <w:pPr>
        <w:pStyle w:val="Body A"/>
        <w:rPr>
          <w:rStyle w:val="None"/>
          <w:b w:val="1"/>
          <w:bCs w:val="1"/>
        </w:rPr>
      </w:pPr>
    </w:p>
    <w:p>
      <w:pPr>
        <w:pStyle w:val="Body A"/>
      </w:pPr>
      <w:r>
        <w:rPr>
          <w:rStyle w:val="None"/>
          <w:rtl w:val="0"/>
          <w:lang w:val="en-US"/>
        </w:rPr>
        <w:t>Critically review peer-reviewed journal publications.</w:t>
      </w:r>
    </w:p>
    <w:p>
      <w:pPr>
        <w:pStyle w:val="Body A"/>
      </w:pPr>
      <w:r>
        <w:rPr>
          <w:rStyle w:val="None"/>
          <w:rtl w:val="0"/>
          <w:lang w:val="en-US"/>
        </w:rPr>
        <w:t>Engineer syntheses and solutions from published evidence.</w:t>
      </w:r>
    </w:p>
    <w:p>
      <w:pPr>
        <w:pStyle w:val="Body A"/>
      </w:pPr>
      <w:r>
        <w:rPr>
          <w:rStyle w:val="None"/>
          <w:rtl w:val="0"/>
          <w:lang w:val="en-US"/>
        </w:rPr>
        <w:t>Understand strengths of different synthesis tools and reporting.</w:t>
      </w:r>
    </w:p>
    <w:p>
      <w:pPr>
        <w:pStyle w:val="Body A"/>
        <w:rPr>
          <w:rStyle w:val="None"/>
          <w:rFonts w:ascii="IBM Plex Sans Regular" w:cs="IBM Plex Sans Regular" w:hAnsi="IBM Plex Sans Regular" w:eastAsia="IBM Plex Sans Regular"/>
          <w:b w:val="1"/>
          <w:bCs w:val="1"/>
        </w:rPr>
      </w:pPr>
      <w:r>
        <w:rPr>
          <w:rStyle w:val="None"/>
          <w:rtl w:val="0"/>
          <w:lang w:val="en-US"/>
        </w:rPr>
        <w:t>Do a meta-analysis or systematic review.</w:t>
      </w:r>
      <w:r>
        <w:rPr>
          <w:rStyle w:val="None"/>
        </w:rPr>
        <w:br w:type="textWrapping"/>
      </w:r>
    </w:p>
    <w:p>
      <w:pPr>
        <w:pStyle w:val="Body A"/>
        <w:rPr>
          <w:rStyle w:val="None"/>
          <w:rFonts w:ascii="IBM Plex Sans Regular" w:cs="IBM Plex Sans Regular" w:hAnsi="IBM Plex Sans Regular" w:eastAsia="IBM Plex Sans Regular"/>
          <w:b w:val="1"/>
          <w:bCs w:val="1"/>
          <w:lang w:val="it-IT"/>
        </w:rPr>
      </w:pPr>
      <w:r>
        <w:rPr>
          <w:rStyle w:val="None"/>
          <w:rFonts w:ascii="IBM Plex Sans Regular" w:cs="IBM Plex Sans Regular" w:hAnsi="IBM Plex Sans Regular" w:eastAsia="IBM Plex Sans Regular"/>
          <w:b w:val="1"/>
          <w:bCs w:val="1"/>
          <w:rtl w:val="0"/>
          <w:lang w:val="it-IT"/>
        </w:rPr>
        <w:t>12. Rationale:</w:t>
      </w:r>
    </w:p>
    <w:p>
      <w:pPr>
        <w:pStyle w:val="Body A"/>
        <w:rPr>
          <w:rStyle w:val="None"/>
        </w:rPr>
      </w:pPr>
      <w:r>
        <w:rPr>
          <w:rStyle w:val="None"/>
          <w:rtl w:val="0"/>
          <w:lang w:val="en-US"/>
        </w:rPr>
        <w:t>Scientific synthesis of published evidence in all disciplines is a critical professional skill as an academic. This course consolidates critical thinking in reading the work of others, reusing evidence, and addressing open and more inclusive, diverse science because transparency in scientific reporting is paramount to progress and evidence-informed science. This is a strongly interdisciplinary course that takes a deep and wide big-picture view of scientific evidence and how it can be combined through synthesis.</w:t>
      </w:r>
    </w:p>
    <w:p>
      <w:pPr>
        <w:pStyle w:val="Body A"/>
        <w:rPr>
          <w:rStyle w:val="None"/>
        </w:rPr>
      </w:pPr>
    </w:p>
    <w:p>
      <w:pPr>
        <w:pStyle w:val="Body A"/>
        <w:rPr>
          <w:rStyle w:val="None"/>
        </w:rPr>
      </w:pPr>
      <w:r>
        <w:rPr>
          <w:rStyle w:val="None"/>
          <w:rtl w:val="0"/>
          <w:lang w:val="en-US"/>
        </w:rPr>
        <w:t xml:space="preserve">Many offerings in the Biology graduate program currently examine advanced discipline-specific topics including GS/BIOL5027 Topics in Molecular Biology I: Gene Expressions, GS/BIOL 5028 Topics in Molecular Biology II: Proteins, GS/BIOL 5088 Advanced Topics in Ecology and Evolution, GS/BIOL 5098 Conservation Biology, and GS/BIOL 5128 Current Topics in Comparative and Integrative Animal Physiology to name a few. However, there is a need to develop advanced quantitative critical thinking skills. This proposed course in meta-analyses and systematic reviews does not overlap with advanced topics courses although the latter may include individual assignments to write short literature reviews or to critique a published paper.  This </w:t>
      </w:r>
      <w:r>
        <w:rPr>
          <w:rStyle w:val="None"/>
          <w:rtl w:val="0"/>
          <w:lang w:val="en-US"/>
        </w:rPr>
        <w:t>offering</w:t>
      </w:r>
      <w:r>
        <w:rPr>
          <w:rStyle w:val="None"/>
          <w:rtl w:val="0"/>
          <w:lang w:val="en-US"/>
        </w:rPr>
        <w:t xml:space="preserve"> augments all these offerings because it enables general framing and provides widely-applicable tools to evaluate the relative strength of evidence in any published literature. It also extends GS/BIOL 5081 Intro. To Biostatistics that focuses on establishing strong skills in R and open biostatistical analyses. This course consolidates statistical thinking and reason for the sciences.  Finally, it does not overlap with the focussed critical skills offerings such as GS/BIOL 5100 Critical Skills in Animal Physiology or GS/BIOL 5086 </w:t>
      </w:r>
      <w:r>
        <w:rPr>
          <w:rStyle w:val="None"/>
          <w:rtl w:val="0"/>
          <w:lang w:val="en-US"/>
        </w:rPr>
        <w:t> </w:t>
      </w:r>
      <w:r>
        <w:rPr>
          <w:rStyle w:val="None"/>
          <w:rtl w:val="0"/>
          <w:lang w:val="en-US"/>
        </w:rPr>
        <w:t xml:space="preserve">Critical Skills in Ecology and Evolution that focus more specifically on these fields of study and effective oral and written communication. It consolidates principles but does not overlap with the tools developed in GS/BIOL 5144 Computer Programming for Experimental Psychology. </w:t>
      </w:r>
    </w:p>
    <w:p>
      <w:pPr>
        <w:pStyle w:val="Body A"/>
        <w:rPr>
          <w:rStyle w:val="None"/>
        </w:rPr>
      </w:pPr>
    </w:p>
    <w:p>
      <w:pPr>
        <w:pStyle w:val="Body A"/>
      </w:pPr>
      <w:r>
        <w:rPr>
          <w:rStyle w:val="None"/>
          <w:rtl w:val="0"/>
          <w:lang w:val="en-US"/>
        </w:rPr>
        <w:t xml:space="preserve">In summary, the current graduate curriculum provides a strong set of learning materials in specificity with biostatistics, computation, and the advanced topics, but this course provides opportunities to broadly evaluate interdisciplinary scientific evidence using contemporary powerful tools. All theses contain a critical review of literature, and with training from this course, these chapters could include meta-analyses for publication in peer-reviewed journals. Importantly, it brings new skills/pedagogy to the curriculum by teaching students how to reuse published literature for reproducible and quantitative science to inform decision making in all fields of science. </w:t>
      </w:r>
    </w:p>
    <w:p>
      <w:pPr>
        <w:pStyle w:val="Body A"/>
      </w:pPr>
    </w:p>
    <w:p>
      <w:pPr>
        <w:pStyle w:val="Body A"/>
        <w:rPr>
          <w:rStyle w:val="None"/>
          <w:b w:val="1"/>
          <w:bCs w:val="1"/>
        </w:rPr>
      </w:pPr>
    </w:p>
    <w:p>
      <w:pPr>
        <w:pStyle w:val="Body A"/>
        <w:rPr>
          <w:rStyle w:val="None"/>
          <w:rFonts w:ascii="IBM Plex Sans Regular" w:cs="IBM Plex Sans Regular" w:hAnsi="IBM Plex Sans Regular" w:eastAsia="IBM Plex Sans Regular"/>
          <w:b w:val="1"/>
          <w:bCs w:val="1"/>
        </w:rPr>
      </w:pPr>
      <w:r>
        <w:rPr>
          <w:rStyle w:val="None"/>
          <w:rFonts w:ascii="IBM Plex Sans Regular" w:cs="IBM Plex Sans Regular" w:hAnsi="IBM Plex Sans Regular" w:eastAsia="IBM Plex Sans Regular"/>
          <w:b w:val="1"/>
          <w:bCs w:val="1"/>
          <w:rtl w:val="0"/>
          <w:lang w:val="en-US"/>
        </w:rPr>
        <w:t>13. Evaluation:</w:t>
      </w:r>
    </w:p>
    <w:p>
      <w:pPr>
        <w:pStyle w:val="Body A"/>
      </w:pPr>
      <w:r>
        <w:rPr>
          <w:rStyle w:val="None"/>
          <w:rtl w:val="0"/>
          <w:lang w:val="en-US"/>
        </w:rPr>
        <w:t>Three summative exercises are associated with successful completion of this course.</w:t>
      </w:r>
    </w:p>
    <w:p>
      <w:pPr>
        <w:pStyle w:val="Body A"/>
      </w:pPr>
    </w:p>
    <w:p>
      <w:pPr>
        <w:pStyle w:val="Body A"/>
        <w:rPr>
          <w:rStyle w:val="None"/>
          <w:rFonts w:ascii="IBM Plex Sans Regular" w:cs="IBM Plex Sans Regular" w:hAnsi="IBM Plex Sans Regular" w:eastAsia="IBM Plex Sans Regular"/>
          <w:b w:val="1"/>
          <w:bCs w:val="1"/>
        </w:rPr>
      </w:pPr>
      <w:r>
        <w:rPr>
          <w:rStyle w:val="None"/>
          <w:rFonts w:ascii="IBM Plex Sans Regular" w:cs="IBM Plex Sans Regular" w:hAnsi="IBM Plex Sans Regular" w:eastAsia="IBM Plex Sans Regular"/>
          <w:b w:val="1"/>
          <w:bCs w:val="1"/>
          <w:rtl w:val="0"/>
          <w:lang w:val="en-US"/>
        </w:rPr>
        <w:t>Assignment 1: evidence maps</w:t>
      </w:r>
    </w:p>
    <w:p>
      <w:pPr>
        <w:pStyle w:val="Body A"/>
      </w:pPr>
      <w:r>
        <w:rPr>
          <w:rStyle w:val="None"/>
          <w:rtl w:val="0"/>
          <w:lang w:val="en-US"/>
        </w:rPr>
        <w:t xml:space="preserve">Design an </w:t>
      </w:r>
      <w:r>
        <w:rPr>
          <w:rStyle w:val="None"/>
          <w:rtl w:val="1"/>
          <w:lang w:val="ar-SA" w:bidi="ar-SA"/>
        </w:rPr>
        <w:t>‘</w:t>
      </w:r>
      <w:r>
        <w:rPr>
          <w:rStyle w:val="None"/>
          <w:rtl w:val="0"/>
          <w:lang w:val="en-US"/>
        </w:rPr>
        <w:t>evidence map for evidence gaps</w:t>
      </w:r>
      <w:r>
        <w:rPr>
          <w:rStyle w:val="None"/>
          <w:rtl w:val="1"/>
          <w:lang w:val="ar-SA" w:bidi="ar-SA"/>
        </w:rPr>
        <w:t xml:space="preserve">’ </w:t>
      </w:r>
      <w:r>
        <w:rPr>
          <w:rStyle w:val="None"/>
          <w:rtl w:val="0"/>
          <w:lang w:val="en-US"/>
        </w:rPr>
        <w:t xml:space="preserve">or </w:t>
      </w:r>
      <w:r>
        <w:rPr>
          <w:rStyle w:val="None"/>
          <w:rtl w:val="1"/>
          <w:lang w:val="ar-SA" w:bidi="ar-SA"/>
        </w:rPr>
        <w:t>‘</w:t>
      </w:r>
      <w:r>
        <w:rPr>
          <w:rStyle w:val="None"/>
          <w:rtl w:val="0"/>
          <w:lang w:val="en-US"/>
        </w:rPr>
        <w:t>evidence map as a geographic map</w:t>
      </w:r>
      <w:r>
        <w:rPr>
          <w:rStyle w:val="None"/>
          <w:rtl w:val="1"/>
          <w:lang w:val="ar-SA" w:bidi="ar-SA"/>
        </w:rPr>
        <w:t xml:space="preserve">’ </w:t>
      </w:r>
      <w:r>
        <w:rPr>
          <w:rStyle w:val="None"/>
          <w:rtl w:val="0"/>
          <w:lang w:val="en-US"/>
        </w:rPr>
        <w:t>for a topic of your choice in your expertise or domain of research.</w:t>
      </w:r>
    </w:p>
    <w:p>
      <w:pPr>
        <w:pStyle w:val="Body A"/>
        <w:rPr>
          <w:rStyle w:val="None"/>
          <w:b w:val="1"/>
          <w:bCs w:val="1"/>
        </w:rPr>
      </w:pPr>
    </w:p>
    <w:p>
      <w:pPr>
        <w:pStyle w:val="Body A"/>
        <w:rPr>
          <w:rStyle w:val="None"/>
          <w:rFonts w:ascii="IBM Plex Sans Regular" w:cs="IBM Plex Sans Regular" w:hAnsi="IBM Plex Sans Regular" w:eastAsia="IBM Plex Sans Regular"/>
          <w:b w:val="1"/>
          <w:bCs w:val="1"/>
        </w:rPr>
      </w:pPr>
      <w:r>
        <w:rPr>
          <w:rStyle w:val="None"/>
          <w:rFonts w:ascii="IBM Plex Sans Regular" w:cs="IBM Plex Sans Regular" w:hAnsi="IBM Plex Sans Regular" w:eastAsia="IBM Plex Sans Regular"/>
          <w:b w:val="1"/>
          <w:bCs w:val="1"/>
          <w:rtl w:val="0"/>
          <w:lang w:val="en-US"/>
        </w:rPr>
        <w:t>Learning outcomes</w:t>
      </w:r>
    </w:p>
    <w:p>
      <w:pPr>
        <w:pStyle w:val="Body A"/>
      </w:pPr>
      <w:r>
        <w:rPr>
          <w:rStyle w:val="None"/>
          <w:rtl w:val="0"/>
          <w:lang w:val="en-US"/>
        </w:rPr>
        <w:t>Develop a checklist for reading systematic reviews and meta-analyses.</w:t>
      </w:r>
    </w:p>
    <w:p>
      <w:pPr>
        <w:pStyle w:val="Body A"/>
        <w:rPr>
          <w:lang w:val="fr-FR"/>
        </w:rPr>
      </w:pPr>
      <w:r>
        <w:rPr>
          <w:rStyle w:val="None"/>
          <w:rtl w:val="0"/>
          <w:lang w:val="fr-FR"/>
        </w:rPr>
        <w:t>Document a quantitative synthesis process.</w:t>
      </w:r>
    </w:p>
    <w:p>
      <w:pPr>
        <w:pStyle w:val="Body A"/>
        <w:rPr>
          <w:rStyle w:val="None"/>
          <w:b w:val="1"/>
          <w:bCs w:val="1"/>
        </w:rPr>
      </w:pPr>
    </w:p>
    <w:p>
      <w:pPr>
        <w:pStyle w:val="Body A"/>
        <w:rPr>
          <w:rStyle w:val="None"/>
          <w:rFonts w:ascii="IBM Plex Sans Regular" w:cs="IBM Plex Sans Regular" w:hAnsi="IBM Plex Sans Regular" w:eastAsia="IBM Plex Sans Regular"/>
          <w:b w:val="1"/>
          <w:bCs w:val="1"/>
        </w:rPr>
      </w:pPr>
      <w:r>
        <w:rPr>
          <w:rStyle w:val="None"/>
          <w:rFonts w:ascii="IBM Plex Sans Regular" w:cs="IBM Plex Sans Regular" w:hAnsi="IBM Plex Sans Regular" w:eastAsia="IBM Plex Sans Regular"/>
          <w:b w:val="1"/>
          <w:bCs w:val="1"/>
          <w:rtl w:val="0"/>
          <w:lang w:val="en-US"/>
        </w:rPr>
        <w:t>Critical skills</w:t>
      </w:r>
    </w:p>
    <w:p>
      <w:pPr>
        <w:pStyle w:val="Body A"/>
      </w:pPr>
    </w:p>
    <w:p>
      <w:pPr>
        <w:pStyle w:val="Body A"/>
      </w:pPr>
      <w:r>
        <w:rPr>
          <w:rStyle w:val="None"/>
          <w:rtl w:val="0"/>
          <w:lang w:val="en-US"/>
        </w:rPr>
        <w:t xml:space="preserve">In this first assignment, skills developed include being able to transform your research expertise into formal scientific evidence and to synthesize peer-reviewed science papers. The checklist will adhere to common synthesis standards also enabling students to compare their work to published examples of synthesis workflows in all fields that publish synthesis science papers. </w:t>
      </w:r>
    </w:p>
    <w:p>
      <w:pPr>
        <w:pStyle w:val="Body A"/>
      </w:pPr>
    </w:p>
    <w:p>
      <w:pPr>
        <w:pStyle w:val="Body A"/>
        <w:rPr>
          <w:rStyle w:val="None"/>
          <w:rFonts w:ascii="IBM Plex Sans Regular" w:cs="IBM Plex Sans Regular" w:hAnsi="IBM Plex Sans Regular" w:eastAsia="IBM Plex Sans Regular"/>
          <w:b w:val="1"/>
          <w:bCs w:val="1"/>
        </w:rPr>
      </w:pPr>
      <w:r>
        <w:rPr>
          <w:rStyle w:val="None"/>
          <w:rFonts w:ascii="IBM Plex Sans Regular" w:cs="IBM Plex Sans Regular" w:hAnsi="IBM Plex Sans Regular" w:eastAsia="IBM Plex Sans Regular"/>
          <w:b w:val="1"/>
          <w:bCs w:val="1"/>
          <w:rtl w:val="0"/>
          <w:lang w:val="en-US"/>
        </w:rPr>
        <w:t>Total value 30%</w:t>
      </w:r>
    </w:p>
    <w:p>
      <w:pPr>
        <w:pStyle w:val="Body A"/>
        <w:rPr>
          <w:rStyle w:val="None"/>
          <w:b w:val="1"/>
          <w:bCs w:val="1"/>
        </w:rPr>
      </w:pPr>
    </w:p>
    <w:p>
      <w:pPr>
        <w:pStyle w:val="Body A"/>
        <w:rPr>
          <w:rStyle w:val="None"/>
          <w:rFonts w:ascii="IBM Plex Sans Regular" w:cs="IBM Plex Sans Regular" w:hAnsi="IBM Plex Sans Regular" w:eastAsia="IBM Plex Sans Regular"/>
          <w:b w:val="1"/>
          <w:bCs w:val="1"/>
        </w:rPr>
      </w:pPr>
      <w:r>
        <w:rPr>
          <w:rStyle w:val="None"/>
          <w:rFonts w:ascii="IBM Plex Sans Regular" w:cs="IBM Plex Sans Regular" w:hAnsi="IBM Plex Sans Regular" w:eastAsia="IBM Plex Sans Regular"/>
          <w:b w:val="1"/>
          <w:bCs w:val="1"/>
          <w:rtl w:val="0"/>
          <w:lang w:val="en-US"/>
        </w:rPr>
        <w:t>Assignment 2: ignite commentary</w:t>
      </w:r>
    </w:p>
    <w:p>
      <w:pPr>
        <w:pStyle w:val="Body A"/>
        <w:rPr>
          <w:rStyle w:val="None"/>
          <w:b w:val="1"/>
          <w:bCs w:val="1"/>
        </w:rPr>
      </w:pPr>
    </w:p>
    <w:p>
      <w:pPr>
        <w:pStyle w:val="Body A"/>
      </w:pPr>
      <w:r>
        <w:rPr>
          <w:rStyle w:val="None"/>
          <w:rtl w:val="0"/>
          <w:lang w:val="en-US"/>
        </w:rPr>
        <w:t>Based on your synthesis work completed in product 1, provide a short &lt; 2000 word Ignite format contribution appropriate for the journal Oikos that inspired this format of contribution to science.</w:t>
      </w:r>
    </w:p>
    <w:p>
      <w:pPr>
        <w:pStyle w:val="Body A"/>
      </w:pPr>
    </w:p>
    <w:p>
      <w:pPr>
        <w:pStyle w:val="Body A"/>
        <w:rPr>
          <w:rStyle w:val="None"/>
          <w:rFonts w:ascii="IBM Plex Sans Regular" w:cs="IBM Plex Sans Regular" w:hAnsi="IBM Plex Sans Regular" w:eastAsia="IBM Plex Sans Regular"/>
          <w:b w:val="1"/>
          <w:bCs w:val="1"/>
        </w:rPr>
      </w:pPr>
      <w:r>
        <w:rPr>
          <w:rStyle w:val="None"/>
          <w:rFonts w:ascii="IBM Plex Sans Regular" w:cs="IBM Plex Sans Regular" w:hAnsi="IBM Plex Sans Regular" w:eastAsia="IBM Plex Sans Regular"/>
          <w:b w:val="1"/>
          <w:bCs w:val="1"/>
          <w:rtl w:val="0"/>
          <w:lang w:val="en-US"/>
        </w:rPr>
        <w:t>Learning outcomes</w:t>
      </w:r>
    </w:p>
    <w:p>
      <w:pPr>
        <w:pStyle w:val="Body A"/>
      </w:pPr>
      <w:r>
        <w:rPr>
          <w:rStyle w:val="None"/>
          <w:rtl w:val="0"/>
          <w:lang w:val="en-US"/>
        </w:rPr>
        <w:t>Consolidate understanding of key synthesis elements from the literature.</w:t>
      </w:r>
    </w:p>
    <w:p>
      <w:pPr>
        <w:pStyle w:val="Body A"/>
      </w:pPr>
      <w:r>
        <w:rPr>
          <w:rStyle w:val="None"/>
          <w:rtl w:val="0"/>
          <w:lang w:val="en-US"/>
        </w:rPr>
        <w:t>Effectively community in writing trends in a field of scientific research.</w:t>
      </w:r>
    </w:p>
    <w:p>
      <w:pPr>
        <w:pStyle w:val="Body A"/>
      </w:pPr>
      <w:r>
        <w:rPr>
          <w:rStyle w:val="None"/>
          <w:rtl w:val="0"/>
          <w:lang w:val="en-US"/>
        </w:rPr>
        <w:t>Practice writing succinctly and directly.</w:t>
      </w:r>
    </w:p>
    <w:p>
      <w:pPr>
        <w:pStyle w:val="Body A"/>
      </w:pPr>
    </w:p>
    <w:p>
      <w:pPr>
        <w:pStyle w:val="Body A"/>
        <w:rPr>
          <w:rStyle w:val="None"/>
          <w:rFonts w:ascii="IBM Plex Sans Regular" w:cs="IBM Plex Sans Regular" w:hAnsi="IBM Plex Sans Regular" w:eastAsia="IBM Plex Sans Regular"/>
          <w:b w:val="1"/>
          <w:bCs w:val="1"/>
        </w:rPr>
      </w:pPr>
      <w:r>
        <w:rPr>
          <w:rStyle w:val="None"/>
          <w:rFonts w:ascii="IBM Plex Sans Regular" w:cs="IBM Plex Sans Regular" w:hAnsi="IBM Plex Sans Regular" w:eastAsia="IBM Plex Sans Regular"/>
          <w:b w:val="1"/>
          <w:bCs w:val="1"/>
          <w:rtl w:val="0"/>
          <w:lang w:val="en-US"/>
        </w:rPr>
        <w:t>Critical skills</w:t>
      </w:r>
    </w:p>
    <w:p>
      <w:pPr>
        <w:pStyle w:val="Body A"/>
      </w:pPr>
    </w:p>
    <w:p>
      <w:pPr>
        <w:pStyle w:val="Body A"/>
      </w:pPr>
      <w:r>
        <w:rPr>
          <w:rStyle w:val="None"/>
          <w:rtl w:val="0"/>
          <w:lang w:val="en-US"/>
        </w:rPr>
        <w:t>In this second assignment, skills development scaffolding upon existing works and lessons developed earlier in the course. The evidence that students reviewed is then described in a short, direct paper refining their writing skills. A critical skill in science is being able to communicate directly, clearly, and in brief, key trends and gaps in research and what we know in science. This assignment directly supports refinement of communication and high-level synthesis thinking that is big picture and accessible to a wide readership.</w:t>
      </w:r>
    </w:p>
    <w:p>
      <w:pPr>
        <w:pStyle w:val="Body A"/>
      </w:pPr>
    </w:p>
    <w:p>
      <w:pPr>
        <w:pStyle w:val="Body A"/>
        <w:rPr>
          <w:rStyle w:val="None"/>
          <w:rFonts w:ascii="IBM Plex Sans Regular" w:cs="IBM Plex Sans Regular" w:hAnsi="IBM Plex Sans Regular" w:eastAsia="IBM Plex Sans Regular"/>
          <w:b w:val="1"/>
          <w:bCs w:val="1"/>
        </w:rPr>
      </w:pPr>
      <w:r>
        <w:rPr>
          <w:rStyle w:val="None"/>
          <w:rFonts w:ascii="IBM Plex Sans Regular" w:cs="IBM Plex Sans Regular" w:hAnsi="IBM Plex Sans Regular" w:eastAsia="IBM Plex Sans Regular"/>
          <w:b w:val="1"/>
          <w:bCs w:val="1"/>
          <w:rtl w:val="0"/>
          <w:lang w:val="en-US"/>
        </w:rPr>
        <w:t>Total value 25%</w:t>
      </w:r>
    </w:p>
    <w:p>
      <w:pPr>
        <w:pStyle w:val="Body A"/>
        <w:rPr>
          <w:rStyle w:val="None"/>
          <w:b w:val="1"/>
          <w:bCs w:val="1"/>
        </w:rPr>
      </w:pPr>
    </w:p>
    <w:p>
      <w:pPr>
        <w:pStyle w:val="Body A"/>
        <w:rPr>
          <w:rStyle w:val="None"/>
          <w:rFonts w:ascii="IBM Plex Sans Regular" w:cs="IBM Plex Sans Regular" w:hAnsi="IBM Plex Sans Regular" w:eastAsia="IBM Plex Sans Regular"/>
          <w:b w:val="1"/>
          <w:bCs w:val="1"/>
        </w:rPr>
      </w:pPr>
      <w:r>
        <w:rPr>
          <w:rStyle w:val="None"/>
          <w:rFonts w:ascii="IBM Plex Sans Regular" w:cs="IBM Plex Sans Regular" w:hAnsi="IBM Plex Sans Regular" w:eastAsia="IBM Plex Sans Regular"/>
          <w:b w:val="1"/>
          <w:bCs w:val="1"/>
          <w:rtl w:val="0"/>
          <w:lang w:val="en-US"/>
        </w:rPr>
        <w:t>Assignment 3: meta-analysis</w:t>
      </w:r>
    </w:p>
    <w:p>
      <w:pPr>
        <w:pStyle w:val="Body A"/>
      </w:pPr>
      <w:r>
        <w:rPr>
          <w:rStyle w:val="None"/>
          <w:rtl w:val="0"/>
          <w:lang w:val="en-US"/>
        </w:rPr>
        <w:t>Complete a meta-analysis in R for a subset of your studies.</w:t>
      </w:r>
    </w:p>
    <w:p>
      <w:pPr>
        <w:pStyle w:val="Body A"/>
      </w:pPr>
    </w:p>
    <w:p>
      <w:pPr>
        <w:pStyle w:val="Body A"/>
        <w:rPr>
          <w:rStyle w:val="None"/>
          <w:rFonts w:ascii="IBM Plex Sans Regular" w:cs="IBM Plex Sans Regular" w:hAnsi="IBM Plex Sans Regular" w:eastAsia="IBM Plex Sans Regular"/>
          <w:b w:val="1"/>
          <w:bCs w:val="1"/>
        </w:rPr>
      </w:pPr>
      <w:r>
        <w:rPr>
          <w:rStyle w:val="None"/>
          <w:rFonts w:ascii="IBM Plex Sans Regular" w:cs="IBM Plex Sans Regular" w:hAnsi="IBM Plex Sans Regular" w:eastAsia="IBM Plex Sans Regular"/>
          <w:b w:val="1"/>
          <w:bCs w:val="1"/>
          <w:rtl w:val="0"/>
          <w:lang w:val="en-US"/>
        </w:rPr>
        <w:t>Learning outcomes</w:t>
      </w:r>
    </w:p>
    <w:p>
      <w:pPr>
        <w:pStyle w:val="Body A"/>
      </w:pPr>
      <w:r>
        <w:rPr>
          <w:rStyle w:val="None"/>
          <w:rtl w:val="0"/>
          <w:lang w:val="en-US"/>
        </w:rPr>
        <w:t>Format data for meta-analyses in R open source programming language.</w:t>
      </w:r>
    </w:p>
    <w:p>
      <w:pPr>
        <w:pStyle w:val="Body A"/>
      </w:pPr>
      <w:r>
        <w:rPr>
          <w:rStyle w:val="None"/>
          <w:rtl w:val="0"/>
          <w:lang w:val="en-US"/>
        </w:rPr>
        <w:t>Explore the capacity of the R package metafor to synthesis derived data from papers.</w:t>
      </w:r>
    </w:p>
    <w:p>
      <w:pPr>
        <w:pStyle w:val="Body A"/>
      </w:pPr>
      <w:r>
        <w:rPr>
          <w:rStyle w:val="None"/>
          <w:rtl w:val="0"/>
          <w:lang w:val="en-US"/>
        </w:rPr>
        <w:t>Pilot statistics for a dataset.</w:t>
      </w:r>
    </w:p>
    <w:p>
      <w:pPr>
        <w:pStyle w:val="Body A"/>
      </w:pPr>
    </w:p>
    <w:p>
      <w:pPr>
        <w:pStyle w:val="Body A"/>
        <w:rPr>
          <w:rStyle w:val="None"/>
          <w:rFonts w:ascii="IBM Plex Sans Regular" w:cs="IBM Plex Sans Regular" w:hAnsi="IBM Plex Sans Regular" w:eastAsia="IBM Plex Sans Regular"/>
          <w:b w:val="1"/>
          <w:bCs w:val="1"/>
        </w:rPr>
      </w:pPr>
      <w:r>
        <w:rPr>
          <w:rStyle w:val="None"/>
          <w:rFonts w:ascii="IBM Plex Sans Regular" w:cs="IBM Plex Sans Regular" w:hAnsi="IBM Plex Sans Regular" w:eastAsia="IBM Plex Sans Regular"/>
          <w:b w:val="1"/>
          <w:bCs w:val="1"/>
          <w:rtl w:val="0"/>
          <w:lang w:val="en-US"/>
        </w:rPr>
        <w:t>Critical skills</w:t>
      </w:r>
    </w:p>
    <w:p>
      <w:pPr>
        <w:pStyle w:val="Body A"/>
      </w:pPr>
    </w:p>
    <w:p>
      <w:pPr>
        <w:pStyle w:val="Body A"/>
      </w:pPr>
      <w:r>
        <w:rPr>
          <w:rStyle w:val="None"/>
          <w:rtl w:val="0"/>
          <w:lang w:val="en-US"/>
        </w:rPr>
        <w:t xml:space="preserve">In this final assignment, students test the trends identified in the first two assignments with simple, high-level meta-analytical statistics. In doing so, students explore the free, open source programming language R, develop critical thinking skills for statistical evidence from syntheses by identifying key statistics and measures, and develop their own code that can be applied to their own work and theses. </w:t>
      </w:r>
    </w:p>
    <w:p>
      <w:pPr>
        <w:pStyle w:val="Body A"/>
      </w:pPr>
    </w:p>
    <w:p>
      <w:pPr>
        <w:pStyle w:val="Body A"/>
        <w:rPr>
          <w:rStyle w:val="None"/>
          <w:rFonts w:ascii="IBM Plex Sans Regular" w:cs="IBM Plex Sans Regular" w:hAnsi="IBM Plex Sans Regular" w:eastAsia="IBM Plex Sans Regular"/>
          <w:b w:val="1"/>
          <w:bCs w:val="1"/>
        </w:rPr>
      </w:pPr>
      <w:r>
        <w:rPr>
          <w:rStyle w:val="None"/>
          <w:rFonts w:ascii="IBM Plex Sans Regular" w:cs="IBM Plex Sans Regular" w:hAnsi="IBM Plex Sans Regular" w:eastAsia="IBM Plex Sans Regular"/>
          <w:b w:val="1"/>
          <w:bCs w:val="1"/>
          <w:rtl w:val="0"/>
          <w:lang w:val="en-US"/>
        </w:rPr>
        <w:t>Total value 45%</w:t>
      </w:r>
    </w:p>
    <w:p>
      <w:pPr>
        <w:pStyle w:val="Body A"/>
        <w:rPr>
          <w:rStyle w:val="None"/>
          <w:b w:val="1"/>
          <w:bCs w:val="1"/>
        </w:rPr>
      </w:pPr>
    </w:p>
    <w:p>
      <w:pPr>
        <w:pStyle w:val="Body A"/>
        <w:rPr>
          <w:rStyle w:val="None"/>
          <w:rFonts w:ascii="IBM Plex Sans Regular" w:cs="IBM Plex Sans Regular" w:hAnsi="IBM Plex Sans Regular" w:eastAsia="IBM Plex Sans Regular"/>
          <w:b w:val="1"/>
          <w:bCs w:val="1"/>
        </w:rPr>
      </w:pPr>
      <w:r>
        <w:rPr>
          <w:rStyle w:val="None"/>
          <w:rFonts w:ascii="IBM Plex Sans Regular" w:cs="IBM Plex Sans Regular" w:hAnsi="IBM Plex Sans Regular" w:eastAsia="IBM Plex Sans Regular"/>
          <w:b w:val="1"/>
          <w:bCs w:val="1"/>
          <w:rtl w:val="0"/>
          <w:lang w:val="en-US"/>
        </w:rPr>
        <w:t>14. Integrated Courses:</w:t>
      </w:r>
    </w:p>
    <w:p>
      <w:pPr>
        <w:pStyle w:val="Body A"/>
        <w:rPr>
          <w:rStyle w:val="None"/>
          <w:b w:val="1"/>
          <w:bCs w:val="1"/>
        </w:rPr>
      </w:pPr>
    </w:p>
    <w:p>
      <w:pPr>
        <w:pStyle w:val="Body A"/>
        <w:rPr>
          <w:rStyle w:val="None"/>
          <w:rFonts w:ascii="IBM Plex Sans Regular" w:cs="IBM Plex Sans Regular" w:hAnsi="IBM Plex Sans Regular" w:eastAsia="IBM Plex Sans Regular"/>
          <w:b w:val="1"/>
          <w:bCs w:val="1"/>
        </w:rPr>
      </w:pPr>
      <w:r>
        <w:rPr>
          <w:rStyle w:val="None"/>
          <w:rtl w:val="0"/>
          <w:lang w:val="en-US"/>
        </w:rPr>
        <w:t>This course will not be integrated into the undergraduate program.</w:t>
      </w:r>
      <w:r>
        <w:rPr>
          <w:rStyle w:val="None"/>
          <w:rFonts w:ascii="Cambria" w:cs="Cambria" w:hAnsi="Cambria" w:eastAsia="Cambria"/>
          <w:i w:val="1"/>
          <w:iCs w:val="1"/>
        </w:rPr>
        <w:br w:type="textWrapping"/>
      </w:r>
    </w:p>
    <w:p>
      <w:pPr>
        <w:pStyle w:val="Body A"/>
        <w:rPr>
          <w:rStyle w:val="None"/>
          <w:rFonts w:ascii="IBM Plex Sans Regular" w:cs="IBM Plex Sans Regular" w:hAnsi="IBM Plex Sans Regular" w:eastAsia="IBM Plex Sans Regular"/>
          <w:b w:val="1"/>
          <w:bCs w:val="1"/>
        </w:rPr>
      </w:pPr>
      <w:r>
        <w:rPr>
          <w:rStyle w:val="None"/>
          <w:rFonts w:ascii="IBM Plex Sans Regular" w:cs="IBM Plex Sans Regular" w:hAnsi="IBM Plex Sans Regular" w:eastAsia="IBM Plex Sans Regular"/>
          <w:b w:val="1"/>
          <w:bCs w:val="1"/>
          <w:rtl w:val="0"/>
          <w:lang w:val="en-US"/>
        </w:rPr>
        <w:t>15. Cross-listed Courses:</w:t>
      </w:r>
    </w:p>
    <w:p>
      <w:pPr>
        <w:pStyle w:val="Body A"/>
      </w:pPr>
      <w:r>
        <w:rPr>
          <w:rStyle w:val="None"/>
          <w:rtl w:val="0"/>
          <w:lang w:val="en-US"/>
        </w:rPr>
        <w:t>This course will not be cross-listed initially, but if there is strong interest from other related graduate programs (e.g., Kinesiology, Psychology), this will be considered.</w:t>
      </w:r>
      <w:r>
        <w:rPr>
          <w:rStyle w:val="None"/>
        </w:rPr>
        <w:br w:type="textWrapping"/>
      </w:r>
      <w:r>
        <w:rPr>
          <w:rStyle w:val="None"/>
          <w:rFonts w:ascii="Cambria" w:cs="Cambria" w:hAnsi="Cambria" w:eastAsia="Cambria"/>
          <w:i w:val="1"/>
          <w:iCs w:val="1"/>
        </w:rPr>
        <w:br w:type="textWrapping"/>
      </w:r>
    </w:p>
    <w:p>
      <w:pPr>
        <w:pStyle w:val="Body A"/>
        <w:rPr>
          <w:rStyle w:val="None"/>
          <w:rFonts w:ascii="IBM Plex Sans Regular" w:cs="IBM Plex Sans Regular" w:hAnsi="IBM Plex Sans Regular" w:eastAsia="IBM Plex Sans Regular"/>
          <w:b w:val="1"/>
          <w:bCs w:val="1"/>
          <w:lang w:val="it-IT"/>
        </w:rPr>
      </w:pPr>
      <w:r>
        <w:rPr>
          <w:rStyle w:val="None"/>
          <w:rFonts w:ascii="IBM Plex Sans Regular" w:cs="IBM Plex Sans Regular" w:hAnsi="IBM Plex Sans Regular" w:eastAsia="IBM Plex Sans Regular"/>
          <w:b w:val="1"/>
          <w:bCs w:val="1"/>
          <w:rtl w:val="0"/>
          <w:lang w:val="it-IT"/>
        </w:rPr>
        <w:t>16. Enrolment Notes:</w:t>
      </w:r>
    </w:p>
    <w:p>
      <w:pPr>
        <w:pStyle w:val="Body A"/>
        <w:rPr>
          <w:rStyle w:val="None"/>
          <w:b w:val="1"/>
          <w:bCs w:val="1"/>
        </w:rPr>
      </w:pPr>
    </w:p>
    <w:p>
      <w:pPr>
        <w:pStyle w:val="Body A"/>
      </w:pPr>
      <w:r>
        <w:rPr>
          <w:rStyle w:val="None"/>
          <w:rtl w:val="0"/>
          <w:lang w:val="en-US"/>
        </w:rPr>
        <w:t xml:space="preserve">This course is open to all students enrolled in the Biology graduate program at MSc or PhD. It is recommended that students take this course once they have developed their thesis research proposal. </w:t>
      </w:r>
    </w:p>
    <w:p>
      <w:pPr>
        <w:pStyle w:val="Body A"/>
      </w:pPr>
    </w:p>
    <w:p>
      <w:pPr>
        <w:pStyle w:val="Body A"/>
        <w:rPr>
          <w:rStyle w:val="None"/>
          <w:rFonts w:ascii="IBM Plex Sans Regular" w:cs="IBM Plex Sans Regular" w:hAnsi="IBM Plex Sans Regular" w:eastAsia="IBM Plex Sans Regular"/>
          <w:b w:val="1"/>
          <w:bCs w:val="1"/>
        </w:rPr>
      </w:pPr>
      <w:r>
        <w:rPr>
          <w:rStyle w:val="None"/>
          <w:rFonts w:ascii="IBM Plex Sans Regular" w:cs="IBM Plex Sans Regular" w:hAnsi="IBM Plex Sans Regular" w:eastAsia="IBM Plex Sans Regular"/>
          <w:b w:val="1"/>
          <w:bCs w:val="1"/>
          <w:rtl w:val="0"/>
          <w:lang w:val="en-US"/>
        </w:rPr>
        <w:t>17. Faculty Resources:</w:t>
      </w:r>
    </w:p>
    <w:p>
      <w:pPr>
        <w:pStyle w:val="Body A"/>
        <w:rPr>
          <w:rStyle w:val="None"/>
          <w:b w:val="1"/>
          <w:bCs w:val="1"/>
        </w:rPr>
      </w:pPr>
    </w:p>
    <w:p>
      <w:pPr>
        <w:pStyle w:val="Body A"/>
        <w:rPr>
          <w:rStyle w:val="None"/>
          <w:rFonts w:ascii="IBM Plex Sans Regular" w:cs="IBM Plex Sans Regular" w:hAnsi="IBM Plex Sans Regular" w:eastAsia="IBM Plex Sans Regular"/>
          <w:b w:val="1"/>
          <w:bCs w:val="1"/>
        </w:rPr>
      </w:pPr>
      <w:r>
        <w:rPr>
          <w:rStyle w:val="None"/>
          <w:rtl w:val="0"/>
          <w:lang w:val="en-US"/>
        </w:rPr>
        <w:t xml:space="preserve">Qualifications needed to teach this course include expertise in statistics, familiarity with meta-analyses and systematic reviews, experience with peer-reviewing and critical thinking, and familiarity with the R programming language. There is no impact on teaching resources at the departmental level. </w:t>
      </w:r>
      <w:r>
        <w:rPr>
          <w:rStyle w:val="None"/>
          <w:rFonts w:ascii="Cambria" w:cs="Cambria" w:hAnsi="Cambria" w:eastAsia="Cambria"/>
          <w:i w:val="1"/>
          <w:iCs w:val="1"/>
        </w:rPr>
        <w:br w:type="textWrapping"/>
      </w:r>
    </w:p>
    <w:p>
      <w:pPr>
        <w:pStyle w:val="Body A"/>
        <w:rPr>
          <w:rStyle w:val="None"/>
          <w:rFonts w:ascii="IBM Plex Sans Regular" w:cs="IBM Plex Sans Regular" w:hAnsi="IBM Plex Sans Regular" w:eastAsia="IBM Plex Sans Regular"/>
          <w:b w:val="1"/>
          <w:bCs w:val="1"/>
        </w:rPr>
      </w:pPr>
      <w:r>
        <w:rPr>
          <w:rStyle w:val="None"/>
          <w:rFonts w:ascii="IBM Plex Sans Regular" w:cs="IBM Plex Sans Regular" w:hAnsi="IBM Plex Sans Regular" w:eastAsia="IBM Plex Sans Regular"/>
          <w:b w:val="1"/>
          <w:bCs w:val="1"/>
          <w:rtl w:val="0"/>
          <w:lang w:val="en-US"/>
        </w:rPr>
        <w:t xml:space="preserve">18. Physical Resources: </w:t>
      </w:r>
    </w:p>
    <w:p>
      <w:pPr>
        <w:pStyle w:val="Body A"/>
        <w:rPr>
          <w:rStyle w:val="None"/>
          <w:b w:val="1"/>
          <w:bCs w:val="1"/>
        </w:rPr>
      </w:pPr>
    </w:p>
    <w:p>
      <w:pPr>
        <w:pStyle w:val="Body A"/>
      </w:pPr>
      <w:r>
        <w:rPr>
          <w:rStyle w:val="None"/>
          <w:rtl w:val="0"/>
          <w:lang w:val="en-US"/>
        </w:rPr>
        <w:t>No specific classroom or infrastructure is needed. The programming language used to do analyses is open, free and available on all major computer operating systems. A computer lab is not needed and personal laptops or computers used for primary research in student labs are sufficient.</w:t>
      </w:r>
    </w:p>
    <w:p>
      <w:pPr>
        <w:pStyle w:val="Body A"/>
      </w:pPr>
    </w:p>
    <w:p>
      <w:pPr>
        <w:pStyle w:val="Body A"/>
        <w:rPr>
          <w:rStyle w:val="None"/>
          <w:b w:val="1"/>
          <w:bCs w:val="1"/>
        </w:rPr>
      </w:pPr>
    </w:p>
    <w:p>
      <w:pPr>
        <w:pStyle w:val="Body A"/>
        <w:rPr>
          <w:rStyle w:val="None"/>
          <w:rFonts w:ascii="IBM Plex Sans Regular" w:cs="IBM Plex Sans Regular" w:hAnsi="IBM Plex Sans Regular" w:eastAsia="IBM Plex Sans Regular"/>
          <w:b w:val="1"/>
          <w:bCs w:val="1"/>
        </w:rPr>
      </w:pPr>
      <w:r>
        <w:rPr>
          <w:rStyle w:val="None"/>
          <w:rFonts w:ascii="IBM Plex Sans Regular" w:cs="IBM Plex Sans Regular" w:hAnsi="IBM Plex Sans Regular" w:eastAsia="IBM Plex Sans Regular"/>
          <w:b w:val="1"/>
          <w:bCs w:val="1"/>
          <w:rtl w:val="0"/>
          <w:lang w:val="en-US"/>
        </w:rPr>
        <w:t>19. Bibliography and Library Statement:</w:t>
      </w:r>
    </w:p>
    <w:p>
      <w:pPr>
        <w:pStyle w:val="Body A"/>
        <w:rPr>
          <w:rStyle w:val="None"/>
          <w:b w:val="1"/>
          <w:bCs w:val="1"/>
        </w:rPr>
      </w:pPr>
    </w:p>
    <w:p>
      <w:pPr>
        <w:pStyle w:val="Body A"/>
        <w:rPr>
          <w:rStyle w:val="None"/>
          <w:rFonts w:ascii="IBM Plex Sans Regular" w:cs="IBM Plex Sans Regular" w:hAnsi="IBM Plex Sans Regular" w:eastAsia="IBM Plex Sans Regular"/>
          <w:b w:val="1"/>
          <w:bCs w:val="1"/>
        </w:rPr>
      </w:pPr>
      <w:r>
        <w:rPr>
          <w:rStyle w:val="None"/>
          <w:rFonts w:ascii="IBM Plex Sans Regular" w:cs="IBM Plex Sans Regular" w:hAnsi="IBM Plex Sans Regular" w:eastAsia="IBM Plex Sans Regular"/>
          <w:b w:val="1"/>
          <w:bCs w:val="1"/>
          <w:rtl w:val="0"/>
          <w:lang w:val="en-US"/>
        </w:rPr>
        <w:t>All readings are published in peer-reviewed journals accessible through the York University library system.</w:t>
      </w:r>
    </w:p>
    <w:p>
      <w:pPr>
        <w:pStyle w:val="Body A"/>
        <w:rPr>
          <w:rStyle w:val="None"/>
          <w:b w:val="1"/>
          <w:bCs w:val="1"/>
        </w:rPr>
      </w:pPr>
    </w:p>
    <w:p>
      <w:pPr>
        <w:pStyle w:val="Body A"/>
      </w:pPr>
      <w:r>
        <w:rPr>
          <w:rStyle w:val="None"/>
          <w:rtl w:val="0"/>
          <w:lang w:val="en-US"/>
        </w:rPr>
        <w:t xml:space="preserve">Field, Andy P., and Raphael Gillett. 2010. </w:t>
      </w:r>
      <w:r>
        <w:rPr>
          <w:rStyle w:val="None"/>
          <w:rtl w:val="1"/>
          <w:lang w:val="ar-SA" w:bidi="ar-SA"/>
        </w:rPr>
        <w:t>“</w:t>
      </w:r>
      <w:r>
        <w:rPr>
          <w:rStyle w:val="None"/>
          <w:rtl w:val="0"/>
          <w:lang w:val="en-US"/>
        </w:rPr>
        <w:t>How to Do a Meta-Analysis.</w:t>
      </w:r>
      <w:r>
        <w:rPr>
          <w:rStyle w:val="None"/>
          <w:rtl w:val="0"/>
          <w:lang w:val="en-US"/>
        </w:rPr>
        <w:t xml:space="preserve">” </w:t>
      </w:r>
      <w:r>
        <w:rPr>
          <w:rStyle w:val="None"/>
          <w:rtl w:val="0"/>
          <w:lang w:val="en-US"/>
        </w:rPr>
        <w:t>Journal Article. British Journal of Mathematical and Statistical Psychology 63 (3): 665</w:t>
      </w:r>
      <w:r>
        <w:rPr>
          <w:rStyle w:val="None"/>
          <w:rtl w:val="0"/>
          <w:lang w:val="en-US"/>
        </w:rPr>
        <w:t>–</w:t>
      </w:r>
      <w:r>
        <w:rPr>
          <w:rStyle w:val="None"/>
          <w:rtl w:val="0"/>
          <w:lang w:val="en-US"/>
        </w:rPr>
        <w:t>94. https://doi.org/10.1348/000711010X502733.</w:t>
      </w:r>
    </w:p>
    <w:p>
      <w:pPr>
        <w:pStyle w:val="Body A"/>
      </w:pPr>
    </w:p>
    <w:p>
      <w:pPr>
        <w:pStyle w:val="Body A"/>
      </w:pPr>
      <w:r>
        <w:rPr>
          <w:rStyle w:val="None"/>
          <w:rtl w:val="0"/>
          <w:lang w:val="en-US"/>
        </w:rPr>
        <w:t xml:space="preserve">Haddaway, Neal R., Biljana Macura, Paul Whaley, and Andrew S. Pullin. 2018. </w:t>
      </w:r>
      <w:r>
        <w:rPr>
          <w:rStyle w:val="None"/>
          <w:rtl w:val="1"/>
          <w:lang w:val="ar-SA" w:bidi="ar-SA"/>
        </w:rPr>
        <w:t>“</w:t>
      </w:r>
      <w:r>
        <w:rPr>
          <w:rStyle w:val="None"/>
          <w:rtl w:val="0"/>
          <w:lang w:val="en-US"/>
        </w:rPr>
        <w:t>ROSES RepOrting Standards for Systematic Evidence Syntheses: Pro Forma, Flow-Diagram and Descriptive Summary of the Plan and Conduct of Environmental Systematic Reviews and Systematic Maps.</w:t>
      </w:r>
      <w:r>
        <w:rPr>
          <w:rStyle w:val="None"/>
          <w:rtl w:val="0"/>
          <w:lang w:val="en-US"/>
        </w:rPr>
        <w:t xml:space="preserve">” </w:t>
      </w:r>
      <w:r>
        <w:rPr>
          <w:rStyle w:val="None"/>
          <w:rtl w:val="0"/>
          <w:lang w:val="en-US"/>
        </w:rPr>
        <w:t>Journal Article. Environmental Evidence 7 (1): 7. https://doi.org/10.1186/s13750-018-0121-7.</w:t>
      </w:r>
    </w:p>
    <w:p>
      <w:pPr>
        <w:pStyle w:val="Body A"/>
      </w:pPr>
    </w:p>
    <w:p>
      <w:pPr>
        <w:pStyle w:val="Body A"/>
      </w:pPr>
      <w:r>
        <w:rPr>
          <w:rStyle w:val="None"/>
          <w:rtl w:val="0"/>
          <w:lang w:val="en-US"/>
        </w:rPr>
        <w:t xml:space="preserve">Halpern, Benjamin S., Eric Berlow, Rich Williams, Elizabeth T. Borer, Frank W. Davis, Andy Dobson, Brian J. Enquist, et al. 2020. </w:t>
      </w:r>
      <w:r>
        <w:rPr>
          <w:rStyle w:val="None"/>
          <w:rtl w:val="1"/>
          <w:lang w:val="ar-SA" w:bidi="ar-SA"/>
        </w:rPr>
        <w:t>“</w:t>
      </w:r>
      <w:r>
        <w:rPr>
          <w:rStyle w:val="None"/>
          <w:rtl w:val="0"/>
          <w:lang w:val="en-US"/>
        </w:rPr>
        <w:t>Ecological Synthesis and Its Role in Advancing Knowledge.</w:t>
      </w:r>
      <w:r>
        <w:rPr>
          <w:rStyle w:val="None"/>
          <w:rtl w:val="0"/>
          <w:lang w:val="en-US"/>
        </w:rPr>
        <w:t xml:space="preserve">” </w:t>
      </w:r>
      <w:r>
        <w:rPr>
          <w:rStyle w:val="None"/>
          <w:rtl w:val="0"/>
          <w:lang w:val="en-US"/>
        </w:rPr>
        <w:t>Journal Article. BioScience. https://doi.org/10.1093/biosci/biaa105.</w:t>
      </w:r>
    </w:p>
    <w:p>
      <w:pPr>
        <w:pStyle w:val="Body A"/>
      </w:pPr>
    </w:p>
    <w:p>
      <w:pPr>
        <w:pStyle w:val="Body A"/>
      </w:pPr>
      <w:r>
        <w:rPr>
          <w:rStyle w:val="None"/>
          <w:rtl w:val="0"/>
          <w:lang w:val="it-IT"/>
        </w:rPr>
        <w:t xml:space="preserve">Impellizzeri, Franco M., and Mario Bizzini. 2012. </w:t>
      </w:r>
      <w:r>
        <w:rPr>
          <w:rStyle w:val="None"/>
          <w:rtl w:val="1"/>
          <w:lang w:val="ar-SA" w:bidi="ar-SA"/>
        </w:rPr>
        <w:t>“</w:t>
      </w:r>
      <w:r>
        <w:rPr>
          <w:rStyle w:val="None"/>
          <w:rtl w:val="0"/>
          <w:lang w:val="en-US"/>
        </w:rPr>
        <w:t>Systematic Review and Meta-Analysis: A Primer.</w:t>
      </w:r>
      <w:r>
        <w:rPr>
          <w:rStyle w:val="None"/>
          <w:rtl w:val="0"/>
          <w:lang w:val="en-US"/>
        </w:rPr>
        <w:t xml:space="preserve">” </w:t>
      </w:r>
      <w:r>
        <w:rPr>
          <w:rStyle w:val="None"/>
          <w:rtl w:val="0"/>
          <w:lang w:val="en-US"/>
        </w:rPr>
        <w:t>Journal Article. International Journal of Sports Physical Therapy 7 (5): 493</w:t>
      </w:r>
      <w:r>
        <w:rPr>
          <w:rStyle w:val="None"/>
          <w:rtl w:val="0"/>
          <w:lang w:val="en-US"/>
        </w:rPr>
        <w:t>–</w:t>
      </w:r>
      <w:r>
        <w:rPr>
          <w:rStyle w:val="None"/>
          <w:rtl w:val="0"/>
          <w:lang w:val="en-US"/>
        </w:rPr>
        <w:t>503. https://pubmed.ncbi.nlm.nih.gov/23091781 https://www.ncbi.nlm.nih.gov/pmc/articles/PMC3474302/.</w:t>
      </w:r>
    </w:p>
    <w:p>
      <w:pPr>
        <w:pStyle w:val="Body A"/>
      </w:pPr>
    </w:p>
    <w:p>
      <w:pPr>
        <w:pStyle w:val="Body A"/>
      </w:pPr>
      <w:r>
        <w:rPr>
          <w:rStyle w:val="None"/>
          <w:rtl w:val="0"/>
          <w:lang w:val="en-US"/>
        </w:rPr>
        <w:t xml:space="preserve">Ioannidis, J. P. A. 2005. </w:t>
      </w:r>
      <w:r>
        <w:rPr>
          <w:rStyle w:val="None"/>
          <w:rtl w:val="1"/>
          <w:lang w:val="ar-SA" w:bidi="ar-SA"/>
        </w:rPr>
        <w:t>“</w:t>
      </w:r>
      <w:r>
        <w:rPr>
          <w:rStyle w:val="None"/>
          <w:rtl w:val="0"/>
          <w:lang w:val="en-US"/>
        </w:rPr>
        <w:t>Why Most Published Research Findings Are False.</w:t>
      </w:r>
      <w:r>
        <w:rPr>
          <w:rStyle w:val="None"/>
          <w:rtl w:val="0"/>
          <w:lang w:val="en-US"/>
        </w:rPr>
        <w:t xml:space="preserve">” </w:t>
      </w:r>
      <w:r>
        <w:rPr>
          <w:rStyle w:val="None"/>
          <w:rtl w:val="0"/>
          <w:lang w:val="en-US"/>
        </w:rPr>
        <w:t>Journal Article. PLoS Med 2. https://doi.org/10.1371/journal.pmed.0020124.</w:t>
      </w:r>
    </w:p>
    <w:p>
      <w:pPr>
        <w:pStyle w:val="Body A"/>
      </w:pPr>
    </w:p>
    <w:p>
      <w:pPr>
        <w:pStyle w:val="Body A"/>
      </w:pPr>
      <w:r>
        <w:rPr>
          <w:rStyle w:val="None"/>
          <w:rtl w:val="0"/>
          <w:lang w:val="en-US"/>
        </w:rPr>
        <w:t>Koricheva, J., J. Gurevitch, and K. Mengersen. 2013. Handbook of Meta-Analysis in Ecology and Evolution. Book. Princeton; Oxford: Princeton University Press.</w:t>
      </w:r>
    </w:p>
    <w:p>
      <w:pPr>
        <w:pStyle w:val="Body A"/>
      </w:pPr>
    </w:p>
    <w:p>
      <w:pPr>
        <w:pStyle w:val="Body A"/>
      </w:pPr>
      <w:r>
        <w:rPr>
          <w:rStyle w:val="None"/>
          <w:rtl w:val="0"/>
          <w:lang w:val="en-US"/>
        </w:rPr>
        <w:t xml:space="preserve">Kotiaho, J. S., and J. L. Tomkins. 2002. </w:t>
      </w:r>
      <w:r>
        <w:rPr>
          <w:rStyle w:val="None"/>
          <w:rtl w:val="1"/>
          <w:lang w:val="ar-SA" w:bidi="ar-SA"/>
        </w:rPr>
        <w:t>“</w:t>
      </w:r>
      <w:r>
        <w:rPr>
          <w:rStyle w:val="None"/>
          <w:rtl w:val="0"/>
          <w:lang w:val="en-US"/>
        </w:rPr>
        <w:t>Meta-Analysis Can It Ever Fail.</w:t>
      </w:r>
      <w:r>
        <w:rPr>
          <w:rStyle w:val="None"/>
          <w:rtl w:val="0"/>
          <w:lang w:val="en-US"/>
        </w:rPr>
        <w:t xml:space="preserve">” </w:t>
      </w:r>
      <w:r>
        <w:rPr>
          <w:rStyle w:val="None"/>
          <w:rtl w:val="0"/>
          <w:lang w:val="it-IT"/>
        </w:rPr>
        <w:t>Journal Article. Oikos 96: 551</w:t>
      </w:r>
      <w:r>
        <w:rPr>
          <w:rStyle w:val="None"/>
          <w:rtl w:val="0"/>
          <w:lang w:val="en-US"/>
        </w:rPr>
        <w:t>–</w:t>
      </w:r>
      <w:r>
        <w:rPr>
          <w:rStyle w:val="None"/>
          <w:rtl w:val="0"/>
          <w:lang w:val="en-US"/>
        </w:rPr>
        <w:t>53.</w:t>
      </w:r>
    </w:p>
    <w:p>
      <w:pPr>
        <w:pStyle w:val="Body A"/>
      </w:pPr>
    </w:p>
    <w:p>
      <w:pPr>
        <w:pStyle w:val="Body A"/>
      </w:pPr>
      <w:r>
        <w:rPr>
          <w:rStyle w:val="None"/>
          <w:rtl w:val="0"/>
          <w:lang w:val="en-US"/>
        </w:rPr>
        <w:t xml:space="preserve">Ladouceur, Emma, and Nancy Shackelford. 2021. </w:t>
      </w:r>
      <w:r>
        <w:rPr>
          <w:rStyle w:val="None"/>
          <w:rtl w:val="1"/>
          <w:lang w:val="ar-SA" w:bidi="ar-SA"/>
        </w:rPr>
        <w:t>“</w:t>
      </w:r>
      <w:r>
        <w:rPr>
          <w:rStyle w:val="None"/>
          <w:rtl w:val="0"/>
          <w:lang w:val="en-US"/>
        </w:rPr>
        <w:t>The Power of Data Synthesis to Shape the Future of the Restoration Community and Capacity.</w:t>
      </w:r>
      <w:r>
        <w:rPr>
          <w:rStyle w:val="None"/>
          <w:rtl w:val="0"/>
          <w:lang w:val="en-US"/>
        </w:rPr>
        <w:t xml:space="preserve">” </w:t>
      </w:r>
      <w:r>
        <w:rPr>
          <w:rStyle w:val="None"/>
          <w:rtl w:val="0"/>
          <w:lang w:val="en-US"/>
        </w:rPr>
        <w:t>Journal Article. Restoration Ecology 29 (1): e13251. https://doi.org/https://doi.org/10.1111/rec.13251.</w:t>
      </w:r>
    </w:p>
    <w:p>
      <w:pPr>
        <w:pStyle w:val="Body A"/>
      </w:pPr>
    </w:p>
    <w:p>
      <w:pPr>
        <w:pStyle w:val="Body A"/>
      </w:pPr>
      <w:r>
        <w:rPr>
          <w:rStyle w:val="None"/>
          <w:rtl w:val="0"/>
          <w:lang w:val="it-IT"/>
        </w:rPr>
        <w:t xml:space="preserve">Lortie. 2014. </w:t>
      </w:r>
      <w:r>
        <w:rPr>
          <w:rStyle w:val="None"/>
          <w:rtl w:val="1"/>
          <w:lang w:val="ar-SA" w:bidi="ar-SA"/>
        </w:rPr>
        <w:t>“</w:t>
      </w:r>
      <w:r>
        <w:rPr>
          <w:rStyle w:val="None"/>
          <w:rtl w:val="0"/>
          <w:lang w:val="en-US"/>
        </w:rPr>
        <w:t>Formalized Synthesis Opportunities for Ecology: Systematic Reviews and Meta-Analyses.</w:t>
      </w:r>
      <w:r>
        <w:rPr>
          <w:rStyle w:val="None"/>
          <w:rtl w:val="0"/>
          <w:lang w:val="en-US"/>
        </w:rPr>
        <w:t xml:space="preserve">” </w:t>
      </w:r>
      <w:r>
        <w:rPr>
          <w:rStyle w:val="None"/>
          <w:rtl w:val="0"/>
          <w:lang w:val="en-US"/>
        </w:rPr>
        <w:t>Journal Article. Oikos 123: 897</w:t>
      </w:r>
      <w:r>
        <w:rPr>
          <w:rStyle w:val="None"/>
          <w:rtl w:val="0"/>
          <w:lang w:val="en-US"/>
        </w:rPr>
        <w:t>–</w:t>
      </w:r>
      <w:r>
        <w:rPr>
          <w:rStyle w:val="None"/>
          <w:rtl w:val="0"/>
          <w:lang w:val="en-US"/>
        </w:rPr>
        <w:t>902.</w:t>
      </w:r>
    </w:p>
    <w:p>
      <w:pPr>
        <w:pStyle w:val="Body A"/>
      </w:pPr>
    </w:p>
    <w:p>
      <w:pPr>
        <w:pStyle w:val="Body A"/>
      </w:pPr>
      <w:r>
        <w:rPr>
          <w:rStyle w:val="None"/>
          <w:rtl w:val="0"/>
          <w:lang w:val="it-IT"/>
        </w:rPr>
        <w:t xml:space="preserve">Lortie, Christopher J., and Alex Filazzola. 2020. </w:t>
      </w:r>
      <w:r>
        <w:rPr>
          <w:rStyle w:val="None"/>
          <w:rtl w:val="1"/>
          <w:lang w:val="ar-SA" w:bidi="ar-SA"/>
        </w:rPr>
        <w:t>“</w:t>
      </w:r>
      <w:r>
        <w:rPr>
          <w:rStyle w:val="None"/>
          <w:rtl w:val="0"/>
          <w:lang w:val="en-US"/>
        </w:rPr>
        <w:t>A Contrast of Meta and Metafor Packages for Meta-Analyses in r.</w:t>
      </w:r>
      <w:r>
        <w:rPr>
          <w:rStyle w:val="None"/>
          <w:rtl w:val="0"/>
          <w:lang w:val="en-US"/>
        </w:rPr>
        <w:t xml:space="preserve">” </w:t>
      </w:r>
      <w:r>
        <w:rPr>
          <w:rStyle w:val="None"/>
          <w:rtl w:val="0"/>
          <w:lang w:val="en-US"/>
        </w:rPr>
        <w:t>Journal Article. Ecology and Evolution. https://doi.org/10.1002/ece3.6747.</w:t>
      </w:r>
    </w:p>
    <w:p>
      <w:pPr>
        <w:pStyle w:val="Body A"/>
      </w:pPr>
    </w:p>
    <w:p>
      <w:pPr>
        <w:pStyle w:val="Body A"/>
      </w:pPr>
      <w:r>
        <w:rPr>
          <w:rStyle w:val="None"/>
          <w:rtl w:val="0"/>
          <w:lang w:val="en-US"/>
        </w:rPr>
        <w:t xml:space="preserve">Lortie, and Malory Owen. 2020. </w:t>
      </w:r>
      <w:r>
        <w:rPr>
          <w:rStyle w:val="None"/>
          <w:rtl w:val="1"/>
          <w:lang w:val="ar-SA" w:bidi="ar-SA"/>
        </w:rPr>
        <w:t>“</w:t>
      </w:r>
      <w:r>
        <w:rPr>
          <w:rStyle w:val="None"/>
          <w:rtl w:val="0"/>
          <w:lang w:val="en-US"/>
        </w:rPr>
        <w:t>Ten Simple Rules to Facilitate Evidence Implementation in the Environmental Sciences.</w:t>
      </w:r>
      <w:r>
        <w:rPr>
          <w:rStyle w:val="None"/>
          <w:rtl w:val="0"/>
          <w:lang w:val="en-US"/>
        </w:rPr>
        <w:t xml:space="preserve">” </w:t>
      </w:r>
      <w:r>
        <w:rPr>
          <w:rStyle w:val="None"/>
          <w:rtl w:val="0"/>
          <w:lang w:val="fr-FR"/>
        </w:rPr>
        <w:t>Journal Article. FACETS 5 (1): 642</w:t>
      </w:r>
      <w:r>
        <w:rPr>
          <w:rStyle w:val="None"/>
          <w:rtl w:val="0"/>
          <w:lang w:val="en-US"/>
        </w:rPr>
        <w:t>–</w:t>
      </w:r>
      <w:r>
        <w:rPr>
          <w:rStyle w:val="None"/>
          <w:rtl w:val="0"/>
          <w:lang w:val="en-US"/>
        </w:rPr>
        <w:t>50. https://doi.org/10.1139/facets-2020-0021.</w:t>
      </w:r>
    </w:p>
    <w:p>
      <w:pPr>
        <w:pStyle w:val="Body A"/>
      </w:pPr>
    </w:p>
    <w:p>
      <w:pPr>
        <w:pStyle w:val="Body A"/>
      </w:pPr>
      <w:r>
        <w:rPr>
          <w:rStyle w:val="None"/>
          <w:rtl w:val="0"/>
          <w:lang w:val="en-US"/>
        </w:rPr>
        <w:t xml:space="preserve">McKinnon, M. C., S. H. Cheng, R. Garside, Y. J. Masuda, and D. C. Miller. 2015. </w:t>
      </w:r>
      <w:r>
        <w:rPr>
          <w:rStyle w:val="None"/>
          <w:rtl w:val="1"/>
          <w:lang w:val="ar-SA" w:bidi="ar-SA"/>
        </w:rPr>
        <w:t>“</w:t>
      </w:r>
      <w:r>
        <w:rPr>
          <w:rStyle w:val="None"/>
          <w:rtl w:val="0"/>
          <w:lang w:val="en-US"/>
        </w:rPr>
        <w:t>Sustainability: Map the Evidence.</w:t>
      </w:r>
      <w:r>
        <w:rPr>
          <w:rStyle w:val="None"/>
          <w:rtl w:val="0"/>
          <w:lang w:val="en-US"/>
        </w:rPr>
        <w:t xml:space="preserve">” </w:t>
      </w:r>
      <w:r>
        <w:rPr>
          <w:rStyle w:val="None"/>
          <w:rtl w:val="0"/>
          <w:lang w:val="fr-FR"/>
        </w:rPr>
        <w:t>Journal Article. Nature 528: 185</w:t>
      </w:r>
      <w:r>
        <w:rPr>
          <w:rStyle w:val="None"/>
          <w:rtl w:val="0"/>
          <w:lang w:val="en-US"/>
        </w:rPr>
        <w:t>–</w:t>
      </w:r>
      <w:r>
        <w:rPr>
          <w:rStyle w:val="None"/>
          <w:rtl w:val="0"/>
          <w:lang w:val="en-US"/>
        </w:rPr>
        <w:t>87.</w:t>
      </w:r>
    </w:p>
    <w:p>
      <w:pPr>
        <w:pStyle w:val="Body A"/>
      </w:pPr>
    </w:p>
    <w:p>
      <w:pPr>
        <w:pStyle w:val="Body A"/>
      </w:pPr>
      <w:r>
        <w:rPr>
          <w:rStyle w:val="None"/>
          <w:rtl w:val="0"/>
          <w:lang w:val="da-DK"/>
        </w:rPr>
        <w:t xml:space="preserve">Miake-Lye, Isomi M., Susanne Hempel, Roberta Shanman, and Paul G. Shekelle. 2016. </w:t>
      </w:r>
      <w:r>
        <w:rPr>
          <w:rStyle w:val="None"/>
          <w:rtl w:val="1"/>
          <w:lang w:val="ar-SA" w:bidi="ar-SA"/>
        </w:rPr>
        <w:t>“</w:t>
      </w:r>
      <w:r>
        <w:rPr>
          <w:rStyle w:val="None"/>
          <w:rtl w:val="0"/>
          <w:lang w:val="en-US"/>
        </w:rPr>
        <w:t>What Is an Evidence Map? A Systematic Review of Published Evidence Maps and Their Definitions, Methods, and Products.</w:t>
      </w:r>
      <w:r>
        <w:rPr>
          <w:rStyle w:val="None"/>
          <w:rtl w:val="0"/>
          <w:lang w:val="en-US"/>
        </w:rPr>
        <w:t xml:space="preserve">” </w:t>
      </w:r>
      <w:r>
        <w:rPr>
          <w:rStyle w:val="None"/>
          <w:rtl w:val="0"/>
          <w:lang w:val="en-US"/>
        </w:rPr>
        <w:t>Journal Article. Systematic Reviews 5 (1): 28. https://doi.org/10.1186/s13643-016-0204-x.</w:t>
      </w:r>
    </w:p>
    <w:p>
      <w:pPr>
        <w:pStyle w:val="Body A"/>
      </w:pPr>
    </w:p>
    <w:p>
      <w:pPr>
        <w:pStyle w:val="Body A"/>
      </w:pPr>
      <w:r>
        <w:rPr>
          <w:rStyle w:val="None"/>
          <w:rtl w:val="0"/>
          <w:lang w:val="it-IT"/>
        </w:rPr>
        <w:t xml:space="preserve">Nakagawa, Shinichi, Daniel W. A. Noble, Alistair M. Senior, and Malgorzata Lagisz. 2017. </w:t>
      </w:r>
      <w:r>
        <w:rPr>
          <w:rStyle w:val="None"/>
          <w:rtl w:val="1"/>
          <w:lang w:val="ar-SA" w:bidi="ar-SA"/>
        </w:rPr>
        <w:t>“</w:t>
      </w:r>
      <w:r>
        <w:rPr>
          <w:rStyle w:val="None"/>
          <w:rtl w:val="0"/>
          <w:lang w:val="en-US"/>
        </w:rPr>
        <w:t>Meta-Evaluation of Meta-Analysis: Ten Appraisal Questions for Biologists.</w:t>
      </w:r>
      <w:r>
        <w:rPr>
          <w:rStyle w:val="None"/>
          <w:rtl w:val="0"/>
          <w:lang w:val="en-US"/>
        </w:rPr>
        <w:t xml:space="preserve">” </w:t>
      </w:r>
      <w:r>
        <w:rPr>
          <w:rStyle w:val="None"/>
          <w:rtl w:val="0"/>
          <w:lang w:val="en-US"/>
        </w:rPr>
        <w:t>Journal Article. BMC Biology 15 (1): 18. https://doi.org/10.1186/s12915-017-0357-7.</w:t>
      </w:r>
    </w:p>
    <w:p>
      <w:pPr>
        <w:pStyle w:val="Body A"/>
      </w:pPr>
    </w:p>
    <w:p>
      <w:pPr>
        <w:pStyle w:val="Body A"/>
      </w:pPr>
      <w:r>
        <w:rPr>
          <w:rStyle w:val="None"/>
          <w:rtl w:val="0"/>
          <w:lang w:val="en-US"/>
        </w:rPr>
        <w:t>O</w:t>
      </w:r>
      <w:r>
        <w:rPr>
          <w:rStyle w:val="None"/>
          <w:rtl w:val="1"/>
          <w:lang w:val="ar-SA" w:bidi="ar-SA"/>
        </w:rPr>
        <w:t>’</w:t>
      </w:r>
      <w:r>
        <w:rPr>
          <w:rStyle w:val="None"/>
          <w:rtl w:val="0"/>
          <w:lang w:val="en-US"/>
        </w:rPr>
        <w:t xml:space="preserve">Leary, Bethan C., Paul Woodcock, Michel J. Kaiser, and Andrew S. Pullin. 2017. </w:t>
      </w:r>
      <w:r>
        <w:rPr>
          <w:rStyle w:val="None"/>
          <w:rtl w:val="1"/>
          <w:lang w:val="ar-SA" w:bidi="ar-SA"/>
        </w:rPr>
        <w:t>“</w:t>
      </w:r>
      <w:r>
        <w:rPr>
          <w:rStyle w:val="None"/>
          <w:rtl w:val="0"/>
          <w:lang w:val="en-US"/>
        </w:rPr>
        <w:t>Evidence Maps and Evidence Gaps: Evidence Review Mapping as a Method for Collating and Appraising Evidence Reviews to Inform Research and Policy.</w:t>
      </w:r>
      <w:r>
        <w:rPr>
          <w:rStyle w:val="None"/>
          <w:rtl w:val="0"/>
          <w:lang w:val="en-US"/>
        </w:rPr>
        <w:t xml:space="preserve">” </w:t>
      </w:r>
      <w:r>
        <w:rPr>
          <w:rStyle w:val="None"/>
          <w:rtl w:val="0"/>
          <w:lang w:val="en-US"/>
        </w:rPr>
        <w:t>Journal Article. Environmental Evidence 6 (1): 19. https://doi.org/10.1186/s13750-017-0096-9.</w:t>
      </w:r>
    </w:p>
    <w:p>
      <w:pPr>
        <w:pStyle w:val="Body A"/>
      </w:pPr>
      <w:r>
        <w:rPr>
          <w:rStyle w:val="None"/>
          <w:rtl w:val="0"/>
          <w:lang w:val="da-DK"/>
        </w:rPr>
        <w:t xml:space="preserve">Page, Matthew J., Joanne E. McKenzie, Patrick M. Bossuyt, Isabelle Boutron, Tammy C. Hoffmann, Cynthia D. Mulrow, Larissa Shamseer, et al. 2021. </w:t>
      </w:r>
      <w:r>
        <w:rPr>
          <w:rStyle w:val="None"/>
          <w:rtl w:val="1"/>
          <w:lang w:val="ar-SA" w:bidi="ar-SA"/>
        </w:rPr>
        <w:t>“</w:t>
      </w:r>
      <w:r>
        <w:rPr>
          <w:rStyle w:val="None"/>
          <w:rtl w:val="0"/>
          <w:lang w:val="en-US"/>
        </w:rPr>
        <w:t>The PRISMA 2020 Statement: An Updated Guideline for Reporting Systematic Reviews.</w:t>
      </w:r>
      <w:r>
        <w:rPr>
          <w:rStyle w:val="None"/>
          <w:rtl w:val="0"/>
          <w:lang w:val="en-US"/>
        </w:rPr>
        <w:t xml:space="preserve">” </w:t>
      </w:r>
      <w:r>
        <w:rPr>
          <w:rStyle w:val="None"/>
          <w:rtl w:val="0"/>
          <w:lang w:val="en-US"/>
        </w:rPr>
        <w:t>Journal Article. BMJ 372: n71. https://doi.org/10.1136/bmj.n71.</w:t>
      </w:r>
    </w:p>
    <w:p>
      <w:pPr>
        <w:pStyle w:val="Body A"/>
      </w:pPr>
    </w:p>
    <w:p>
      <w:pPr>
        <w:pStyle w:val="Body A"/>
      </w:pPr>
      <w:r>
        <w:rPr>
          <w:rStyle w:val="None"/>
          <w:rtl w:val="0"/>
          <w:lang w:val="en-US"/>
        </w:rPr>
        <w:t xml:space="preserve">Shrier, Ian. 2015. </w:t>
      </w:r>
      <w:r>
        <w:rPr>
          <w:rStyle w:val="None"/>
          <w:rtl w:val="1"/>
          <w:lang w:val="ar-SA" w:bidi="ar-SA"/>
        </w:rPr>
        <w:t>“</w:t>
      </w:r>
      <w:r>
        <w:rPr>
          <w:rStyle w:val="None"/>
          <w:rtl w:val="0"/>
          <w:lang w:val="en-US"/>
        </w:rPr>
        <w:t>How to Critically Read Ecological Meta-Analyses.</w:t>
      </w:r>
      <w:r>
        <w:rPr>
          <w:rStyle w:val="None"/>
          <w:rtl w:val="0"/>
          <w:lang w:val="en-US"/>
        </w:rPr>
        <w:t xml:space="preserve">” </w:t>
      </w:r>
      <w:r>
        <w:rPr>
          <w:rStyle w:val="None"/>
          <w:rtl w:val="0"/>
          <w:lang w:val="en-US"/>
        </w:rPr>
        <w:t>Journal Article. Research Synthesis Methods 6 (2): 134</w:t>
      </w:r>
      <w:r>
        <w:rPr>
          <w:rStyle w:val="None"/>
          <w:rtl w:val="0"/>
          <w:lang w:val="en-US"/>
        </w:rPr>
        <w:t>–</w:t>
      </w:r>
      <w:r>
        <w:rPr>
          <w:rStyle w:val="None"/>
          <w:rtl w:val="0"/>
          <w:lang w:val="en-US"/>
        </w:rPr>
        <w:t>35. https://doi.org/10.1002/jrsm.1150.</w:t>
      </w:r>
    </w:p>
    <w:p>
      <w:pPr>
        <w:pStyle w:val="Body A"/>
      </w:pPr>
    </w:p>
    <w:p>
      <w:pPr>
        <w:pStyle w:val="Body A"/>
      </w:pPr>
      <w:r>
        <w:rPr>
          <w:rStyle w:val="None"/>
          <w:rtl w:val="0"/>
          <w:lang w:val="en-US"/>
        </w:rPr>
        <w:t xml:space="preserve">Thomas-Walters, Laura, Elizabeth A. Nyboer, Jessica J. Taylor, Trina Rytwinski, John F. Lane, Nathan Young, Joseph R. Bennett, et al. 2021. </w:t>
      </w:r>
      <w:r>
        <w:rPr>
          <w:rStyle w:val="None"/>
          <w:rtl w:val="1"/>
          <w:lang w:val="ar-SA" w:bidi="ar-SA"/>
        </w:rPr>
        <w:t>“</w:t>
      </w:r>
      <w:r>
        <w:rPr>
          <w:rStyle w:val="None"/>
          <w:rtl w:val="0"/>
          <w:lang w:val="en-US"/>
        </w:rPr>
        <w:t>An Optimistic Outlook on the Use of Evidence Syntheses to Inform Environmental Decision-Making.</w:t>
      </w:r>
      <w:r>
        <w:rPr>
          <w:rStyle w:val="None"/>
          <w:rtl w:val="0"/>
          <w:lang w:val="en-US"/>
        </w:rPr>
        <w:t xml:space="preserve">” </w:t>
      </w:r>
      <w:r>
        <w:rPr>
          <w:rStyle w:val="None"/>
          <w:rtl w:val="0"/>
          <w:lang w:val="en-US"/>
        </w:rPr>
        <w:t>Journal Article. Conservation Science and Practice 3 (6): e426. https://doi.org/https://doi.org/10.1111/csp2.426.</w:t>
      </w:r>
    </w:p>
    <w:p>
      <w:pPr>
        <w:pStyle w:val="Body A"/>
      </w:pPr>
    </w:p>
    <w:p>
      <w:pPr>
        <w:pStyle w:val="Body A"/>
      </w:pPr>
      <w:r>
        <w:rPr>
          <w:rStyle w:val="None"/>
          <w:rtl w:val="0"/>
          <w:lang w:val="nl-NL"/>
        </w:rPr>
        <w:t xml:space="preserve">Viechtbauer, W. 2017. </w:t>
      </w:r>
      <w:r>
        <w:rPr>
          <w:rStyle w:val="None"/>
          <w:rtl w:val="1"/>
          <w:lang w:val="ar-SA" w:bidi="ar-SA"/>
        </w:rPr>
        <w:t>“</w:t>
      </w:r>
      <w:r>
        <w:rPr>
          <w:rStyle w:val="None"/>
          <w:rtl w:val="0"/>
          <w:lang w:val="pt-PT"/>
        </w:rPr>
        <w:t>Metafor.</w:t>
      </w:r>
      <w:r>
        <w:rPr>
          <w:rStyle w:val="None"/>
          <w:rtl w:val="0"/>
          <w:lang w:val="en-US"/>
        </w:rPr>
        <w:t xml:space="preserve">” </w:t>
      </w:r>
      <w:r>
        <w:rPr>
          <w:rStyle w:val="None"/>
          <w:rtl w:val="0"/>
          <w:lang w:val="de-DE"/>
        </w:rPr>
        <w:t>Journal Article. CRAN, Version 2.0.</w:t>
      </w:r>
    </w:p>
    <w:p>
      <w:pPr>
        <w:pStyle w:val="Body A"/>
      </w:pPr>
    </w:p>
    <w:p>
      <w:pPr>
        <w:pStyle w:val="Body A"/>
      </w:pPr>
      <w:r>
        <w:rPr>
          <w:rStyle w:val="None"/>
          <w:rtl w:val="0"/>
          <w:lang w:val="nl-NL"/>
        </w:rPr>
        <w:t xml:space="preserve">Vrieze, De. 2018. </w:t>
      </w:r>
      <w:r>
        <w:rPr>
          <w:rStyle w:val="None"/>
          <w:rtl w:val="1"/>
          <w:lang w:val="ar-SA" w:bidi="ar-SA"/>
        </w:rPr>
        <w:t>“</w:t>
      </w:r>
      <w:r>
        <w:rPr>
          <w:rStyle w:val="None"/>
          <w:rtl w:val="0"/>
          <w:lang w:val="en-US"/>
        </w:rPr>
        <w:t>Meta-Analyses Were Supposed to End Scientific Debates. Often They Only Cause More Controversy.</w:t>
      </w:r>
      <w:r>
        <w:rPr>
          <w:rStyle w:val="None"/>
          <w:rtl w:val="0"/>
          <w:lang w:val="en-US"/>
        </w:rPr>
        <w:t xml:space="preserve">” </w:t>
      </w:r>
      <w:r>
        <w:rPr>
          <w:rStyle w:val="None"/>
          <w:rtl w:val="0"/>
          <w:lang w:val="en-US"/>
        </w:rPr>
        <w:t>Journal Article. Science news (1): 1</w:t>
      </w:r>
      <w:r>
        <w:rPr>
          <w:rStyle w:val="None"/>
          <w:rtl w:val="0"/>
          <w:lang w:val="en-US"/>
        </w:rPr>
        <w:t>–</w:t>
      </w:r>
      <w:r>
        <w:rPr>
          <w:rStyle w:val="None"/>
          <w:rtl w:val="0"/>
          <w:lang w:val="en-US"/>
        </w:rPr>
        <w:t>12.</w:t>
      </w:r>
    </w:p>
    <w:p>
      <w:pPr>
        <w:pStyle w:val="Body A"/>
      </w:pPr>
    </w:p>
    <w:p>
      <w:pPr>
        <w:pStyle w:val="Body A"/>
      </w:pPr>
      <w:r>
        <w:rPr>
          <w:rStyle w:val="None"/>
          <w:rtl w:val="0"/>
          <w:lang w:val="en-US"/>
        </w:rPr>
        <w:t xml:space="preserve">Wasey, J. O. 2019. </w:t>
      </w:r>
      <w:r>
        <w:rPr>
          <w:rStyle w:val="None"/>
          <w:rtl w:val="1"/>
          <w:lang w:val="ar-SA" w:bidi="ar-SA"/>
        </w:rPr>
        <w:t>“</w:t>
      </w:r>
      <w:r>
        <w:rPr>
          <w:rStyle w:val="None"/>
          <w:rtl w:val="0"/>
          <w:lang w:val="en-US"/>
        </w:rPr>
        <w:t>Plot Flow Charts According to the PRISMA Statement.</w:t>
      </w:r>
      <w:r>
        <w:rPr>
          <w:rStyle w:val="None"/>
          <w:rtl w:val="0"/>
          <w:lang w:val="en-US"/>
        </w:rPr>
        <w:t xml:space="preserve">” </w:t>
      </w:r>
      <w:r>
        <w:rPr>
          <w:rStyle w:val="None"/>
          <w:rtl w:val="0"/>
          <w:lang w:val="fr-FR"/>
        </w:rPr>
        <w:t>Journal Article. CRAN 1.1.1: 1</w:t>
      </w:r>
      <w:r>
        <w:rPr>
          <w:rStyle w:val="None"/>
          <w:rtl w:val="0"/>
          <w:lang w:val="en-US"/>
        </w:rPr>
        <w:t>–</w:t>
      </w:r>
      <w:r>
        <w:rPr>
          <w:rStyle w:val="None"/>
          <w:rtl w:val="0"/>
          <w:lang w:val="en-US"/>
        </w:rPr>
        <w:t>4.</w:t>
      </w:r>
    </w:p>
    <w:p>
      <w:pPr>
        <w:pStyle w:val="Body A"/>
        <w:rPr>
          <w:rStyle w:val="None"/>
          <w:b w:val="1"/>
          <w:bCs w:val="1"/>
        </w:rPr>
      </w:pPr>
    </w:p>
    <w:p>
      <w:pPr>
        <w:pStyle w:val="Body A"/>
      </w:pPr>
    </w:p>
    <w:p>
      <w:pPr>
        <w:pStyle w:val="Body A"/>
        <w:pBdr>
          <w:top w:val="nil"/>
          <w:left w:val="nil"/>
          <w:bottom w:val="single" w:color="000000" w:sz="6" w:space="0" w:shadow="0" w:frame="0"/>
          <w:right w:val="nil"/>
        </w:pBdr>
      </w:pPr>
    </w:p>
    <w:p>
      <w:pPr>
        <w:pStyle w:val="Body A"/>
      </w:pPr>
    </w:p>
    <w:p>
      <w:pPr>
        <w:pStyle w:val="No Spacing"/>
        <w:rPr>
          <w:rStyle w:val="None"/>
          <w:rFonts w:ascii="IBM Plex Sans Regular" w:cs="IBM Plex Sans Regular" w:hAnsi="IBM Plex Sans Regular" w:eastAsia="IBM Plex Sans Regular"/>
          <w:b w:val="0"/>
          <w:bCs w:val="0"/>
        </w:rPr>
      </w:pPr>
      <w:r>
        <w:rPr>
          <w:rStyle w:val="None"/>
          <w:rFonts w:ascii="IBM Plex Sans Regular" w:cs="IBM Plex Sans Regular" w:hAnsi="IBM Plex Sans Regular" w:eastAsia="IBM Plex Sans Regular"/>
          <w:b w:val="0"/>
          <w:bCs w:val="0"/>
          <w:rtl w:val="0"/>
          <w:lang w:val="en-US"/>
        </w:rPr>
        <w:t>Please submit completed forms and required supporting documentation by email to INSERT NAME/POSITION AND EMAIL</w:t>
      </w:r>
    </w:p>
    <w:p>
      <w:pPr>
        <w:pStyle w:val="Body A"/>
        <w:spacing w:after="300"/>
      </w:pPr>
      <w:r>
        <w:rPr>
          <w:rStyle w:val="None"/>
          <w:rFonts w:ascii="IBM Plex Sans" w:cs="IBM Plex Sans" w:hAnsi="IBM Plex Sans" w:eastAsia="IBM Plex Sans"/>
          <w:outline w:val="0"/>
          <w:color w:val="141412"/>
          <w:u w:color="141412"/>
          <w:rtl w:val="0"/>
          <w:lang w:val="en-US"/>
          <w14:textFill>
            <w14:solidFill>
              <w14:srgbClr w14:val="141412"/>
            </w14:solidFill>
          </w14:textFill>
        </w:rPr>
        <w:t xml:space="preserve"> </w:t>
      </w:r>
    </w:p>
    <w:sectPr>
      <w:headerReference w:type="default" r:id="rId4"/>
      <w:footerReference w:type="default" r:id="rId5"/>
      <w:pgSz w:w="12240" w:h="15840" w:orient="portrait"/>
      <w:pgMar w:top="1440" w:right="1440" w:bottom="1440" w:left="1440"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BM Plex Sans Regular">
    <w:charset w:val="00"/>
    <w:family w:val="roman"/>
    <w:pitch w:val="default"/>
  </w:font>
  <w:font w:name="IBM Plex Sans">
    <w:charset w:val="00"/>
    <w:family w:val="roman"/>
    <w:pitch w:val="default"/>
  </w:font>
  <w:font w:name="Cambria">
    <w:charset w:val="00"/>
    <w:family w:val="roman"/>
    <w:pitch w:val="default"/>
  </w:font>
  <w:font w:name="Helvetica">
    <w:charset w:val="00"/>
    <w:family w:val="roman"/>
    <w:pitch w:val="default"/>
  </w:font>
  <w:font w:name="IBM Plex Sans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Fonts w:ascii="IBM Plex Sans" w:cs="IBM Plex Sans" w:hAnsi="IBM Plex Sans" w:eastAsia="IBM Plex Sans"/>
        <w:rtl w:val="0"/>
        <w:lang w:val="en-US"/>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pPr>
    <w:r>
      <w:drawing xmlns:a="http://schemas.openxmlformats.org/drawingml/2006/main">
        <wp:anchor distT="152400" distB="152400" distL="152400" distR="152400" simplePos="0" relativeHeight="251658240" behindDoc="1" locked="0" layoutInCell="1" allowOverlap="1">
          <wp:simplePos x="0" y="0"/>
          <wp:positionH relativeFrom="page">
            <wp:posOffset>5709784</wp:posOffset>
          </wp:positionH>
          <wp:positionV relativeFrom="page">
            <wp:posOffset>9448098</wp:posOffset>
          </wp:positionV>
          <wp:extent cx="1808480" cy="251460"/>
          <wp:effectExtent l="0" t="0" r="0" b="0"/>
          <wp:wrapNone/>
          <wp:docPr id="1073741825" name="officeArt object" descr="Picture 10"/>
          <wp:cNvGraphicFramePr/>
          <a:graphic xmlns:a="http://schemas.openxmlformats.org/drawingml/2006/main">
            <a:graphicData uri="http://schemas.openxmlformats.org/drawingml/2006/picture">
              <pic:pic xmlns:pic="http://schemas.openxmlformats.org/drawingml/2006/picture">
                <pic:nvPicPr>
                  <pic:cNvPr id="1073741825" name="Picture 10" descr="Picture 10"/>
                  <pic:cNvPicPr>
                    <a:picLocks noChangeAspect="1"/>
                  </pic:cNvPicPr>
                </pic:nvPicPr>
                <pic:blipFill>
                  <a:blip r:embed="rId1">
                    <a:extLst/>
                  </a:blip>
                  <a:stretch>
                    <a:fillRect/>
                  </a:stretch>
                </pic:blipFill>
                <pic:spPr>
                  <a:xfrm>
                    <a:off x="0" y="0"/>
                    <a:ext cx="1808480" cy="251460"/>
                  </a:xfrm>
                  <a:prstGeom prst="rect">
                    <a:avLst/>
                  </a:prstGeom>
                  <a:ln w="12700" cap="flat">
                    <a:noFill/>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-46988</wp:posOffset>
              </wp:positionH>
              <wp:positionV relativeFrom="page">
                <wp:posOffset>10003789</wp:posOffset>
              </wp:positionV>
              <wp:extent cx="7865744" cy="127636"/>
              <wp:effectExtent l="0" t="0" r="0" b="0"/>
              <wp:wrapNone/>
              <wp:docPr id="1073741826" name="officeArt object" descr="Rectangle 1"/>
              <wp:cNvGraphicFramePr/>
              <a:graphic xmlns:a="http://schemas.openxmlformats.org/drawingml/2006/main">
                <a:graphicData uri="http://schemas.microsoft.com/office/word/2010/wordprocessingShape">
                  <wps:wsp>
                    <wps:cNvSpPr/>
                    <wps:spPr>
                      <a:xfrm>
                        <a:off x="0" y="0"/>
                        <a:ext cx="7865744" cy="127636"/>
                      </a:xfrm>
                      <a:prstGeom prst="rect">
                        <a:avLst/>
                      </a:prstGeom>
                      <a:solidFill>
                        <a:srgbClr val="E31837"/>
                      </a:solidFill>
                      <a:ln w="12700" cap="flat">
                        <a:noFill/>
                        <a:miter lim="400000"/>
                      </a:ln>
                      <a:effectLst/>
                    </wps:spPr>
                    <wps:bodyPr/>
                  </wps:wsp>
                </a:graphicData>
              </a:graphic>
            </wp:anchor>
          </w:drawing>
        </mc:Choice>
        <mc:Fallback>
          <w:pict>
            <v:rect id="_x0000_s1026" style="visibility:visible;position:absolute;margin-left:-3.7pt;margin-top:787.7pt;width:619.3pt;height:10.1pt;z-index:-251657216;mso-position-horizontal:absolute;mso-position-horizontal-relative:page;mso-position-vertical:absolute;mso-position-vertical-relative:page;mso-wrap-distance-left:12.0pt;mso-wrap-distance-top:12.0pt;mso-wrap-distance-right:12.0pt;mso-wrap-distance-bottom:12.0pt;">
              <v:fill color="#E31837"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IBM Plex Sans Regular" w:cs="IBM Plex Sans Regular" w:hAnsi="IBM Plex Sans Regular" w:eastAsia="IBM Plex Sans Regular"/>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Main Level">
    <w:name w:val="Main Level"/>
    <w:next w:val="Main Leve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BM Plex Sans" w:cs="IBM Plex Sans" w:hAnsi="IBM Plex Sans" w:eastAsia="IBM Plex Sans"/>
      <w:b w:val="0"/>
      <w:bCs w:val="0"/>
      <w:i w:val="0"/>
      <w:iCs w:val="0"/>
      <w:caps w:val="0"/>
      <w:smallCaps w:val="0"/>
      <w:strike w:val="0"/>
      <w:dstrike w:val="0"/>
      <w:outline w:val="0"/>
      <w:color w:val="262626"/>
      <w:spacing w:val="0"/>
      <w:kern w:val="0"/>
      <w:position w:val="0"/>
      <w:sz w:val="36"/>
      <w:szCs w:val="36"/>
      <w:u w:val="none" w:color="262626"/>
      <w:shd w:val="nil" w:color="auto" w:fill="auto"/>
      <w:vertAlign w:val="baseline"/>
      <w:lang w:val="en-US"/>
      <w14:textFill>
        <w14:solidFill>
          <w14:srgbClr w14:val="262626"/>
        </w14:solidFill>
      </w14:textFill>
    </w:rPr>
  </w:style>
  <w:style w:type="paragraph" w:styleId="heading 9">
    <w:name w:val="heading 9"/>
    <w:next w:val="Body A"/>
    <w:pPr>
      <w:keepNext w:val="1"/>
      <w:keepLines w:val="1"/>
      <w:pageBreakBefore w:val="0"/>
      <w:widowControl w:val="1"/>
      <w:shd w:val="clear" w:color="auto" w:fill="auto"/>
      <w:suppressAutoHyphens w:val="0"/>
      <w:bidi w:val="0"/>
      <w:spacing w:before="40" w:after="0" w:line="240" w:lineRule="auto"/>
      <w:ind w:left="0" w:right="0" w:firstLine="0"/>
      <w:jc w:val="left"/>
      <w:outlineLvl w:val="0"/>
    </w:pPr>
    <w:rPr>
      <w:rFonts w:ascii="IBM Plex Sans" w:cs="IBM Plex Sans" w:hAnsi="IBM Plex Sans" w:eastAsia="IBM Plex Sans"/>
      <w:b w:val="0"/>
      <w:bCs w:val="0"/>
      <w:i w:val="1"/>
      <w:iCs w:val="1"/>
      <w:caps w:val="0"/>
      <w:smallCaps w:val="0"/>
      <w:strike w:val="0"/>
      <w:dstrike w:val="0"/>
      <w:outline w:val="0"/>
      <w:color w:val="272727"/>
      <w:spacing w:val="0"/>
      <w:kern w:val="0"/>
      <w:position w:val="0"/>
      <w:sz w:val="21"/>
      <w:szCs w:val="21"/>
      <w:u w:val="none" w:color="272727"/>
      <w:shd w:val="nil" w:color="auto" w:fill="auto"/>
      <w:vertAlign w:val="baseline"/>
      <w:lang w:val="en-US"/>
      <w14:textFill>
        <w14:solidFill>
          <w14:srgbClr w14:val="272727"/>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BM Plex Sans Regular" w:cs="IBM Plex Sans Regular" w:hAnsi="IBM Plex Sans Regular" w:eastAsia="IBM Plex Sans Regular"/>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IBM Plex Sans SemiBold" w:cs="IBM Plex Sans SemiBold" w:hAnsi="IBM Plex Sans SemiBold" w:eastAsia="IBM Plex Sans SemiBold"/>
      <w:b w:val="1"/>
      <w:bCs w:val="1"/>
      <w:i w:val="0"/>
      <w:iCs w:val="0"/>
      <w:caps w:val="0"/>
      <w:smallCaps w:val="0"/>
      <w:strike w:val="0"/>
      <w:dstrike w:val="0"/>
      <w:outline w:val="0"/>
      <w:color w:val="262626"/>
      <w:spacing w:val="0"/>
      <w:kern w:val="0"/>
      <w:position w:val="0"/>
      <w:sz w:val="24"/>
      <w:szCs w:val="24"/>
      <w:u w:val="none" w:color="262626"/>
      <w:shd w:val="nil" w:color="auto" w:fill="auto"/>
      <w:vertAlign w:val="baseline"/>
      <w:lang w:val="en-US"/>
      <w14:textFill>
        <w14:solidFill>
          <w14:srgbClr w14:val="26262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York">
  <a:themeElements>
    <a:clrScheme name="York">
      <a:dk1>
        <a:srgbClr val="000000"/>
      </a:dk1>
      <a:lt1>
        <a:srgbClr val="FFFFFF"/>
      </a:lt1>
      <a:dk2>
        <a:srgbClr val="A7A7A7"/>
      </a:dk2>
      <a:lt2>
        <a:srgbClr val="535353"/>
      </a:lt2>
      <a:accent1>
        <a:srgbClr val="E13446"/>
      </a:accent1>
      <a:accent2>
        <a:srgbClr val="686361"/>
      </a:accent2>
      <a:accent3>
        <a:srgbClr val="7F1516"/>
      </a:accent3>
      <a:accent4>
        <a:srgbClr val="3EC2ED"/>
      </a:accent4>
      <a:accent5>
        <a:srgbClr val="AFE1F3"/>
      </a:accent5>
      <a:accent6>
        <a:srgbClr val="D6D0CA"/>
      </a:accent6>
      <a:hlink>
        <a:srgbClr val="0000FF"/>
      </a:hlink>
      <a:folHlink>
        <a:srgbClr val="FF00FF"/>
      </a:folHlink>
    </a:clrScheme>
    <a:fontScheme name="York">
      <a:majorFont>
        <a:latin typeface="Helvetica Neue"/>
        <a:ea typeface="Helvetica Neue"/>
        <a:cs typeface="Helvetica Neue"/>
      </a:majorFont>
      <a:minorFont>
        <a:latin typeface="Helvetica Neue"/>
        <a:ea typeface="Helvetica Neue"/>
        <a:cs typeface="Helvetica Neue"/>
      </a:minorFont>
    </a:fontScheme>
    <a:fmtScheme name="Yor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