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Werkzeugnachweis Railway Hazard Analysis Suite (RHAS)</w:t>
      </w:r>
    </w:p>
    <w:p>
      <w:pPr>
        <w:spacing w:after="240"/>
      </w:pPr>
      <w:r>
        <w:rPr>
          <w:color w:val="44546A"/>
          <w:sz w:val="22"/>
          <w:szCs w:val="22"/>
        </w:rPr>
        <w:t xml:space="preserve">Werkzeugbeschreibung, Einstufung nach EN 50129:2018 6.3, Validierung · Version 2026-10-07-wp10 · Stand 2026-10-07 09:05 UTC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Angabe</w:t>
            </w:r>
          </w:p>
        </w:tc>
        <w:tc>
          <w:tcPr>
            <w:tcW w:type="dxa" w:w="674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Wert</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Werkzeug</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Railway Hazard Analysis Suite (RHAS), eine HTML-Datei, offline lauffähig</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Version / Quellstand</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2026-10-07-wp10 / Commit 7b5a601</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Prüfsumme (SHA-256) der Auslieferung</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aef2ec147b77db306ff2c1ce6ca43432adca325e749bd763af2ee1955c385245</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Validierungslauf</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2026-10-07 09:05 UTC; Node v22.22.0, Python 3.13.16, Chromium (Playwright)</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Ergebnis</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115 von 115 Modul- und Berichtstests bestanden; 8 von 8 Browser-Prüfungen bestanden</w:t>
            </w:r>
          </w:p>
        </w:tc>
      </w:tr>
    </w:tbl>
    <w:p>
      <w:pPr>
        <w:pStyle w:val="Heading1"/>
      </w:pPr>
      <w:r>
        <w:t xml:space="preserve">1 Zweck und Geltungsbereich</w:t>
      </w:r>
    </w:p>
    <w:p>
      <w:pPr>
        <w:spacing w:after="120"/>
      </w:pPr>
      <w:r>
        <w:t xml:space="preserve">Dieses Dokument beschreibt die RHAS als Werkzeug, stuft sie nach EN 50129:2018 6.3 ein und belegt durch einen dokumentierten Validierungslauf, dass die sicherheitsbezogenen Funktionen des Werkzeugs wie spezifiziert arbeiten. Es richtet sich an Anwender, Sicherheitsverantwortliche und Gutachter, die Arbeitsergebnisse der RHAS in einem Sicherheitsnachweis verwenden.</w:t>
      </w:r>
    </w:p>
    <w:p>
      <w:pPr>
        <w:pStyle w:val="Heading1"/>
      </w:pPr>
      <w:r>
        <w:t xml:space="preserve">2 Werkzeugbeschreibung</w:t>
      </w:r>
    </w:p>
    <w:p>
      <w:pPr>
        <w:spacing w:after="120"/>
      </w:pPr>
      <w:r>
        <w:t xml:space="preserve">Die RHAS unterstützt die Phasen 1 bis 4 des Lebenszyklus nach EN 50126-1: Projektprofil, Systemdefinition, Gefährdungsidentifikation, Risikoanalyse und -bewertung, Sicherheitsanforderungen und Berichte. Optional ergänzt sie eine Security-Betrachtung in vier Stufen.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Bestandteil</w:t>
            </w:r>
          </w:p>
        </w:tc>
        <w:tc>
          <w:tcPr>
            <w:tcW w:type="dxa" w:w="385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Aufgabe</w:t>
            </w:r>
          </w:p>
        </w:tc>
        <w:tc>
          <w:tcPr>
            <w:tcW w:type="dxa" w:w="2892"/>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Sicherheitsbezug</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model.js, calibration.js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Risikoklasse, SIL, THR-Aufteilung, Vollständigkeit, Kalibrierung</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Normative Berechnung, lokal, deterministisch</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profile.js, domains.js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Projektprofil, Änderungsprotokoll, Domänenpakete</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Festlegungen und Nachvollziehbarkeit</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engine.js, prompts.js, schemas.js, llm-pipeline.js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KI-Vorschläge (Identifikation, Analyse, Maßnahmen, Anforderungen)</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Nur Vorschläge; Übernahme durch den Menschen</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security.js, threatlog.js, zones.js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Security-Stufen 1–3</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Security-Risiko lokal berechnet; SL-T durch Bearbeiter</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reports.js, docx.js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Word, Excel, Druckansicht</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Liefergegenstände für den Nachweis</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db.js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Speicherung im Browser (IndexedDB), JSON-Export, Checkpoints</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Datenhaltung</w:t>
            </w:r>
          </w:p>
        </w:tc>
      </w:tr>
    </w:tbl>
    <w:p>
      <w:pPr>
        <w:spacing w:after="120"/>
      </w:pPr>
      <w:r>
        <w:rPr>
          <w:b/>
          <w:bCs/>
        </w:rPr>
        <w:t xml:space="preserve">Rolle der KI: </w:t>
      </w:r>
      <w:r>
        <w:t xml:space="preserve">Sprachmodelle (lokal über Ollama oder Mistral API) liefern ausschließlich Vorschläge mit Begründung und Quellenangabe. Risikoklassen, SIL, THR-Prüfungen, Security-Risiko und SL-T werden nie von der KI bestimmt.</w:t>
      </w:r>
    </w:p>
    <w:p>
      <w:pPr>
        <w:pStyle w:val="Heading1"/>
      </w:pPr>
      <w:r>
        <w:t xml:space="preserve">3 Einstufung nach EN 50129:2018 6.3</w:t>
      </w:r>
    </w:p>
    <w:p>
      <w:pPr>
        <w:spacing w:after="120"/>
      </w:pPr>
      <w:r>
        <w:t xml:space="preserve">EN 50129 6.3 unterscheidet Werkzeuge mit direkter Wirkung auf die Sicherheit (ihre Ausgaben gehen in Entwurf oder Implementierung einer sicherheitsrelevanten Funktion ein) und Werkzeuge mit indirekter Wirkung (sie unterstützen die Sicherheitsverifikation; ihre Fehler führen nicht direkt zu einem systematischen gefährlichen Fehler, können aber das Erkennen anderer Fehler beeinträchtigen).</w:t>
      </w:r>
    </w:p>
    <w:p>
      <w:pPr>
        <w:spacing w:after="120"/>
      </w:pPr>
      <w:r>
        <w:rPr>
          <w:b/>
          <w:bCs/>
        </w:rPr>
        <w:t xml:space="preserve">Einstufung: Werkzeug mit indirekter Wirkung auf die Sicherheit. </w:t>
      </w:r>
      <w:r>
        <w:t xml:space="preserve">Die RHAS entspricht den Beispielen „Werkzeuge zur Verwaltung und Rückverfolgung von Anforderungen“ und „Werkzeuge zur Unterstützung der Erstellung des Sicherheitsnachweises“ (EN 50129 6.3, Beispiel 2 d) und e)). Sie erzeugt weder Entwurfsdaten noch Parameter des Zielsystems.</w:t>
      </w:r>
    </w:p>
    <w:p>
      <w:pPr>
        <w:spacing w:after="120"/>
      </w:pPr>
      <w:r>
        <w:t xml:space="preserve">Die zusätzlichen Anforderungen 1) bis 3) der Norm gelten nur für Werkzeuge mit direkter Wirkung. Unabhängig davon werden die allgemeinen Punkte erfüllt: Auswahl nach Bedarf, Zusammenarbeit mit Folgewerkzeugen (Word, Excel, JSON-Austausch) und Verfügbarkeit über die Lebensdauer (eine Datei, offline, Quellstand mit reproduzierbarem Build). Darüber hinaus werden freiwillig eine Gefährdungsbetrachtung des Werkzeugs (Abschnitt 4) und ein Validierungslauf (Abschnitt 6) nachgewiesen.</w:t>
      </w:r>
    </w:p>
    <w:p>
      <w:pPr>
        <w:spacing w:after="120"/>
      </w:pPr>
      <w:r>
        <w:rPr>
          <w:b/>
          <w:bCs/>
        </w:rPr>
        <w:t xml:space="preserve">Einordnung nach EN 50716:2023: </w:t>
      </w:r>
      <w:r>
        <w:t xml:space="preserve">Wird die RHAS in einem Softwareprojekt eingesetzt, entspricht sie der Werkzeugklasse T1 (keine Ausgaben, die direkt oder indirekt zum ausführbaren Code einschließlich Daten beitragen).</w:t>
      </w:r>
    </w:p>
    <w:p>
      <w:pPr>
        <w:pStyle w:val="Heading1"/>
      </w:pPr>
      <w:r>
        <w:t xml:space="preserve">4 Gefährdungsbetrachtung des Werkzeugs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8"/>
        <w:gridCol w:w="3662"/>
        <w:gridCol w:w="1928"/>
      </w:tblGrid>
      <w:tr>
        <w:trPr>
          <w:tblHeader/>
        </w:trPr>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Fehlerart</w:t>
            </w:r>
          </w:p>
        </w:tc>
        <w:tc>
          <w:tcPr>
            <w:tcW w:type="dxa" w:w="1928"/>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Mögliche Auswirkung</w:t>
            </w:r>
          </w:p>
        </w:tc>
        <w:tc>
          <w:tcPr>
            <w:tcW w:type="dxa" w:w="3662"/>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Beherrschung</w:t>
            </w:r>
          </w:p>
        </w:tc>
        <w:tc>
          <w:tcPr>
            <w:tcW w:type="dxa" w:w="1928"/>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Nachweis</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Falsche Risikoklasse oder falsches SIL</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Unterschätztes Risiko im Nachweis</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Berechnung lokal, gegen Normtabellen getestet (TR-01, TR-02); Anzeige der Einstufung je Szenario zur Prüfung</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calibration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Fehlerhafte THR-Aufteilung</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Nicht erfüllte Integritätsanforderung bleibt unerkannt</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ODER-/UND-Regeln getestet (TR-03); Warnung bei Grenzwerten</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Falsche oder erfundene KI-Vorschläge</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Unzutreffende Gefährdungen oder Lücken</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Pflichtprüfung durch den Ingenieur, Begründung und Quelle je Vorschlag, Abdeckungsnachweis, Checkliste der Domäne</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 Anwendungsbedingung AB-01</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Stille Veränderung gespeicherter Daten</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Nachweis weicht vom Arbeitsstand ab</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Regressionstests, Trockenlauf mit Speicherprüfung (TR-12); beim Trockenlauf gefundener Fehler behoben</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dryrun_demo</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Unvollständiger oder verfälschter Bericht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Gutachter erhält falsche Grundlage</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Golden-Dateien aller Berichtsarten (TR-06); Durchsicht vor Freigabe</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AB-04</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Falsche Kalibrierung angewendet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Systematisch falsche Bewertung</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Freigabe und Versionierung, Kalibrierung im Bericht abgedruckt (TR-09)</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calibration; AB-02</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Unvollständiger Kontext an die KI (Kürzung)</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Vorschläge ohne Dokumentbezug</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Kontextlänge fest eingestellt; Kürzungsprüfung für lokalen Betrieb geplant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offen (Plan B)</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Datenverlust im Browser</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Arbeitsstand nicht verfügbar</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Checkpoints, JSON-Export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AB-05</w:t>
            </w:r>
          </w:p>
        </w:tc>
      </w:tr>
    </w:tbl>
    <w:p>
      <w:pPr>
        <w:pStyle w:val="Heading1"/>
      </w:pPr>
      <w:r>
        <w:t xml:space="preserve">5 Werkzeuganforderungen und Nachweis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168"/>
        <w:gridCol w:w="2699"/>
      </w:tblGrid>
      <w:tr>
        <w:trPr>
          <w:tblHeader/>
        </w:trPr>
        <w:tc>
          <w:tcPr>
            <w:tcW w:type="dxa" w:w="77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ID</w:t>
            </w:r>
          </w:p>
        </w:tc>
        <w:tc>
          <w:tcPr>
            <w:tcW w:type="dxa" w:w="6168"/>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Anforderung</w:t>
            </w:r>
          </w:p>
        </w:tc>
        <w:tc>
          <w:tcPr>
            <w:tcW w:type="dxa" w:w="269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Nachweis (Testgruppe)</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TR-01</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Risikoklasse, Häufigkeits- und Schadenskategorien werden lokal aus der Projektkalibrierung berechnet (EN 50126-1 Anhang C); unbekannte Kategorien werden abgewiesen.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calibration,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TR-02</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SIL aus TFFR nach EN 50126-2 Tabelle 2 (halboffene Bänder, Basic Integrity, kein SIL 0); SIL nur für elektronische Funktionen.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TR-03</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THR-Aufteilung: ODER-Summe, UND-Anrechnung nur mit CCA-Nachweis (EN 50129 A.4.3.4–A.4.3.6).</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TR-04</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Restrisiko und „kontrolliert“ nur aus angenommenen Maßnahmen; vorgeschlagene und verworfene Maßnahmen ohne Wirkung; Restrisiko nie schlechter als das Ausgangsrisiko; „weitgehend akzeptabel“ bei Klassen mit Maßnahmenpflicht nur mit begründeter Abweichung.</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TR-05</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KI-Vorschläge gelangen nur durch ausdrückliche Übernahme in das Projekt; Duplikate werden zusammengeführt statt verworfen; verworfene Gefährdungen werden nicht erneut vorgeschlagen.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 security; Browser: dryrun_demo</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TR-06</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(Word, Excel, Druck) sind deterministisch, vollständig und frei von Darstellungsfehlern; Struktur nach EN 50126-1 7.4.3/7.5.3; Gefährdungsprotokoll nach 7.4.2.2 b)–g).</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(Golden-Dateien)</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TR-07</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Grundlage ausschließlich Bahnnormen; keine MIL-STD-882E-Verweise in Ausgaben.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Verifikationsmatrix (Anhang B)</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TR-08</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Projektprofil ist Pflicht; Änderungen nach Bestätigung nur mit Begründung und Protokoll; vertrauliche Projekte nur mit lokaler KI.</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profile; Browser: smoke_profile</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TR-09</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Kalibrierung konfigurierbar, validiert, versioniert, freigabepflichtig (ein Freigabeweg mit Protokoll); Auswirkungen auf bestehende Gefährdungen werden angezeigt; eine Änderung, die bestehenden Gefährdungen Kategorien entzieht, wird abgewiesen.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calibration; Browser: smoke_calibration</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TR-10</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Domänenwissen nur aus Domänenpaketen, keine Domänenbegriffe fest in KI-Anweisungen.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domains; Browser: smoke_domains</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TR-11</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vorsätzliche Ursachen ohne THR-/SIL-Anrechnung; Security-Maßnahme erforderlich; Security-Risiko lokal berechnet; SL-T nur durch Bearbeiter.</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threatlog, zones; Browser: smoke_security, smoke_threatlog, smoke_zones</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TR-12</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Keine stille Datenveränderung beim Speichern (z. B. Ursachenarten).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Browser: dryrun_demo</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TR-13</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Eine Datei, ohne externe Ressourcen, reproduzierbar aus dem Quellstand gebaut; eingebettete Daten können die Seite nicht beschädigen; nicht aufgeführte Module führen zum Abbruch.</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build</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TR-14</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Import und Kennungen: Kennungen und Verweise mit HTML-relevanten Zeichen werden beim Import abgewiesen; Kennungen gelöschter Datensätze werden nicht erneut vergeben; Anbieter-Prüfung für vertrauliche Projekte erkennt nur echte lokale Adressen.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import-ids, db-ids, local-providers; Browser: smoke_local</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TR-15</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sind unabhängig von der Zeitzone des Rechners; die Excel-Arbeitsmappe enthält die Security-Tabellen des Word-Berichts je Stufe.</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security-reports, xlsx-security</w:t>
            </w:r>
          </w:p>
        </w:tc>
      </w:tr>
    </w:tbl>
    <w:p>
      <w:pPr>
        <w:pStyle w:val="Heading1"/>
      </w:pPr>
      <w:r>
        <w:t xml:space="preserve">6 Validierungsergebnis</w:t>
      </w:r>
    </w:p>
    <w:p>
      <w:pPr>
        <w:spacing w:after="120"/>
      </w:pPr>
      <w:r>
        <w:t xml:space="preserve">Validierungslauf vom 2026-10-07 09:05 UTC mit Version 2026-10-07-wp10 (Commit 7b5a601). Der Lauf ist mit „python3 scripts/validate.py“ wiederholbar; die Rohdaten liegen unter docs/validation.</w:t>
      </w:r>
    </w:p>
    <w:p>
      <w:pPr>
        <w:pStyle w:val="Heading2"/>
      </w:pPr>
      <w:r>
        <w:t xml:space="preserve">6.1 Modul- und Berichtstests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1157"/>
        <w:gridCol w:w="1349"/>
        <w:gridCol w:w="1349"/>
      </w:tblGrid>
      <w:tr>
        <w:trPr>
          <w:tblHeader/>
        </w:trPr>
        <w:tc>
          <w:tcPr>
            <w:tcW w:type="dxa" w:w="327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Testgruppe</w:t>
            </w:r>
          </w:p>
        </w:tc>
        <w:tc>
          <w:tcPr>
            <w:tcW w:type="dxa" w:w="2506"/>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Datei</w:t>
            </w:r>
          </w:p>
        </w:tc>
        <w:tc>
          <w:tcPr>
            <w:tcW w:type="dxa" w:w="115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Tests</w:t>
            </w:r>
          </w:p>
        </w:tc>
        <w:tc>
          <w:tcPr>
            <w:tcW w:type="dxa" w:w="134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Bestanden</w:t>
            </w:r>
          </w:p>
        </w:tc>
        <w:tc>
          <w:tcPr>
            <w:tcW w:type="dxa" w:w="134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Fehlgeschlagen</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Build</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build.test.js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4</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4</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Kalibrierung</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calibration.test.js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Kennungsvergabe</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db-ids.test.js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Domänenpakete und Demo</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domains.test.js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8</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8</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KI-Orchestrierung</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Import und Kennungen</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import-ids.test.js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Lokale KI-Anbieter und Vertraulichkeit</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local-providers.test.js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11</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11</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Normativer Kern (model.js)</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Projektprofil</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profile.test.js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Referenzprojekt (Demo-Verhalten)</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reference-project.test.js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(Golden-Dateien)</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13</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13</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Security-Stufen 1–3 (Golden-Dateien)</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security-reports.test.js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8</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8</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Stufe 1</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6</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6</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Stufe 2</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threatlog.test.js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Excel: Security-Blätter</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xlsx-security.test.js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Stufe 3</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zones.test.js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Summe</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115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115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bl>
    <w:p>
      <w:pPr>
        <w:spacing w:after="120"/>
      </w:pPr>
      <w:r>
        <w:t xml:space="preserve">Normative Erwartungswerte (Tabelle C.9, Tabelle C.1, EN 50126-2 Tabelle 2) sind in den Tests aus den Normen übernommen und nicht aus den Datendateien der Anwendung gelesen; eine Datenänderung kann das normative Verhalten daher nicht unbemerkt verändern. Die Berichte werden gegen gespeicherte Golden-Dateien verglichen; die Wirksamkeit wurde durch gezielt eingebrachte Fehler bestätigt.</w:t>
      </w:r>
    </w:p>
    <w:p>
      <w:pPr>
        <w:pStyle w:val="Heading2"/>
      </w:pPr>
      <w:r>
        <w:t xml:space="preserve">6.2 Browser-Prüfungen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6169"/>
      </w:tblGrid>
      <w:tr>
        <w:trPr>
          <w:tblHeader/>
        </w:trPr>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Prüfung</w:t>
            </w:r>
          </w:p>
        </w:tc>
        <w:tc>
          <w:tcPr>
            <w:tcW w:type="dxa" w:w="134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c>
          <w:tcPr>
            <w:tcW w:type="dxa" w:w="616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Letzte Ausgaben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dryrun_demo.py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8 export L3: hazlog_Stufe3.docx</w:t>
            </w:r>
          </w:p>
          <w:p>
            <w:r>
              <w:rPr>
                <w:b w:val="false"/>
                <w:bCs w:val="false"/>
                <w:sz w:val="16"/>
                <w:szCs w:val="16"/>
              </w:rPr>
              <w:t xml:space="preserve">8 export L3: srs_Stufe3.docx</w:t>
            </w:r>
          </w:p>
          <w:p>
            <w:r>
              <w:rPr>
                <w:b w:val="false"/>
                <w:bCs w:val="false"/>
                <w:sz w:val="16"/>
                <w:szCs w:val="16"/>
              </w:rPr>
              <w:t xml:space="preserve">8 export L3: Arbeitsmappe_Stufe3.xlsx</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smoke_calibration.py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profile log mentions calibration: True</w:t>
            </w:r>
          </w:p>
          <w:p>
            <w:r>
              <w:rPr>
                <w:b w:val="false"/>
                <w:bCs w:val="false"/>
                <w:sz w:val="16"/>
                <w:szCs w:val="16"/>
              </w:rPr>
              <w:t xml:space="preserve">approved: True</w:t>
            </w:r>
          </w:p>
          <w:p>
            <w:r>
              <w:rPr>
                <w:b w:val="false"/>
                <w:bCs w:val="false"/>
                <w:sz w:val="16"/>
                <w:szCs w:val="16"/>
              </w:rPr>
              <w:t xml:space="preserve">class filter options: ['Alle Risikoklassen', 'Untragbar', 'Unerwünscht', 'Tragbar', 'Vernachlässigbar']</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smoke_domains.py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functions: ['F-0001 Türen freigeben und verriegeln', 'F-0002 Zug bremsen', 'F-0003 Notbremsung auslösen und überbrücken', 'F-0004 Traktion steuern und abschalten', 'F-0005 Zugintegrität überwachen', 'F-0006 Brand erkennen und melden', 'F-0007 Hochspannung sicher trennen und erden']</w:t>
            </w:r>
          </w:p>
          <w:p>
            <w:r>
              <w:rPr>
                <w:b w:val="false"/>
                <w:bCs w:val="false"/>
                <w:sz w:val="16"/>
                <w:szCs w:val="16"/>
              </w:rPr>
              <w:t xml:space="preserve">interfaces: 5</w:t>
            </w:r>
          </w:p>
          <w:p>
            <w:r>
              <w:rPr>
                <w:b w:val="false"/>
                <w:bCs w:val="false"/>
                <w:sz w:val="16"/>
                <w:szCs w:val="16"/>
              </w:rPr>
              <w:t xml:space="preserve">duplicates disabled: 7</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smoke_local.py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 openai-compat http://127.0.0.1:1234: allowed=True</w:t>
            </w:r>
          </w:p>
          <w:p>
            <w:r>
              <w:rPr>
                <w:b w:val="false"/>
                <w:bCs w:val="false"/>
                <w:sz w:val="16"/>
                <w:szCs w:val="16"/>
              </w:rPr>
              <w:t xml:space="preserve">confidential + openai-compat https://api.example.com: allowed=False</w:t>
            </w:r>
          </w:p>
          <w:p>
            <w:r>
              <w:rPr>
                <w:b w:val="false"/>
                <w:bCs w:val="false"/>
                <w:sz w:val="16"/>
                <w:szCs w:val="16"/>
              </w:rPr>
              <w:t xml:space="preserve">confidential + mistral-api : allowed=False</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smoke_profile.py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demo banner hidden: True | rail: ✓</w:t>
            </w:r>
          </w:p>
          <w:p>
            <w:r>
              <w:rPr>
                <w:b w:val="false"/>
                <w:bCs w:val="false"/>
                <w:sz w:val="16"/>
                <w:szCs w:val="16"/>
              </w:rPr>
              <w:t xml:space="preserve">cards: ['GI – Gefährdungsidentifikation', 'RB – Risikoanalyse und Risikobewertung', 'GP – Gefährdungsprotokoll (Hazard Log)', 'SAS – Sicherheitsanforderungen und sicherheitsbezogene Anwendungsbedingungen', 'SA – Sicherheitsanalyse (EN 50126-1 Phasen 3 und 4)', 'Excel-Arbeitsmappe']</w:t>
            </w:r>
          </w:p>
          <w:p>
            <w:r>
              <w:rPr>
                <w:b w:val="false"/>
                <w:bCs w:val="false"/>
                <w:sz w:val="16"/>
                <w:szCs w:val="16"/>
              </w:rPr>
              <w:t xml:space="preserve">download: SA-LYNX-RS-001_RevA_Minimel_Lynx_ATWS_Baustellenwarnung_Gleiserneuerung_Gleis_2_.docx</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smoke_security.py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passes planned: 13 | interfaces: 12</w:t>
            </w:r>
          </w:p>
          <w:p>
            <w:r>
              <w:rPr>
                <w:b w:val="false"/>
                <w:bCs w:val="false"/>
                <w:sz w:val="16"/>
                <w:szCs w:val="16"/>
              </w:rPr>
              <w:t xml:space="preserve">security checkbox in measures: 5</w:t>
            </w:r>
          </w:p>
          <w:p>
            <w:r>
              <w:rPr>
                <w:b w:val="false"/>
                <w:bCs w:val="false"/>
                <w:sz w:val="16"/>
                <w:szCs w:val="16"/>
              </w:rPr>
              <w:t xml:space="preserve">download: SA-LYNX-RS-001_RevA_Minimel_Lynx_ATWS_Baustellenwarnung_Gleiserneuerung_Gleis_2_.docx</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smoke_threatlog.py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residual: Niedrig</w:t>
            </w:r>
          </w:p>
          <w:p>
            <w:r>
              <w:rPr>
                <w:b w:val="false"/>
                <w:bCs w:val="false"/>
                <w:sz w:val="16"/>
                <w:szCs w:val="16"/>
              </w:rPr>
              <w:t xml:space="preserve">pct: 3/4</w:t>
            </w:r>
          </w:p>
          <w:p>
            <w:r>
              <w:rPr>
                <w:b w:val="false"/>
                <w:bCs w:val="false"/>
                <w:sz w:val="16"/>
                <w:szCs w:val="16"/>
              </w:rPr>
              <w:t xml:space="preserve">download ok: True</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smoke_zones.py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findings: Funktion F-0001 in mehreren Zonen (Z-01, Z-04). | Funktion F-0002 in mehreren Zonen (Z-01, Z-04). | Schnittstelle IF-0008 weder Zone noch Conduit zugeordnet. | Schnit</w:t>
            </w:r>
          </w:p>
          <w:p>
            <w:r>
              <w:rPr>
                <w:b w:val="false"/>
                <w:bCs w:val="false"/>
                <w:sz w:val="16"/>
                <w:szCs w:val="16"/>
              </w:rPr>
              <w:t xml:space="preserve">case rows: 10</w:t>
            </w:r>
          </w:p>
          <w:p>
            <w:r>
              <w:rPr>
                <w:b w:val="false"/>
                <w:bCs w:val="false"/>
                <w:sz w:val="16"/>
                <w:szCs w:val="16"/>
              </w:rPr>
              <w:t xml:space="preserve">download ok: True</w:t>
            </w:r>
          </w:p>
          <w:p>
            <w:r>
              <w:rPr>
                <w:b w:val="false"/>
                <w:bCs w:val="false"/>
                <w:sz w:val="16"/>
                <w:szCs w:val="16"/>
              </w:rPr>
              <w:t xml:space="preserve">Seitenfehler: keine (erwarteter Verbindungsfehler zur nicht gestarteten lokalen KI ausgenommen)</w:t>
            </w:r>
          </w:p>
        </w:tc>
      </w:tr>
    </w:tbl>
    <w:p>
      <w:pPr>
        <w:pStyle w:val="Heading1"/>
      </w:pPr>
      <w:r>
        <w:t xml:space="preserve">7 Anwendungsbedingungen für Nutzer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8674"/>
      </w:tblGrid>
      <w:tr>
        <w:trPr>
          <w:tblHeader/>
        </w:trPr>
        <w:tc>
          <w:tcPr>
            <w:tcW w:type="dxa" w:w="964"/>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ID</w:t>
            </w:r>
          </w:p>
        </w:tc>
        <w:tc>
          <w:tcPr>
            <w:tcW w:type="dxa" w:w="8674"/>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Bedingung</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AB-01</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Jeder KI-Vorschlag wird von einer fachkundigen Person geprüft, bevor er übernommen wird; Verwerfungen werden begründet.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AB-02</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Die Kalibrierung (und bei Security-Stufe 2 die Security-Risikomatrix) wird vom Betreiber festgelegt und freigegeben, bevor Ergebnisse verwendet werden.</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AB-03</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Das Restrisiko je Gefährdung (wirksamste einzelne Maßnahme) wird fachlich bestätigt; es ist tendenziell optimistisch.</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AB-04</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werden vor der Herausgabe durchgesehen (in Word Inhaltsverzeichnis aktualisieren).</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AB-05</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Projektstände werden als JSON gesichert und zu Meilensteinen als Checkpoint abgelegt.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AB-06</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Vertrauliche Projekte werden als „vertraulich“ klassifiziert und nur mit lokaler KI bearbeitet.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AB-07</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Inhalte der Domänenpakete sind Arbeitshilfen; ihre Anwendbarkeit wird im Projekt geprüft.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AB-08</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Security-Ergebnisse beruhen auf öffentlich beschriebenen Vorgehensweisen; für Konformitätsaussagen nach CLC/TS 50701 bzw. IEC 62443 sind die Normen heranzuziehen. Stufe 3 ist eine Vorschau.</w:t>
            </w:r>
          </w:p>
        </w:tc>
      </w:tr>
    </w:tbl>
    <w:p>
      <w:pPr>
        <w:pStyle w:val="Heading1"/>
      </w:pPr>
      <w:r>
        <w:t xml:space="preserve">8 Konfigurationsmanagement</w:t>
      </w:r>
    </w:p>
    <w:p>
      <w:pPr>
        <w:pStyle w:val="ListParagraph"/>
        <w:numPr>
          <w:ilvl w:val="0"/>
          <w:numId w:val="2"/>
        </w:numPr>
        <w:spacing w:after="60"/>
      </w:pPr>
      <w:r>
        <w:t xml:space="preserve">Quellstand unter Versionsverwaltung (git); jede Auslieferung trägt Version und Prüfsumme.</w:t>
      </w:r>
    </w:p>
    <w:p>
      <w:pPr>
        <w:pStyle w:val="ListParagraph"/>
        <w:numPr>
          <w:ilvl w:val="0"/>
          <w:numId w:val="2"/>
        </w:numPr>
        <w:spacing w:after="60"/>
      </w:pPr>
      <w:r>
        <w:t xml:space="preserve">„python3 build.py“ erzeugt die Auslieferungsdatei reproduzierbar aus dem Quellstand; der ursprüngliche Stand 2026-09-20-p1 wurde bitgenau rekonstruiert.</w:t>
      </w:r>
    </w:p>
    <w:p>
      <w:pPr>
        <w:pStyle w:val="ListParagraph"/>
        <w:numPr>
          <w:ilvl w:val="0"/>
          <w:numId w:val="2"/>
        </w:numPr>
        <w:spacing w:after="60"/>
      </w:pPr>
      <w:r>
        <w:t xml:space="preserve">Änderungen an Berichten werden über Golden-Dateien sichtbar und nur nach Durchsicht übernommen.</w:t>
      </w:r>
    </w:p>
    <w:p>
      <w:pPr>
        <w:pStyle w:val="ListParagraph"/>
        <w:numPr>
          <w:ilvl w:val="0"/>
          <w:numId w:val="2"/>
        </w:numPr>
        <w:spacing w:after="60"/>
      </w:pPr>
      <w:r>
        <w:t xml:space="preserve">Normative Verweise sind in einer Verifikationsmatrix geführt (Anhang B).</w:t>
      </w:r>
    </w:p>
    <w:p>
      <w:pPr>
        <w:pStyle w:val="Heading1"/>
      </w:pPr>
      <w:r>
        <w:t xml:space="preserve">9 Offene Punkte</w:t>
      </w:r>
    </w:p>
    <w:p>
      <w:pPr>
        <w:pStyle w:val="ListParagraph"/>
        <w:numPr>
          <w:ilvl w:val="0"/>
          <w:numId w:val="2"/>
        </w:numPr>
        <w:spacing w:after="60"/>
      </w:pPr>
      <w:r>
        <w:t xml:space="preserve">Security-Inhalte gegen die zu beschaffenden Normen (CLC/TS 50701, IEC 62443-3-2/-3-3, EN 50159) prüfen; fachliche Freigabe durch eine qualifizierte Person.</w:t>
      </w:r>
    </w:p>
    <w:p>
      <w:pPr>
        <w:pStyle w:val="ListParagraph"/>
        <w:numPr>
          <w:ilvl w:val="0"/>
          <w:numId w:val="2"/>
        </w:numPr>
        <w:spacing w:after="60"/>
      </w:pPr>
      <w:r>
        <w:t xml:space="preserve">KI-Security-Durchgänge mit realen Modellen abstimmen.</w:t>
      </w:r>
    </w:p>
    <w:p>
      <w:pPr>
        <w:pStyle w:val="ListParagraph"/>
        <w:numPr>
          <w:ilvl w:val="0"/>
          <w:numId w:val="2"/>
        </w:numPr>
        <w:spacing w:after="60"/>
      </w:pPr>
      <w:r>
        <w:t xml:space="preserve">Deutsche Bezeichnungen der Liefergegenstände gegen die DIN-EN-Fassungen prüfen.</w:t>
      </w:r>
    </w:p>
    <w:p>
      <w:pPr>
        <w:pStyle w:val="ListParagraph"/>
        <w:numPr>
          <w:ilvl w:val="0"/>
          <w:numId w:val="2"/>
        </w:numPr>
        <w:spacing w:after="60"/>
      </w:pPr>
      <w:r>
        <w:t xml:space="preserve">Kürzungsprüfung des KI-Kontexts für den lokalen Betrieb (Plan B).</w:t>
      </w:r>
    </w:p>
    <w:p>
      <w:pPr>
        <w:pStyle w:val="Heading1"/>
      </w:pPr>
      <w:r>
        <w:t xml:space="preserve">Anhang A: Testfälle</w:t>
      </w:r>
    </w:p>
    <w:p>
      <w:pPr>
        <w:pStyle w:val="Heading2"/>
      </w:pPr>
      <w:r>
        <w:t xml:space="preserve">Build (build.test.js)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build.py produces a file whose inline scripts all compile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external resources are referenced (air-gap deployable)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 literal &lt;/script&gt; or &lt;!-- in the embedded data cannot break the page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the build fails on &lt;/script in an app module and on modules missing from the manifest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Kalibrierung (calibration.test.js)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template C.1/C.4/C.8 reproduces the Table C.9 example and is valid (approval pending)</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other Annex C combinations start with an empty matrix that must be filled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binary calibration drives risk class, rank, labels and completeness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validation catches duplicate ids, unknown cells and non-monotonic matrices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impact analysis lists hazards whose categories no longer exist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LLM schemas use the project categories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 renders a non-default calibration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Kennungsvergabe (db-ids.test.js)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next id is max(existing ids, persistent counter) + 1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Domänenpakete und Demo (domains.test.js)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every profile domain resolves to a pack; unknown domains fall back to generic</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packs are complete and use valid enums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contain no hard-coded domain wording (source check)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 and decomposition prompts use the examples of the project domain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critique prompt carries the domain checklist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reports list the domain standards of the project pack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the embedded demo is the Lynx project with a confirmed profile and all five stages populated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demo carries prepared security data for levels 1-3 (hidden at level 0)</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KI-Orchestrierung (engine.test.js)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near-duplicates in one batch are merged, not dropped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distinct suggestions stay separate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similarity to an accepted hazard flags duplicateOf, to a rejected one flags previouslyRejected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list rejected hazards so the model does not re-propose them</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mark project data and document excerpts as data, not instructions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Import und Kennungen (import-ids.test.js)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shipped reference project and demo project pass the id check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hostile record ids and id references are rejected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Lokale KI-Anbieter und Vertraulichkeit (local-providers.test.js)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num_ctx, keep_alive, think are sent; answer in content is returned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think &amp;quot;auto&amp;quot; leaves the model default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answer only in the thinking field is recovered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prompt longer than num_ctx is refused before sending</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silent truncation is detected from prompt_eval_count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preflight reports context length, capabilities and warnings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OpenAI-compatible server: SSE streaming, json_schema with fallback to json_object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pipeline dispatches to the OpenAI-compatible provider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projects: local or private-network servers allowed, cloud or public hosts blocked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projects: hostnames that merely start like a private IP are not local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guideword split plans two function passes per function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Normativer Kern (model.js) (model.test.js)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class reproduces EN 50126-1 Table C.9 for all 24 cells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class rejects unknown categories instead of mapping silently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frequency bands follow EN 50126-1 Table C.1 (per hour, 24 h/day)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from TFFR follows EN 50126-2 Table 2 with half-open bands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TFFR exactly 1e-5 is Basic Integrity and flagged for confirmation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is not applied to mechanical/procedural or non-safety functions (EN 50126-2 10.2.1, 10.3)</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&amp;quot;SIL 0&amp;quot; label exists (EN 50129 A.5.1)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parseRate accepts common engineering notations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OR-sum check (EN 50129 A.4.3.4 NOTE 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AND credit only with a CCA record proving random and systematic independence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THR on a hazard without function is an error (EN 50129 A.4.3.2)</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rejected measures neither lower the residual risk nor count as control (PATCH-2)</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risk class is the worst accident scenario (EN 50126-2 8.2.2 many-to-many model)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sources are EN 50126-1 7.4.2.1 a) to n) in order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measure hierarchy follows EN 50126-1 5.9.2 a) to c); legacy values are migrated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assumptions field cites EN 50126-1 7.3.2.1 d), not 6.5.2 (K1)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cause kinds: schema, labels and editors agree (no silent re-classification on save)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proposed (unconfirmed) measures do not lower residual risk or count as control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 measure cannot leave the hazard with a residual risk worse than the initial risk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&amp;quot;broadly acceptable&amp;quot; on a class that needs measures requires a reasoned deviation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Projektprofil (profile.test.js)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 new profile is incomplete until the wizard is filled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level 0 requires a justification (EN 50126-1 7.4.2.1 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levels not yet implemented cannot be selected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first confirmation needs no reason; later changes need one and are logged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invalid profiles are not accepted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projects without a profile are migrated with defaults and marked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projects may only use the local model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the pipeline refuses a blocked call before contacting any provider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carry the project profile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reports show the profile, its change log and the security statement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Referenzprojekt (Demo-Verhalten) (reference-project.test.js)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lead hazard A: Undesirable, residual Tolerable despite a rejected better measure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lead hazard B: Tolerable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4 demo: F-0004 at 1.5e-8 passes the OR-sum against THR 5e-8</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4 demo: F-0004 at 3e-8 raises the OR-sum error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4 demo: F-0011 at 1e-5 needs confirmation, F-0012 is SIL not applicable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CCA F-0004/F-0006 is dependent, so no AND credit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1 of the demo project is complete (25 fields, gate to stage 2 open)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Berichte (Golden-Dateien) (reports.test.js)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hazid: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risk: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hazlog: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srs: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full: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XLSX workbook matches golden content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print view matches golden HTML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&amp;quot;[object Object]&amp;quot; in any output (PATCH-1, PATCH-3)</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lead hazard titles appear in the hazard list (PATCH-1)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reports contain no MIL-STD-882E reference or task deliverable names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deliverables map to EN 50126-1 phase 3/4 outputs; legacy keys still work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covers EN 50126-1 7.4.2.2 b) to g) and exports the SRAC</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every report states the RAMS scope (safety only)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Berichte Security-Stufen 1–3 (Golden-Dateien) (security-reports.test.js)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DOCX full is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XLSX workbook matches golden content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2: DOCX full is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2: XLSX workbook matches golden content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3: DOCX full is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3: XLSX workbook matches golden content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3: print view matches golden HTML and contains no unescaped markup from data</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hostile text in security records is escaped in print and DOCX output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Security Stufe 1 (security.test.js)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is selectable and needs no level-0 justification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plans one threat pass per interface plus the safety/security interaction check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threat prompt: EN 50159 threats, existing hazards, security context, no THR/SIL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threat pass: link to existing hazard, intentional causes, threat ids filtered, interface set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deliberate cause without security measure is not controlled; SIL/THR are not credit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report: security section with context, hazards, coverage, requirements; level 0 unchanged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Security Stufe 2 (threatlog.test.js)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likelihood = exposure + vulnerability - 1, only for valid scales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default security matrix is complete and monotonic, but not approved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and residual risk are computed from the matrix; only accepted countermeasures count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impact floor follows the worst linked safety severity (proposal)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derive: one threat per deliberate cause of an accepted hazard, no duplicates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completeness: rationale, hazard link, high risk needs countermeasure, countermeasure needs requirement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2 report: matrix, threat log, trace; XLSX sheet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Excel: Security-Blätter (xlsx-security.test.js)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xlsx security sheets appear per level, like the Word sections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Security Stufe 3 (zones.test.js)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SR catalogue: 7 FRs, 51 SRs, identifiers and titles only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SL-T proposal: attacker profile where medium/high threats touch the zone, else SL 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partition check: unassigned assets, mixed safety zones, missing SL-T, bad conduits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cybersecurity case skeleton reports what exists and what is open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3 report: zones, conduits, SR per zone, findings, case skeleton; XLSX sheets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1"/>
      </w:pPr>
      <w:r>
        <w:t xml:space="preserve">Anhang B: Verifikationsmatrix der Normverweise</w:t>
      </w:r>
    </w:p>
    <w:p>
      <w:pPr>
        <w:spacing w:after="120"/>
      </w:pPr>
      <w:r>
        <w:t xml:space="preserve">Geprüft gegen EN 50126-1:2017, EN 50126-2:2017, EN 50129:2018 und EN 50716:2023. Inhalte sind sinngemäß wiedergegeben; kein Normtext.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4241"/>
        <w:gridCol w:w="1157"/>
      </w:tblGrid>
      <w:tr>
        <w:trPr>
          <w:tblHeader/>
        </w:trPr>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Verweis</w:t>
            </w:r>
          </w:p>
        </w:tc>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Verwendung</w:t>
            </w:r>
          </w:p>
        </w:tc>
        <w:tc>
          <w:tcPr>
            <w:tcW w:type="dxa" w:w="424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Inhalt (sinngemäß)</w:t>
            </w:r>
          </w:p>
        </w:tc>
        <w:tc>
          <w:tcPr>
            <w:tcW w:type="dxa" w:w="115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Status</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3.28</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definition in prompts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 condition that could lead to an accident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5.5</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scope (Plan 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 resilience to vandalism, malevolence, intentionally harmful behaviour</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5.9.2 a)–c)</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Measure types and hierarchy</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Avoid hazard → reduce frequency → prevent propagation → mitigate severity; a) safe function, b) additional safety functions/barriers, c) safety-related information/constraints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 / FIXED (hierarchy remapped)</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6.3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Broadly acceptable decision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assessment requirements, broadly acceptable criteria</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6.5.2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(was) assumptions field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Complex systems at different hierarchical levels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FIXED → 7.3.2.1 d)</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6.6, 6.7</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Document control, V&amp;V note</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RAMS documentation; verification and validation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7.2.2 e)</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Legal framework field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Safety legislation as concept-phase input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7.3.2.1 a)–e)</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25 system definition fields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Objective and mission profile; boundary; operational scope incl. modes and human activities; existing measures and assumptions; system identification and deviations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7.4.2.1 steps 1–6</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analysis workflow</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Undesired events, causes, control measures, estimation, additional measures, documentation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7.4.2.1 a)–n)</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sources GQ-a…n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14 sources in this order; d) excludes deliberate misuse</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7.4.2.2 a)–g)</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report, completeness checks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Purpose, responsible entities and contributing functions, consequences/frequencies, risk, RAP/RAC, measures, exported safety constraints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7.4.3 a), b)</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Deliverables GI, RB, GP</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Phase 3 outputs: risk assessment, hazard log</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7.5.2, 7.5.3 a), b)</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Deliverable SAS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Phase 4: RAMS system requirements; outputs: RAMS SRS, SRAC</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Annex C, Tables C.1, C.4, C.8, C.9</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Default calibration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Frequency and severity examples, acceptance categories, example matrix; C.1: duty holder defines categories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 (values identical)</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Annex D, D.3.2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 list requirement</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System definition guidance; function list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5.2.2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at system boundary</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Black-box view, hazards evaluated at boundaries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5.3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Holistic residual risk</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Outcome of risk assessment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8.2, 8.2.2, 8.2.4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model, hazard levels, expert judgement</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Many-to-many cause/hazard/accident model; expert judgement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8.3, 8.3.1–8.3.3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RAP selection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CoP, reference system, explicit risk estimation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 (bare refs prefixed in WP1)</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9.1–9.3.4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Requirement categories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Functional, technical, contextual safety requirements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10.2.1, 10.2.2, 10.2.7 Table 2, 10.2.11, 10.3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logic</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Electronic only; apportioning; SIL table; Basic Integrity; CoP for non-electronic</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11.4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CCA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Common cause analysis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Annex A</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RAC options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ALARP, GAME, MEM</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Annex F, Table F.1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Guideword method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HAZOP (IEC 61882) among techniques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D.3.5</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Per-hour apportionment</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Apportionment of a per-hour target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5.3.1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Not safety-related functions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Standard ceases to apply once a function is classified not safety-related</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5.3.4, 5.3.4.2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Roles, independence</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Safety organisation; independence of roles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5.3.6, 5.3.7, 5.3.13 (Table 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SRS, SRAC</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safety requirements specification; SRAC management, SRAC template</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6.3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Tool classification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Tools with indirect effect on safety (e.g. requirement tracing, safety case preparation)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6.4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(Plan 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Physical and IT security; SIL not intended for IT security</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Functional safety requirements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Functional safety requirements include integrity requirements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A.4.2.3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trivial mass lists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identification phases; note against large trivial lists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A.4.3.2, A.4.3.4 (NOTE 1), A.4.3.5/.6</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Allocation, OR/AND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TFFR/SIL determination; OR-sum for dependent functions; independence</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A.5.1, A.5.2, Table A.1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0, below range</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SIL 0; SIL/TFFR relationship</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50716 scope</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(Plan 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Refers to TS 50701; update vs. validation conflict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Seite </w:t>
    </w:r>
    <w:r>
      <w:rPr>
        <w:sz w:val="16"/>
        <w:szCs w:val="16"/>
      </w:rPr>
      <w:fldChar w:fldCharType="begin"/>
      <w:instrText xml:space="preserve">PAGE</w:instrText>
      <w:fldChar w:fldCharType="separate"/>
      <w:fldChar w:fldCharType="end"/>
    </w:r>
    <w:r>
      <w:rPr>
        <w:sz w:val="16"/>
        <w:szCs w:val="16"/>
      </w:rPr>
      <w:t xml:space="preserve"> von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9D"/>
        <w:sz w:val="16"/>
        <w:szCs w:val="16"/>
      </w:rPr>
      <w:t xml:space="preserve">INVENSITY · Werkzeugnachweis RHAS 2026-10-07-wp10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b/>
      <w:bCs/>
      <w:color w:val="1F3864"/>
      <w:sz w:val="30"/>
      <w:szCs w:val="30"/>
      <w:rFonts w:ascii="Calibri" w:cs="Calibri" w:eastAsia="Calibri" w:hAnsi="Calibri"/>
    </w:rPr>
  </w:style>
  <w:style w:type="paragraph" w:styleId="Heading2">
    <w:name w:val="Heading 2"/>
    <w:basedOn w:val="Normal"/>
    <w:next w:val="Normal"/>
    <w:qFormat/>
    <w:pPr>
      <w:spacing w:before="200" w:after="100"/>
      <w:outlineLvl w:val="1"/>
    </w:pPr>
    <w:rPr>
      <w:b/>
      <w:bCs/>
      <w:color w:val="2E5597"/>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2026-10-07T09:05:25.235Z</dcterms:created>
  <dcterms:modified xsi:type="dcterms:W3CDTF">2026-10-07T09:05:25.235Z</dcterms:modified>
</cp:coreProperties>
</file>

<file path=docProps/custom.xml><?xml version="1.0" encoding="utf-8"?>
<Properties xmlns="http://schemas.openxmlformats.org/officeDocument/2006/custom-properties" xmlns:vt="http://schemas.openxmlformats.org/officeDocument/2006/docPropsVTypes"/>
</file>