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Mutual Non-Disclosure Agreement</w:t>
      </w:r>
    </w:p>
    <w:p>
      <w:r>
        <w:t xml:space="preserve">This Mutual Non-Disclosure Agreement is entered into as of January 22, 2024, by and between Acme Robotics, Inc., a Delaware corporation (Acme), and Globex Industries Ltd., a California corporation (Globex).</w:t>
      </w:r>
    </w:p>
    <w:p>
      <w:pPr>
        <w:pStyle w:val="Heading2"/>
      </w:pPr>
      <w:r>
        <w:t>1. Confidential Information</w:t>
      </w:r>
    </w:p>
    <w:p>
      <w:r>
        <w:t>Each party may disclose to the other certain non-public information relating to its business, technology, customers, finances, or operations.</w:t>
      </w:r>
    </w:p>
    <w:p>
      <w:pPr>
        <w:pStyle w:val="Heading2"/>
      </w:pPr>
      <w:r>
        <w:t>2. Term</w:t>
      </w:r>
    </w:p>
    <w:p>
      <w:r>
        <w:t>The obligations of confidentiality shall survive termination of this Agreement for a period of five (5) years.</w:t>
      </w:r>
    </w:p>
    <w:p>
      <w:pPr>
        <w:pStyle w:val="Heading2"/>
      </w:pPr>
      <w:r>
        <w:t>3. Indemnification</w:t>
      </w:r>
    </w:p>
    <w:p>
      <w:r>
        <w:t>Each party shall indemnify and hold the other harmless from any losses arising out of breach of this Agreement, with aggregate liability not to exceed five million U.S. dollars ($5,000,000).</w:t>
      </w:r>
    </w:p>
    <w:p>
      <w:pPr>
        <w:pStyle w:val="Heading2"/>
      </w:pPr>
      <w:r>
        <w:t>4. Governing Law</w:t>
      </w:r>
    </w:p>
    <w:p>
      <w:r>
        <w:t>This Agreement shall be governed by the laws of the State of Delaware.</w:t>
      </w:r>
    </w:p>
  </w:body>
</w:document>
</file>