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TOOTHWISE: A YOLO-BASED MULTI-CONDITION DENTAL SCREENING SYSTEM WITH KNN-BASED RECOMMENDATION FOR CODISMILE DENTAL CLINIC</w:t>
      </w:r>
    </w:p>
    <w:p>
      <w:pPr>
        <w:jc w:val="center"/>
      </w:pPr>
      <w:r>
        <w:rPr>
          <w:b w:val="0"/>
          <w:i/>
          <w:sz w:val="22"/>
        </w:rPr>
        <w:t>Capstone Project Documentation Continuation: Chapters IV and V</w:t>
      </w:r>
    </w:p>
    <w:p>
      <w:pPr>
        <w:jc w:val="center"/>
      </w:pPr>
      <w:r>
        <w:rPr>
          <w:b/>
          <w:i w:val="0"/>
          <w:sz w:val="22"/>
        </w:rPr>
        <w:t>College of Computing Studies — Universidad de Manila</w:t>
      </w:r>
    </w:p>
    <w:p/>
    <w:p>
      <w:pPr>
        <w:pStyle w:val="Heading1"/>
      </w:pPr>
      <w:r>
        <w:t>CHAPTER IV: RESULTS AND DISCUSSION</w:t>
      </w:r>
    </w:p>
    <w:p>
      <w:r>
        <w:rPr>
          <w:b w:val="0"/>
          <w:i w:val="0"/>
        </w:rPr>
        <w:t>This chapter presents the empirical findings, technical verification results, and operational performance of the Toothwise system developed for CodiSmile Dental Clinic. The presentation is organized in direct alignment with the Statement of the Problem (SOP) established in Chapter I, providing quantitative and qualitative evidence addressing each research question.</w:t>
      </w:r>
    </w:p>
    <w:p>
      <w:pPr>
        <w:pStyle w:val="Heading2"/>
      </w:pPr>
      <w:r>
        <w:t>4.1 Analysis of Visual-Only Screening Limitations and AI Diagnostic Performance (SOP 1)</w:t>
      </w:r>
    </w:p>
    <w:p>
      <w:r>
        <w:rPr>
          <w:b w:val="0"/>
          <w:i w:val="0"/>
        </w:rPr>
        <w:t>The first research problem investigated the limitations of visual-only screening that make early-stage dental conditions difficult to detect and distinguish consistently at CodiSmile Dental Clinic. In conventional practice, clinicians rely solely on visual inspection using a dental mirror and explorer under operatory illumination. This traditional approach presents documented diagnostic vulnerabilities, specifically in identifying non-cavitated early enamel caries, differentiating between superficial plaque and calcified tartar, and detecting localized subgingival inflammation before macro-structural tissue collapse occurs.</w:t>
      </w:r>
    </w:p>
    <w:p>
      <w:r>
        <w:rPr>
          <w:b w:val="0"/>
          <w:i w:val="0"/>
        </w:rPr>
        <w:t>To resolve these diagnostic challenges, the Toothwise system deployed an automated object detection framework capable of segmenting and classifying five clinical classes: Healthy Tooth, Dental Plaque, Calculus / Tartar, Gum Inflammation (Gingivitis), and Dental Caries / Cavity. A clinical validation benchmark was conducted comparing visual-only examinations with the dual-model YOLO framework across 120 verified clinical intraoral photographic cases.</w:t>
      </w:r>
    </w:p>
    <w:p>
      <w:r>
        <w:rPr>
          <w:b w:val="0"/>
          <w:i w:val="0"/>
        </w:rPr>
        <w:t>Table 12 presents the comparative detection sensitivity, specificity, and precision achieved across the five recognized dental conditions.</w:t>
      </w:r>
    </w:p>
    <w:tbl>
      <w:tblPr>
        <w:tblW w:type="auto" w:w="0"/>
        <w:jc w:val="center"/>
        <w:tblLook w:firstColumn="1" w:firstRow="1" w:lastColumn="0" w:lastRow="0" w:noHBand="0" w:noVBand="1" w:val="04A0"/>
      </w:tblPr>
      <w:tblGrid>
        <w:gridCol w:w="1440"/>
        <w:gridCol w:w="1440"/>
        <w:gridCol w:w="1440"/>
        <w:gridCol w:w="1440"/>
        <w:gridCol w:w="1440"/>
        <w:gridCol w:w="1440"/>
      </w:tblGrid>
      <w:tr>
        <w:trPr>
          <w:cantSplit/>
        </w:trPr>
        <w:tc>
          <w:tcPr>
            <w:tcW w:type="dxa" w:w="2592"/>
            <w:tcMar>
              <w:top w:w="120" w:type="dxa"/>
              <w:bottom w:w="120" w:type="dxa"/>
              <w:left w:w="160" w:type="dxa"/>
              <w:right w:w="160" w:type="dxa"/>
            </w:tcMar>
            <w:shd w:fill="5C2D4E"/>
          </w:tcPr>
          <w:p>
            <w:pPr>
              <w:jc w:val="center"/>
            </w:pPr>
            <w:r>
              <w:rPr>
                <w:rFonts w:ascii="Book Antiqua" w:hAnsi="Book Antiqua"/>
                <w:b/>
                <w:color w:val="FFFFFF"/>
                <w:sz w:val="19"/>
              </w:rPr>
              <w:t>Condition / Finding</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Visual-Only Sensitivity (%)</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Toothwise YOLOv8 (%)</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Toothwise YOLOv12 (%)</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Ensemble Consensus (%)</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Diagnostic Gain (%)</w:t>
            </w:r>
          </w:p>
        </w:tc>
      </w:tr>
      <w:tr>
        <w:trPr>
          <w:cantSplit/>
        </w:trPr>
        <w:tc>
          <w:tcPr>
            <w:tcW w:type="dxa" w:w="2592"/>
            <w:tcMar>
              <w:top w:w="120" w:type="dxa"/>
              <w:bottom w:w="120" w:type="dxa"/>
              <w:left w:w="160" w:type="dxa"/>
              <w:right w:w="160" w:type="dxa"/>
            </w:tcMar>
            <w:shd w:fill="FBF8FA"/>
          </w:tcPr>
          <w:p>
            <w:r>
              <w:rPr>
                <w:rFonts w:ascii="Book Antiqua" w:hAnsi="Book Antiqua"/>
                <w:sz w:val="19"/>
              </w:rPr>
              <w:t>Healthy Tooth Structure</w:t>
            </w:r>
          </w:p>
        </w:tc>
        <w:tc>
          <w:tcPr>
            <w:tcW w:type="dxa" w:w="1584"/>
            <w:tcMar>
              <w:top w:w="120" w:type="dxa"/>
              <w:bottom w:w="120" w:type="dxa"/>
              <w:left w:w="160" w:type="dxa"/>
              <w:right w:w="160" w:type="dxa"/>
            </w:tcMar>
            <w:shd w:fill="FBF8FA"/>
          </w:tcPr>
          <w:p>
            <w:r>
              <w:rPr>
                <w:rFonts w:ascii="Book Antiqua" w:hAnsi="Book Antiqua"/>
                <w:sz w:val="19"/>
              </w:rPr>
              <w:t>94.2%</w:t>
            </w:r>
          </w:p>
        </w:tc>
        <w:tc>
          <w:tcPr>
            <w:tcW w:type="dxa" w:w="1584"/>
            <w:tcMar>
              <w:top w:w="120" w:type="dxa"/>
              <w:bottom w:w="120" w:type="dxa"/>
              <w:left w:w="160" w:type="dxa"/>
              <w:right w:w="160" w:type="dxa"/>
            </w:tcMar>
            <w:shd w:fill="FBF8FA"/>
          </w:tcPr>
          <w:p>
            <w:r>
              <w:rPr>
                <w:rFonts w:ascii="Book Antiqua" w:hAnsi="Book Antiqua"/>
                <w:sz w:val="19"/>
              </w:rPr>
              <w:t>93.8%</w:t>
            </w:r>
          </w:p>
        </w:tc>
        <w:tc>
          <w:tcPr>
            <w:tcW w:type="dxa" w:w="1584"/>
            <w:tcMar>
              <w:top w:w="120" w:type="dxa"/>
              <w:bottom w:w="120" w:type="dxa"/>
              <w:left w:w="160" w:type="dxa"/>
              <w:right w:w="160" w:type="dxa"/>
            </w:tcMar>
            <w:shd w:fill="FBF8FA"/>
          </w:tcPr>
          <w:p>
            <w:r>
              <w:rPr>
                <w:rFonts w:ascii="Book Antiqua" w:hAnsi="Book Antiqua"/>
                <w:sz w:val="19"/>
              </w:rPr>
              <w:t>96.5%</w:t>
            </w:r>
          </w:p>
        </w:tc>
        <w:tc>
          <w:tcPr>
            <w:tcW w:type="dxa" w:w="1584"/>
            <w:tcMar>
              <w:top w:w="120" w:type="dxa"/>
              <w:bottom w:w="120" w:type="dxa"/>
              <w:left w:w="160" w:type="dxa"/>
              <w:right w:w="160" w:type="dxa"/>
            </w:tcMar>
            <w:shd w:fill="FBF8FA"/>
          </w:tcPr>
          <w:p>
            <w:r>
              <w:rPr>
                <w:rFonts w:ascii="Book Antiqua" w:hAnsi="Book Antiqua"/>
                <w:sz w:val="19"/>
              </w:rPr>
              <w:t>97.1%</w:t>
            </w:r>
          </w:p>
        </w:tc>
        <w:tc>
          <w:tcPr>
            <w:tcW w:type="dxa" w:w="1584"/>
            <w:tcMar>
              <w:top w:w="120" w:type="dxa"/>
              <w:bottom w:w="120" w:type="dxa"/>
              <w:left w:w="160" w:type="dxa"/>
              <w:right w:w="160" w:type="dxa"/>
            </w:tcMar>
            <w:shd w:fill="FBF8FA"/>
          </w:tcPr>
          <w:p>
            <w:r>
              <w:rPr>
                <w:rFonts w:ascii="Book Antiqua" w:hAnsi="Book Antiqua"/>
                <w:sz w:val="19"/>
              </w:rPr>
              <w:t>+2.9%</w:t>
            </w:r>
          </w:p>
        </w:tc>
      </w:tr>
      <w:tr>
        <w:trPr>
          <w:cantSplit/>
        </w:trPr>
        <w:tc>
          <w:tcPr>
            <w:tcW w:type="dxa" w:w="2592"/>
            <w:tcMar>
              <w:top w:w="120" w:type="dxa"/>
              <w:bottom w:w="120" w:type="dxa"/>
              <w:left w:w="160" w:type="dxa"/>
              <w:right w:w="160" w:type="dxa"/>
            </w:tcMar>
          </w:tcPr>
          <w:p>
            <w:r>
              <w:rPr>
                <w:rFonts w:ascii="Book Antiqua" w:hAnsi="Book Antiqua"/>
                <w:sz w:val="19"/>
              </w:rPr>
              <w:t>Dental Plaque (Early Biofilm)</w:t>
            </w:r>
          </w:p>
        </w:tc>
        <w:tc>
          <w:tcPr>
            <w:tcW w:type="dxa" w:w="1584"/>
            <w:tcMar>
              <w:top w:w="120" w:type="dxa"/>
              <w:bottom w:w="120" w:type="dxa"/>
              <w:left w:w="160" w:type="dxa"/>
              <w:right w:w="160" w:type="dxa"/>
            </w:tcMar>
          </w:tcPr>
          <w:p>
            <w:r>
              <w:rPr>
                <w:rFonts w:ascii="Book Antiqua" w:hAnsi="Book Antiqua"/>
                <w:sz w:val="19"/>
              </w:rPr>
              <w:t>61.5%</w:t>
            </w:r>
          </w:p>
        </w:tc>
        <w:tc>
          <w:tcPr>
            <w:tcW w:type="dxa" w:w="1584"/>
            <w:tcMar>
              <w:top w:w="120" w:type="dxa"/>
              <w:bottom w:w="120" w:type="dxa"/>
              <w:left w:w="160" w:type="dxa"/>
              <w:right w:w="160" w:type="dxa"/>
            </w:tcMar>
          </w:tcPr>
          <w:p>
            <w:r>
              <w:rPr>
                <w:rFonts w:ascii="Book Antiqua" w:hAnsi="Book Antiqua"/>
                <w:sz w:val="19"/>
              </w:rPr>
              <w:t>84.2%</w:t>
            </w:r>
          </w:p>
        </w:tc>
        <w:tc>
          <w:tcPr>
            <w:tcW w:type="dxa" w:w="1584"/>
            <w:tcMar>
              <w:top w:w="120" w:type="dxa"/>
              <w:bottom w:w="120" w:type="dxa"/>
              <w:left w:w="160" w:type="dxa"/>
              <w:right w:w="160" w:type="dxa"/>
            </w:tcMar>
          </w:tcPr>
          <w:p>
            <w:r>
              <w:rPr>
                <w:rFonts w:ascii="Book Antiqua" w:hAnsi="Book Antiqua"/>
                <w:sz w:val="19"/>
              </w:rPr>
              <w:t>89.7%</w:t>
            </w:r>
          </w:p>
        </w:tc>
        <w:tc>
          <w:tcPr>
            <w:tcW w:type="dxa" w:w="1584"/>
            <w:tcMar>
              <w:top w:w="120" w:type="dxa"/>
              <w:bottom w:w="120" w:type="dxa"/>
              <w:left w:w="160" w:type="dxa"/>
              <w:right w:w="160" w:type="dxa"/>
            </w:tcMar>
          </w:tcPr>
          <w:p>
            <w:r>
              <w:rPr>
                <w:rFonts w:ascii="Book Antiqua" w:hAnsi="Book Antiqua"/>
                <w:sz w:val="19"/>
              </w:rPr>
              <w:t>91.3%</w:t>
            </w:r>
          </w:p>
        </w:tc>
        <w:tc>
          <w:tcPr>
            <w:tcW w:type="dxa" w:w="1584"/>
            <w:tcMar>
              <w:top w:w="120" w:type="dxa"/>
              <w:bottom w:w="120" w:type="dxa"/>
              <w:left w:w="160" w:type="dxa"/>
              <w:right w:w="160" w:type="dxa"/>
            </w:tcMar>
          </w:tcPr>
          <w:p>
            <w:r>
              <w:rPr>
                <w:rFonts w:ascii="Book Antiqua" w:hAnsi="Book Antiqua"/>
                <w:sz w:val="19"/>
              </w:rPr>
              <w:t>+29.8%</w:t>
            </w:r>
          </w:p>
        </w:tc>
      </w:tr>
      <w:tr>
        <w:trPr>
          <w:cantSplit/>
        </w:trPr>
        <w:tc>
          <w:tcPr>
            <w:tcW w:type="dxa" w:w="2592"/>
            <w:tcMar>
              <w:top w:w="120" w:type="dxa"/>
              <w:bottom w:w="120" w:type="dxa"/>
              <w:left w:w="160" w:type="dxa"/>
              <w:right w:w="160" w:type="dxa"/>
            </w:tcMar>
            <w:shd w:fill="FBF8FA"/>
          </w:tcPr>
          <w:p>
            <w:r>
              <w:rPr>
                <w:rFonts w:ascii="Book Antiqua" w:hAnsi="Book Antiqua"/>
                <w:sz w:val="19"/>
              </w:rPr>
              <w:t>Tartar / Calculus (Sub/Supragingival)</w:t>
            </w:r>
          </w:p>
        </w:tc>
        <w:tc>
          <w:tcPr>
            <w:tcW w:type="dxa" w:w="1584"/>
            <w:tcMar>
              <w:top w:w="120" w:type="dxa"/>
              <w:bottom w:w="120" w:type="dxa"/>
              <w:left w:w="160" w:type="dxa"/>
              <w:right w:w="160" w:type="dxa"/>
            </w:tcMar>
            <w:shd w:fill="FBF8FA"/>
          </w:tcPr>
          <w:p>
            <w:r>
              <w:rPr>
                <w:rFonts w:ascii="Book Antiqua" w:hAnsi="Book Antiqua"/>
                <w:sz w:val="19"/>
              </w:rPr>
              <w:t>74.8%</w:t>
            </w:r>
          </w:p>
        </w:tc>
        <w:tc>
          <w:tcPr>
            <w:tcW w:type="dxa" w:w="1584"/>
            <w:tcMar>
              <w:top w:w="120" w:type="dxa"/>
              <w:bottom w:w="120" w:type="dxa"/>
              <w:left w:w="160" w:type="dxa"/>
              <w:right w:w="160" w:type="dxa"/>
            </w:tcMar>
            <w:shd w:fill="FBF8FA"/>
          </w:tcPr>
          <w:p>
            <w:r>
              <w:rPr>
                <w:rFonts w:ascii="Book Antiqua" w:hAnsi="Book Antiqua"/>
                <w:sz w:val="19"/>
              </w:rPr>
              <w:t>88.6%</w:t>
            </w:r>
          </w:p>
        </w:tc>
        <w:tc>
          <w:tcPr>
            <w:tcW w:type="dxa" w:w="1584"/>
            <w:tcMar>
              <w:top w:w="120" w:type="dxa"/>
              <w:bottom w:w="120" w:type="dxa"/>
              <w:left w:w="160" w:type="dxa"/>
              <w:right w:w="160" w:type="dxa"/>
            </w:tcMar>
            <w:shd w:fill="FBF8FA"/>
          </w:tcPr>
          <w:p>
            <w:r>
              <w:rPr>
                <w:rFonts w:ascii="Book Antiqua" w:hAnsi="Book Antiqua"/>
                <w:sz w:val="19"/>
              </w:rPr>
              <w:t>93.1%</w:t>
            </w:r>
          </w:p>
        </w:tc>
        <w:tc>
          <w:tcPr>
            <w:tcW w:type="dxa" w:w="1584"/>
            <w:tcMar>
              <w:top w:w="120" w:type="dxa"/>
              <w:bottom w:w="120" w:type="dxa"/>
              <w:left w:w="160" w:type="dxa"/>
              <w:right w:w="160" w:type="dxa"/>
            </w:tcMar>
            <w:shd w:fill="FBF8FA"/>
          </w:tcPr>
          <w:p>
            <w:r>
              <w:rPr>
                <w:rFonts w:ascii="Book Antiqua" w:hAnsi="Book Antiqua"/>
                <w:sz w:val="19"/>
              </w:rPr>
              <w:t>94.5%</w:t>
            </w:r>
          </w:p>
        </w:tc>
        <w:tc>
          <w:tcPr>
            <w:tcW w:type="dxa" w:w="1584"/>
            <w:tcMar>
              <w:top w:w="120" w:type="dxa"/>
              <w:bottom w:w="120" w:type="dxa"/>
              <w:left w:w="160" w:type="dxa"/>
              <w:right w:w="160" w:type="dxa"/>
            </w:tcMar>
            <w:shd w:fill="FBF8FA"/>
          </w:tcPr>
          <w:p>
            <w:r>
              <w:rPr>
                <w:rFonts w:ascii="Book Antiqua" w:hAnsi="Book Antiqua"/>
                <w:sz w:val="19"/>
              </w:rPr>
              <w:t>+19.7%</w:t>
            </w:r>
          </w:p>
        </w:tc>
      </w:tr>
      <w:tr>
        <w:trPr>
          <w:cantSplit/>
        </w:trPr>
        <w:tc>
          <w:tcPr>
            <w:tcW w:type="dxa" w:w="2592"/>
            <w:tcMar>
              <w:top w:w="120" w:type="dxa"/>
              <w:bottom w:w="120" w:type="dxa"/>
              <w:left w:w="160" w:type="dxa"/>
              <w:right w:w="160" w:type="dxa"/>
            </w:tcMar>
          </w:tcPr>
          <w:p>
            <w:r>
              <w:rPr>
                <w:rFonts w:ascii="Book Antiqua" w:hAnsi="Book Antiqua"/>
                <w:sz w:val="19"/>
              </w:rPr>
              <w:t>Gum Inflammation (Marginal Gingivitis)</w:t>
            </w:r>
          </w:p>
        </w:tc>
        <w:tc>
          <w:tcPr>
            <w:tcW w:type="dxa" w:w="1584"/>
            <w:tcMar>
              <w:top w:w="120" w:type="dxa"/>
              <w:bottom w:w="120" w:type="dxa"/>
              <w:left w:w="160" w:type="dxa"/>
              <w:right w:w="160" w:type="dxa"/>
            </w:tcMar>
          </w:tcPr>
          <w:p>
            <w:r>
              <w:rPr>
                <w:rFonts w:ascii="Book Antiqua" w:hAnsi="Book Antiqua"/>
                <w:sz w:val="19"/>
              </w:rPr>
              <w:t>68.3%</w:t>
            </w:r>
          </w:p>
        </w:tc>
        <w:tc>
          <w:tcPr>
            <w:tcW w:type="dxa" w:w="1584"/>
            <w:tcMar>
              <w:top w:w="120" w:type="dxa"/>
              <w:bottom w:w="120" w:type="dxa"/>
              <w:left w:w="160" w:type="dxa"/>
              <w:right w:w="160" w:type="dxa"/>
            </w:tcMar>
          </w:tcPr>
          <w:p>
            <w:r>
              <w:rPr>
                <w:rFonts w:ascii="Book Antiqua" w:hAnsi="Book Antiqua"/>
                <w:sz w:val="19"/>
              </w:rPr>
              <w:t>86.1%</w:t>
            </w:r>
          </w:p>
        </w:tc>
        <w:tc>
          <w:tcPr>
            <w:tcW w:type="dxa" w:w="1584"/>
            <w:tcMar>
              <w:top w:w="120" w:type="dxa"/>
              <w:bottom w:w="120" w:type="dxa"/>
              <w:left w:w="160" w:type="dxa"/>
              <w:right w:w="160" w:type="dxa"/>
            </w:tcMar>
          </w:tcPr>
          <w:p>
            <w:r>
              <w:rPr>
                <w:rFonts w:ascii="Book Antiqua" w:hAnsi="Book Antiqua"/>
                <w:sz w:val="19"/>
              </w:rPr>
              <w:t>91.4%</w:t>
            </w:r>
          </w:p>
        </w:tc>
        <w:tc>
          <w:tcPr>
            <w:tcW w:type="dxa" w:w="1584"/>
            <w:tcMar>
              <w:top w:w="120" w:type="dxa"/>
              <w:bottom w:w="120" w:type="dxa"/>
              <w:left w:w="160" w:type="dxa"/>
              <w:right w:w="160" w:type="dxa"/>
            </w:tcMar>
          </w:tcPr>
          <w:p>
            <w:r>
              <w:rPr>
                <w:rFonts w:ascii="Book Antiqua" w:hAnsi="Book Antiqua"/>
                <w:sz w:val="19"/>
              </w:rPr>
              <w:t>92.8%</w:t>
            </w:r>
          </w:p>
        </w:tc>
        <w:tc>
          <w:tcPr>
            <w:tcW w:type="dxa" w:w="1584"/>
            <w:tcMar>
              <w:top w:w="120" w:type="dxa"/>
              <w:bottom w:w="120" w:type="dxa"/>
              <w:left w:w="160" w:type="dxa"/>
              <w:right w:w="160" w:type="dxa"/>
            </w:tcMar>
          </w:tcPr>
          <w:p>
            <w:r>
              <w:rPr>
                <w:rFonts w:ascii="Book Antiqua" w:hAnsi="Book Antiqua"/>
                <w:sz w:val="19"/>
              </w:rPr>
              <w:t>+24.5%</w:t>
            </w:r>
          </w:p>
        </w:tc>
      </w:tr>
      <w:tr>
        <w:trPr>
          <w:cantSplit/>
        </w:trPr>
        <w:tc>
          <w:tcPr>
            <w:tcW w:type="dxa" w:w="2592"/>
            <w:tcMar>
              <w:top w:w="120" w:type="dxa"/>
              <w:bottom w:w="120" w:type="dxa"/>
              <w:left w:w="160" w:type="dxa"/>
              <w:right w:w="160" w:type="dxa"/>
            </w:tcMar>
            <w:shd w:fill="FBF8FA"/>
          </w:tcPr>
          <w:p>
            <w:r>
              <w:rPr>
                <w:rFonts w:ascii="Book Antiqua" w:hAnsi="Book Antiqua"/>
                <w:sz w:val="19"/>
              </w:rPr>
              <w:t>Dental Caries (Enamel &amp; Dentinal)</w:t>
            </w:r>
          </w:p>
        </w:tc>
        <w:tc>
          <w:tcPr>
            <w:tcW w:type="dxa" w:w="1584"/>
            <w:tcMar>
              <w:top w:w="120" w:type="dxa"/>
              <w:bottom w:w="120" w:type="dxa"/>
              <w:left w:w="160" w:type="dxa"/>
              <w:right w:w="160" w:type="dxa"/>
            </w:tcMar>
            <w:shd w:fill="FBF8FA"/>
          </w:tcPr>
          <w:p>
            <w:r>
              <w:rPr>
                <w:rFonts w:ascii="Book Antiqua" w:hAnsi="Book Antiqua"/>
                <w:sz w:val="19"/>
              </w:rPr>
              <w:t>72.4%</w:t>
            </w:r>
          </w:p>
        </w:tc>
        <w:tc>
          <w:tcPr>
            <w:tcW w:type="dxa" w:w="1584"/>
            <w:tcMar>
              <w:top w:w="120" w:type="dxa"/>
              <w:bottom w:w="120" w:type="dxa"/>
              <w:left w:w="160" w:type="dxa"/>
              <w:right w:w="160" w:type="dxa"/>
            </w:tcMar>
            <w:shd w:fill="FBF8FA"/>
          </w:tcPr>
          <w:p>
            <w:r>
              <w:rPr>
                <w:rFonts w:ascii="Book Antiqua" w:hAnsi="Book Antiqua"/>
                <w:sz w:val="19"/>
              </w:rPr>
              <w:t>89.5%</w:t>
            </w:r>
          </w:p>
        </w:tc>
        <w:tc>
          <w:tcPr>
            <w:tcW w:type="dxa" w:w="1584"/>
            <w:tcMar>
              <w:top w:w="120" w:type="dxa"/>
              <w:bottom w:w="120" w:type="dxa"/>
              <w:left w:w="160" w:type="dxa"/>
              <w:right w:w="160" w:type="dxa"/>
            </w:tcMar>
            <w:shd w:fill="FBF8FA"/>
          </w:tcPr>
          <w:p>
            <w:r>
              <w:rPr>
                <w:rFonts w:ascii="Book Antiqua" w:hAnsi="Book Antiqua"/>
                <w:sz w:val="19"/>
              </w:rPr>
              <w:t>94.8%</w:t>
            </w:r>
          </w:p>
        </w:tc>
        <w:tc>
          <w:tcPr>
            <w:tcW w:type="dxa" w:w="1584"/>
            <w:tcMar>
              <w:top w:w="120" w:type="dxa"/>
              <w:bottom w:w="120" w:type="dxa"/>
              <w:left w:w="160" w:type="dxa"/>
              <w:right w:w="160" w:type="dxa"/>
            </w:tcMar>
            <w:shd w:fill="FBF8FA"/>
          </w:tcPr>
          <w:p>
            <w:r>
              <w:rPr>
                <w:rFonts w:ascii="Book Antiqua" w:hAnsi="Book Antiqua"/>
                <w:sz w:val="19"/>
              </w:rPr>
              <w:t>95.6%</w:t>
            </w:r>
          </w:p>
        </w:tc>
        <w:tc>
          <w:tcPr>
            <w:tcW w:type="dxa" w:w="1584"/>
            <w:tcMar>
              <w:top w:w="120" w:type="dxa"/>
              <w:bottom w:w="120" w:type="dxa"/>
              <w:left w:w="160" w:type="dxa"/>
              <w:right w:w="160" w:type="dxa"/>
            </w:tcMar>
            <w:shd w:fill="FBF8FA"/>
          </w:tcPr>
          <w:p>
            <w:r>
              <w:rPr>
                <w:rFonts w:ascii="Book Antiqua" w:hAnsi="Book Antiqua"/>
                <w:sz w:val="19"/>
              </w:rPr>
              <w:t>+23.2%</w:t>
            </w:r>
          </w:p>
        </w:tc>
      </w:tr>
      <w:tr>
        <w:trPr>
          <w:cantSplit/>
        </w:trPr>
        <w:tc>
          <w:tcPr>
            <w:tcW w:type="dxa" w:w="2592"/>
            <w:tcMar>
              <w:top w:w="120" w:type="dxa"/>
              <w:bottom w:w="120" w:type="dxa"/>
              <w:left w:w="160" w:type="dxa"/>
              <w:right w:w="160" w:type="dxa"/>
            </w:tcMar>
          </w:tcPr>
          <w:p>
            <w:r>
              <w:rPr>
                <w:rFonts w:ascii="Book Antiqua" w:hAnsi="Book Antiqua"/>
                <w:sz w:val="19"/>
              </w:rPr>
              <w:t>Mean Diagnostic Metric</w:t>
            </w:r>
          </w:p>
        </w:tc>
        <w:tc>
          <w:tcPr>
            <w:tcW w:type="dxa" w:w="1584"/>
            <w:tcMar>
              <w:top w:w="120" w:type="dxa"/>
              <w:bottom w:w="120" w:type="dxa"/>
              <w:left w:w="160" w:type="dxa"/>
              <w:right w:w="160" w:type="dxa"/>
            </w:tcMar>
          </w:tcPr>
          <w:p>
            <w:r>
              <w:rPr>
                <w:rFonts w:ascii="Book Antiqua" w:hAnsi="Book Antiqua"/>
                <w:sz w:val="19"/>
              </w:rPr>
              <w:t>74.2%</w:t>
            </w:r>
          </w:p>
        </w:tc>
        <w:tc>
          <w:tcPr>
            <w:tcW w:type="dxa" w:w="1584"/>
            <w:tcMar>
              <w:top w:w="120" w:type="dxa"/>
              <w:bottom w:w="120" w:type="dxa"/>
              <w:left w:w="160" w:type="dxa"/>
              <w:right w:w="160" w:type="dxa"/>
            </w:tcMar>
          </w:tcPr>
          <w:p>
            <w:r>
              <w:rPr>
                <w:rFonts w:ascii="Book Antiqua" w:hAnsi="Book Antiqua"/>
                <w:sz w:val="19"/>
              </w:rPr>
              <w:t>88.4%</w:t>
            </w:r>
          </w:p>
        </w:tc>
        <w:tc>
          <w:tcPr>
            <w:tcW w:type="dxa" w:w="1584"/>
            <w:tcMar>
              <w:top w:w="120" w:type="dxa"/>
              <w:bottom w:w="120" w:type="dxa"/>
              <w:left w:w="160" w:type="dxa"/>
              <w:right w:w="160" w:type="dxa"/>
            </w:tcMar>
          </w:tcPr>
          <w:p>
            <w:r>
              <w:rPr>
                <w:rFonts w:ascii="Book Antiqua" w:hAnsi="Book Antiqua"/>
                <w:sz w:val="19"/>
              </w:rPr>
              <w:t>93.1%</w:t>
            </w:r>
          </w:p>
        </w:tc>
        <w:tc>
          <w:tcPr>
            <w:tcW w:type="dxa" w:w="1584"/>
            <w:tcMar>
              <w:top w:w="120" w:type="dxa"/>
              <w:bottom w:w="120" w:type="dxa"/>
              <w:left w:w="160" w:type="dxa"/>
              <w:right w:w="160" w:type="dxa"/>
            </w:tcMar>
          </w:tcPr>
          <w:p>
            <w:r>
              <w:rPr>
                <w:rFonts w:ascii="Book Antiqua" w:hAnsi="Book Antiqua"/>
                <w:sz w:val="19"/>
              </w:rPr>
              <w:t>94.3%</w:t>
            </w:r>
          </w:p>
        </w:tc>
        <w:tc>
          <w:tcPr>
            <w:tcW w:type="dxa" w:w="1584"/>
            <w:tcMar>
              <w:top w:w="120" w:type="dxa"/>
              <w:bottom w:w="120" w:type="dxa"/>
              <w:left w:w="160" w:type="dxa"/>
              <w:right w:w="160" w:type="dxa"/>
            </w:tcMar>
          </w:tcPr>
          <w:p>
            <w:r>
              <w:rPr>
                <w:rFonts w:ascii="Book Antiqua" w:hAnsi="Book Antiqua"/>
                <w:sz w:val="19"/>
              </w:rPr>
              <w:t>+20.1%</w:t>
            </w:r>
          </w:p>
        </w:tc>
      </w:tr>
    </w:tbl>
    <w:p>
      <w:r>
        <w:rPr>
          <w:b w:val="0"/>
          <w:i w:val="0"/>
        </w:rPr>
      </w:r>
    </w:p>
    <w:p>
      <w:r>
        <w:rPr>
          <w:b w:val="0"/>
          <w:i w:val="0"/>
        </w:rPr>
        <w:t>The quantitative evaluation demonstrates that visual-only examination yielded an overall sensitivity of only 74.2%, with pronounced limitations in identifying early dental plaque (61.5%) and localized gingival erythema (68.3%). In contrast, the attention-centric architecture of YOLOv12 achieved a sensitivity of 93.1%, while the fused ensemble demonstrated a consensus sensitivity of 94.3%, representing an overall diagnostic gain of 20.1%. The area attention mechanism of YOLOv12 proved particularly effective in identifying subtle pixel-level discoloration indicative of initial enamel demineralization.</w:t>
      </w:r>
    </w:p>
    <w:p>
      <w:pPr>
        <w:pStyle w:val="Heading2"/>
      </w:pPr>
      <w:r>
        <w:t>4.2 Resolution of Clinical Documentation Gaps and Portal Accessibility (SOP 2)</w:t>
      </w:r>
    </w:p>
    <w:p>
      <w:r>
        <w:rPr>
          <w:b w:val="0"/>
          <w:i w:val="0"/>
        </w:rPr>
        <w:t>The second research problem examined the gaps in clinical documentation resulting from the absence of standardized visual records and the lack of a patient-accessible portal. Historical workflow at CodiSmile Dental Clinic relied upon handwritten paper odontograms and narrative charting, which suffered from three systematic deficiencies: lack of objective photographic verification, absence of longitudinal condition tracking across treatment intervals, and non-availability of screening summaries to patients once they departed the clinical facility.</w:t>
      </w:r>
    </w:p>
    <w:p>
      <w:r>
        <w:rPr>
          <w:b w:val="0"/>
          <w:i w:val="0"/>
        </w:rPr>
        <w:t>Toothwise eliminated these documentation deficiencies through a centralized, relational clinical repository and self-service patient portal. When an intraoral screening is initiated, the system stores the uncompressed photographic capture, generates bounding-box overlays with exact spatial coordinates and confidence indicators, assigns a composite clinical risk score, and archives authenticated dentist consultation notes.</w:t>
      </w:r>
    </w:p>
    <w:p>
      <w:r>
        <w:rPr>
          <w:b w:val="0"/>
          <w:i w:val="0"/>
        </w:rPr>
        <w:t>Table 13 details the operational transition from legacy manual documentation to the Toothwise digital workflow across key clinical documentation metrics.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tcMar>
              <w:top w:w="120" w:type="dxa"/>
              <w:bottom w:w="120" w:type="dxa"/>
              <w:left w:w="160" w:type="dxa"/>
              <w:right w:w="160" w:type="dxa"/>
            </w:tcMar>
            <w:shd w:fill="5C2D4E"/>
          </w:tcPr>
          <w:p>
            <w:pPr>
              <w:jc w:val="center"/>
            </w:pPr>
            <w:r>
              <w:rPr>
                <w:rFonts w:ascii="Book Antiqua" w:hAnsi="Book Antiqua"/>
                <w:b/>
                <w:color w:val="FFFFFF"/>
                <w:sz w:val="19"/>
              </w:rPr>
              <w:t>Documentation Parameter</w:t>
            </w:r>
          </w:p>
        </w:tc>
        <w:tc>
          <w:tcPr>
            <w:tcW w:type="dxa" w:w="2592"/>
            <w:tcMar>
              <w:top w:w="120" w:type="dxa"/>
              <w:bottom w:w="120" w:type="dxa"/>
              <w:left w:w="160" w:type="dxa"/>
              <w:right w:w="160" w:type="dxa"/>
            </w:tcMar>
            <w:shd w:fill="5C2D4E"/>
          </w:tcPr>
          <w:p>
            <w:pPr>
              <w:jc w:val="center"/>
            </w:pPr>
            <w:r>
              <w:rPr>
                <w:rFonts w:ascii="Book Antiqua" w:hAnsi="Book Antiqua"/>
                <w:b/>
                <w:color w:val="FFFFFF"/>
                <w:sz w:val="19"/>
              </w:rPr>
              <w:t>Legacy Clinic Workflow</w:t>
            </w:r>
          </w:p>
        </w:tc>
        <w:tc>
          <w:tcPr>
            <w:tcW w:type="dxa" w:w="3168"/>
            <w:tcMar>
              <w:top w:w="120" w:type="dxa"/>
              <w:bottom w:w="120" w:type="dxa"/>
              <w:left w:w="160" w:type="dxa"/>
              <w:right w:w="160" w:type="dxa"/>
            </w:tcMar>
            <w:shd w:fill="5C2D4E"/>
          </w:tcPr>
          <w:p>
            <w:pPr>
              <w:jc w:val="center"/>
            </w:pPr>
            <w:r>
              <w:rPr>
                <w:rFonts w:ascii="Book Antiqua" w:hAnsi="Book Antiqua"/>
                <w:b/>
                <w:color w:val="FFFFFF"/>
                <w:sz w:val="19"/>
              </w:rPr>
              <w:t>Toothwise Implemented System</w:t>
            </w:r>
          </w:p>
        </w:tc>
        <w:tc>
          <w:tcPr>
            <w:tcW w:type="dxa" w:w="2592"/>
            <w:tcMar>
              <w:top w:w="120" w:type="dxa"/>
              <w:bottom w:w="120" w:type="dxa"/>
              <w:left w:w="160" w:type="dxa"/>
              <w:right w:w="160" w:type="dxa"/>
            </w:tcMar>
            <w:shd w:fill="5C2D4E"/>
          </w:tcPr>
          <w:p>
            <w:pPr>
              <w:jc w:val="center"/>
            </w:pPr>
            <w:r>
              <w:rPr>
                <w:rFonts w:ascii="Book Antiqua" w:hAnsi="Book Antiqua"/>
                <w:b/>
                <w:color w:val="FFFFFF"/>
                <w:sz w:val="19"/>
              </w:rPr>
              <w:t>Operational Impact</w:t>
            </w:r>
          </w:p>
        </w:tc>
      </w:tr>
      <w:tr>
        <w:trPr>
          <w:cantSplit/>
        </w:trPr>
        <w:tc>
          <w:tcPr>
            <w:tcW w:type="dxa" w:w="2160"/>
            <w:tcMar>
              <w:top w:w="120" w:type="dxa"/>
              <w:bottom w:w="120" w:type="dxa"/>
              <w:left w:w="160" w:type="dxa"/>
              <w:right w:w="160" w:type="dxa"/>
            </w:tcMar>
            <w:shd w:fill="FBF8FA"/>
          </w:tcPr>
          <w:p>
            <w:r>
              <w:rPr>
                <w:rFonts w:ascii="Book Antiqua" w:hAnsi="Book Antiqua"/>
                <w:sz w:val="19"/>
              </w:rPr>
              <w:t>Record Capture Modality</w:t>
            </w:r>
          </w:p>
        </w:tc>
        <w:tc>
          <w:tcPr>
            <w:tcW w:type="dxa" w:w="2592"/>
            <w:tcMar>
              <w:top w:w="120" w:type="dxa"/>
              <w:bottom w:w="120" w:type="dxa"/>
              <w:left w:w="160" w:type="dxa"/>
              <w:right w:w="160" w:type="dxa"/>
            </w:tcMar>
            <w:shd w:fill="FBF8FA"/>
          </w:tcPr>
          <w:p>
            <w:r>
              <w:rPr>
                <w:rFonts w:ascii="Book Antiqua" w:hAnsi="Book Antiqua"/>
                <w:sz w:val="19"/>
              </w:rPr>
              <w:t>Handwritten paper charts and paper odontograms</w:t>
            </w:r>
          </w:p>
        </w:tc>
        <w:tc>
          <w:tcPr>
            <w:tcW w:type="dxa" w:w="3168"/>
            <w:tcMar>
              <w:top w:w="120" w:type="dxa"/>
              <w:bottom w:w="120" w:type="dxa"/>
              <w:left w:w="160" w:type="dxa"/>
              <w:right w:w="160" w:type="dxa"/>
            </w:tcMar>
            <w:shd w:fill="FBF8FA"/>
          </w:tcPr>
          <w:p>
            <w:r>
              <w:rPr>
                <w:rFonts w:ascii="Book Antiqua" w:hAnsi="Book Antiqua"/>
                <w:sz w:val="19"/>
              </w:rPr>
              <w:t>Digital photographic capture with AI bounding-box overlays</w:t>
            </w:r>
          </w:p>
        </w:tc>
        <w:tc>
          <w:tcPr>
            <w:tcW w:type="dxa" w:w="2592"/>
            <w:tcMar>
              <w:top w:w="120" w:type="dxa"/>
              <w:bottom w:w="120" w:type="dxa"/>
              <w:left w:w="160" w:type="dxa"/>
              <w:right w:w="160" w:type="dxa"/>
            </w:tcMar>
            <w:shd w:fill="FBF8FA"/>
          </w:tcPr>
          <w:p>
            <w:r>
              <w:rPr>
                <w:rFonts w:ascii="Book Antiqua" w:hAnsi="Book Antiqua"/>
                <w:sz w:val="19"/>
              </w:rPr>
              <w:t>100% objective visual documentation of oral cavity status</w:t>
            </w:r>
          </w:p>
        </w:tc>
      </w:tr>
      <w:tr>
        <w:trPr>
          <w:cantSplit/>
        </w:trPr>
        <w:tc>
          <w:tcPr>
            <w:tcW w:type="dxa" w:w="2160"/>
            <w:tcMar>
              <w:top w:w="120" w:type="dxa"/>
              <w:bottom w:w="120" w:type="dxa"/>
              <w:left w:w="160" w:type="dxa"/>
              <w:right w:w="160" w:type="dxa"/>
            </w:tcMar>
          </w:tcPr>
          <w:p>
            <w:r>
              <w:rPr>
                <w:rFonts w:ascii="Book Antiqua" w:hAnsi="Book Antiqua"/>
                <w:sz w:val="19"/>
              </w:rPr>
              <w:t>Retrieval Latency</w:t>
            </w:r>
          </w:p>
        </w:tc>
        <w:tc>
          <w:tcPr>
            <w:tcW w:type="dxa" w:w="2592"/>
            <w:tcMar>
              <w:top w:w="120" w:type="dxa"/>
              <w:bottom w:w="120" w:type="dxa"/>
              <w:left w:w="160" w:type="dxa"/>
              <w:right w:w="160" w:type="dxa"/>
            </w:tcMar>
          </w:tcPr>
          <w:p>
            <w:r>
              <w:rPr>
                <w:rFonts w:ascii="Book Antiqua" w:hAnsi="Book Antiqua"/>
                <w:sz w:val="19"/>
              </w:rPr>
              <w:t>3.5 to 8.0 minutes searching physical archives</w:t>
            </w:r>
          </w:p>
        </w:tc>
        <w:tc>
          <w:tcPr>
            <w:tcW w:type="dxa" w:w="3168"/>
            <w:tcMar>
              <w:top w:w="120" w:type="dxa"/>
              <w:bottom w:w="120" w:type="dxa"/>
              <w:left w:w="160" w:type="dxa"/>
              <w:right w:w="160" w:type="dxa"/>
            </w:tcMar>
          </w:tcPr>
          <w:p>
            <w:r>
              <w:rPr>
                <w:rFonts w:ascii="Book Antiqua" w:hAnsi="Book Antiqua"/>
                <w:sz w:val="19"/>
              </w:rPr>
              <w:t>Sub-second database retrieval via indexed patient registry</w:t>
            </w:r>
          </w:p>
        </w:tc>
        <w:tc>
          <w:tcPr>
            <w:tcW w:type="dxa" w:w="2592"/>
            <w:tcMar>
              <w:top w:w="120" w:type="dxa"/>
              <w:bottom w:w="120" w:type="dxa"/>
              <w:left w:w="160" w:type="dxa"/>
              <w:right w:w="160" w:type="dxa"/>
            </w:tcMar>
          </w:tcPr>
          <w:p>
            <w:r>
              <w:rPr>
                <w:rFonts w:ascii="Book Antiqua" w:hAnsi="Book Antiqua"/>
                <w:sz w:val="19"/>
              </w:rPr>
              <w:t>94.8% reduction in chart retrieval delay during consultations</w:t>
            </w:r>
          </w:p>
        </w:tc>
      </w:tr>
      <w:tr>
        <w:trPr>
          <w:cantSplit/>
        </w:trPr>
        <w:tc>
          <w:tcPr>
            <w:tcW w:type="dxa" w:w="2160"/>
            <w:tcMar>
              <w:top w:w="120" w:type="dxa"/>
              <w:bottom w:w="120" w:type="dxa"/>
              <w:left w:w="160" w:type="dxa"/>
              <w:right w:w="160" w:type="dxa"/>
            </w:tcMar>
            <w:shd w:fill="FBF8FA"/>
          </w:tcPr>
          <w:p>
            <w:r>
              <w:rPr>
                <w:rFonts w:ascii="Book Antiqua" w:hAnsi="Book Antiqua"/>
                <w:sz w:val="19"/>
              </w:rPr>
              <w:t>Visual Evidence Retention</w:t>
            </w:r>
          </w:p>
        </w:tc>
        <w:tc>
          <w:tcPr>
            <w:tcW w:type="dxa" w:w="2592"/>
            <w:tcMar>
              <w:top w:w="120" w:type="dxa"/>
              <w:bottom w:w="120" w:type="dxa"/>
              <w:left w:w="160" w:type="dxa"/>
              <w:right w:w="160" w:type="dxa"/>
            </w:tcMar>
            <w:shd w:fill="FBF8FA"/>
          </w:tcPr>
          <w:p>
            <w:r>
              <w:rPr>
                <w:rFonts w:ascii="Book Antiqua" w:hAnsi="Book Antiqua"/>
                <w:sz w:val="19"/>
              </w:rPr>
              <w:t>None (reliance on subjective clinician recall)</w:t>
            </w:r>
          </w:p>
        </w:tc>
        <w:tc>
          <w:tcPr>
            <w:tcW w:type="dxa" w:w="3168"/>
            <w:tcMar>
              <w:top w:w="120" w:type="dxa"/>
              <w:bottom w:w="120" w:type="dxa"/>
              <w:left w:w="160" w:type="dxa"/>
              <w:right w:w="160" w:type="dxa"/>
            </w:tcMar>
            <w:shd w:fill="FBF8FA"/>
          </w:tcPr>
          <w:p>
            <w:r>
              <w:rPr>
                <w:rFonts w:ascii="Book Antiqua" w:hAnsi="Book Antiqua"/>
                <w:sz w:val="19"/>
              </w:rPr>
              <w:t>Persistent storage of high-resolution intraoral photos</w:t>
            </w:r>
          </w:p>
        </w:tc>
        <w:tc>
          <w:tcPr>
            <w:tcW w:type="dxa" w:w="2592"/>
            <w:tcMar>
              <w:top w:w="120" w:type="dxa"/>
              <w:bottom w:w="120" w:type="dxa"/>
              <w:left w:w="160" w:type="dxa"/>
              <w:right w:w="160" w:type="dxa"/>
            </w:tcMar>
            <w:shd w:fill="FBF8FA"/>
          </w:tcPr>
          <w:p>
            <w:r>
              <w:rPr>
                <w:rFonts w:ascii="Book Antiqua" w:hAnsi="Book Antiqua"/>
                <w:sz w:val="19"/>
              </w:rPr>
              <w:t>Complete historical auditability for longitudinal case tracking</w:t>
            </w:r>
          </w:p>
        </w:tc>
      </w:tr>
      <w:tr>
        <w:trPr>
          <w:cantSplit/>
        </w:trPr>
        <w:tc>
          <w:tcPr>
            <w:tcW w:type="dxa" w:w="2160"/>
            <w:tcMar>
              <w:top w:w="120" w:type="dxa"/>
              <w:bottom w:w="120" w:type="dxa"/>
              <w:left w:w="160" w:type="dxa"/>
              <w:right w:w="160" w:type="dxa"/>
            </w:tcMar>
          </w:tcPr>
          <w:p>
            <w:r>
              <w:rPr>
                <w:rFonts w:ascii="Book Antiqua" w:hAnsi="Book Antiqua"/>
                <w:sz w:val="19"/>
              </w:rPr>
              <w:t>Patient Data Accessibility</w:t>
            </w:r>
          </w:p>
        </w:tc>
        <w:tc>
          <w:tcPr>
            <w:tcW w:type="dxa" w:w="2592"/>
            <w:tcMar>
              <w:top w:w="120" w:type="dxa"/>
              <w:bottom w:w="120" w:type="dxa"/>
              <w:left w:w="160" w:type="dxa"/>
              <w:right w:w="160" w:type="dxa"/>
            </w:tcMar>
          </w:tcPr>
          <w:p>
            <w:r>
              <w:rPr>
                <w:rFonts w:ascii="Book Antiqua" w:hAnsi="Book Antiqua"/>
                <w:sz w:val="19"/>
              </w:rPr>
              <w:t>In-clinic oral consultation only; no take-home data</w:t>
            </w:r>
          </w:p>
        </w:tc>
        <w:tc>
          <w:tcPr>
            <w:tcW w:type="dxa" w:w="3168"/>
            <w:tcMar>
              <w:top w:w="120" w:type="dxa"/>
              <w:bottom w:w="120" w:type="dxa"/>
              <w:left w:w="160" w:type="dxa"/>
              <w:right w:w="160" w:type="dxa"/>
            </w:tcMar>
          </w:tcPr>
          <w:p>
            <w:r>
              <w:rPr>
                <w:rFonts w:ascii="Book Antiqua" w:hAnsi="Book Antiqua"/>
                <w:sz w:val="19"/>
              </w:rPr>
              <w:t>24/7 authenticated Patient Portal with visual findings</w:t>
            </w:r>
          </w:p>
        </w:tc>
        <w:tc>
          <w:tcPr>
            <w:tcW w:type="dxa" w:w="2592"/>
            <w:tcMar>
              <w:top w:w="120" w:type="dxa"/>
              <w:bottom w:w="120" w:type="dxa"/>
              <w:left w:w="160" w:type="dxa"/>
              <w:right w:w="160" w:type="dxa"/>
            </w:tcMar>
          </w:tcPr>
          <w:p>
            <w:r>
              <w:rPr>
                <w:rFonts w:ascii="Book Antiqua" w:hAnsi="Book Antiqua"/>
                <w:sz w:val="19"/>
              </w:rPr>
              <w:t>Direct patient access to screening history and risk trends</w:t>
            </w:r>
          </w:p>
        </w:tc>
      </w:tr>
      <w:tr>
        <w:trPr>
          <w:cantSplit/>
        </w:trPr>
        <w:tc>
          <w:tcPr>
            <w:tcW w:type="dxa" w:w="2160"/>
            <w:tcMar>
              <w:top w:w="120" w:type="dxa"/>
              <w:bottom w:w="120" w:type="dxa"/>
              <w:left w:w="160" w:type="dxa"/>
              <w:right w:w="160" w:type="dxa"/>
            </w:tcMar>
            <w:shd w:fill="FBF8FA"/>
          </w:tcPr>
          <w:p>
            <w:r>
              <w:rPr>
                <w:rFonts w:ascii="Book Antiqua" w:hAnsi="Book Antiqua"/>
                <w:sz w:val="19"/>
              </w:rPr>
              <w:t>Report Generation</w:t>
            </w:r>
          </w:p>
        </w:tc>
        <w:tc>
          <w:tcPr>
            <w:tcW w:type="dxa" w:w="2592"/>
            <w:tcMar>
              <w:top w:w="120" w:type="dxa"/>
              <w:bottom w:w="120" w:type="dxa"/>
              <w:left w:w="160" w:type="dxa"/>
              <w:right w:w="160" w:type="dxa"/>
            </w:tcMar>
            <w:shd w:fill="FBF8FA"/>
          </w:tcPr>
          <w:p>
            <w:r>
              <w:rPr>
                <w:rFonts w:ascii="Book Antiqua" w:hAnsi="Book Antiqua"/>
                <w:sz w:val="19"/>
              </w:rPr>
              <w:t>Manual certificate writing (5 to 10 minutes)</w:t>
            </w:r>
          </w:p>
        </w:tc>
        <w:tc>
          <w:tcPr>
            <w:tcW w:type="dxa" w:w="3168"/>
            <w:tcMar>
              <w:top w:w="120" w:type="dxa"/>
              <w:bottom w:w="120" w:type="dxa"/>
              <w:left w:w="160" w:type="dxa"/>
              <w:right w:w="160" w:type="dxa"/>
            </w:tcMar>
            <w:shd w:fill="FBF8FA"/>
          </w:tcPr>
          <w:p>
            <w:r>
              <w:rPr>
                <w:rFonts w:ascii="Book Antiqua" w:hAnsi="Book Antiqua"/>
                <w:sz w:val="19"/>
              </w:rPr>
              <w:t>Automated authenticated PDF screening report generation</w:t>
            </w:r>
          </w:p>
        </w:tc>
        <w:tc>
          <w:tcPr>
            <w:tcW w:type="dxa" w:w="2592"/>
            <w:tcMar>
              <w:top w:w="120" w:type="dxa"/>
              <w:bottom w:w="120" w:type="dxa"/>
              <w:left w:w="160" w:type="dxa"/>
              <w:right w:w="160" w:type="dxa"/>
            </w:tcMar>
            <w:shd w:fill="FBF8FA"/>
          </w:tcPr>
          <w:p>
            <w:r>
              <w:rPr>
                <w:rFonts w:ascii="Book Antiqua" w:hAnsi="Book Antiqua"/>
                <w:sz w:val="19"/>
              </w:rPr>
              <w:t>Instant generation of professional reports with dentist notes</w:t>
            </w:r>
          </w:p>
        </w:tc>
      </w:tr>
      <w:tr>
        <w:trPr>
          <w:cantSplit/>
        </w:trPr>
        <w:tc>
          <w:tcPr>
            <w:tcW w:type="dxa" w:w="2160"/>
            <w:tcMar>
              <w:top w:w="120" w:type="dxa"/>
              <w:bottom w:w="120" w:type="dxa"/>
              <w:left w:w="160" w:type="dxa"/>
              <w:right w:w="160" w:type="dxa"/>
            </w:tcMar>
          </w:tcPr>
          <w:p>
            <w:r>
              <w:rPr>
                <w:rFonts w:ascii="Book Antiqua" w:hAnsi="Book Antiqua"/>
                <w:sz w:val="19"/>
              </w:rPr>
              <w:t>Auditability and Privacy</w:t>
            </w:r>
          </w:p>
        </w:tc>
        <w:tc>
          <w:tcPr>
            <w:tcW w:type="dxa" w:w="2592"/>
            <w:tcMar>
              <w:top w:w="120" w:type="dxa"/>
              <w:bottom w:w="120" w:type="dxa"/>
              <w:left w:w="160" w:type="dxa"/>
              <w:right w:w="160" w:type="dxa"/>
            </w:tcMar>
          </w:tcPr>
          <w:p>
            <w:r>
              <w:rPr>
                <w:rFonts w:ascii="Book Antiqua" w:hAnsi="Book Antiqua"/>
                <w:sz w:val="19"/>
              </w:rPr>
              <w:t>Unsecured physical filing cabinets</w:t>
            </w:r>
          </w:p>
        </w:tc>
        <w:tc>
          <w:tcPr>
            <w:tcW w:type="dxa" w:w="3168"/>
            <w:tcMar>
              <w:top w:w="120" w:type="dxa"/>
              <w:bottom w:w="120" w:type="dxa"/>
              <w:left w:w="160" w:type="dxa"/>
              <w:right w:w="160" w:type="dxa"/>
            </w:tcMar>
          </w:tcPr>
          <w:p>
            <w:r>
              <w:rPr>
                <w:rFonts w:ascii="Book Antiqua" w:hAnsi="Book Antiqua"/>
                <w:sz w:val="19"/>
              </w:rPr>
              <w:t>PostgreSQL database with bcrypt hashing and audit logging</w:t>
            </w:r>
          </w:p>
        </w:tc>
        <w:tc>
          <w:tcPr>
            <w:tcW w:type="dxa" w:w="2592"/>
            <w:tcMar>
              <w:top w:w="120" w:type="dxa"/>
              <w:bottom w:w="120" w:type="dxa"/>
              <w:left w:w="160" w:type="dxa"/>
              <w:right w:w="160" w:type="dxa"/>
            </w:tcMar>
          </w:tcPr>
          <w:p>
            <w:r>
              <w:rPr>
                <w:rFonts w:ascii="Book Antiqua" w:hAnsi="Book Antiqua"/>
                <w:sz w:val="19"/>
              </w:rPr>
              <w:t>Strict compliance with RA 10173 (Data Privacy Act of 2012)</w:t>
            </w:r>
          </w:p>
        </w:tc>
      </w:tr>
    </w:tbl>
    <w:p>
      <w:r>
        <w:rPr>
          <w:b w:val="0"/>
          <w:i w:val="0"/>
        </w:rPr>
      </w:r>
    </w:p>
    <w:p>
      <w:r>
        <w:rPr>
          <w:b w:val="0"/>
          <w:i w:val="0"/>
        </w:rPr>
        <w:t>Field monitoring over 100 consecutive patient encounters indicated that the availability of photographic bounding boxes significantly improved patient comprehension of recommended interventions. Patients demonstrated an 86.4% higher recall of diagnosed lesions when presented with color-coded bounding boxes compared to traditional verbal explanations.</w:t>
      </w:r>
    </w:p>
    <w:p>
      <w:pPr>
        <w:pStyle w:val="Heading2"/>
      </w:pPr>
      <w:r>
        <w:t>4.3 Generation and Delivery of Finding-Specific Preventive Guidance (SOP 3)</w:t>
      </w:r>
    </w:p>
    <w:p>
      <w:r>
        <w:rPr>
          <w:b w:val="0"/>
          <w:i w:val="0"/>
        </w:rPr>
        <w:t>The third research question investigated the systemic barriers preventing patients from receiving timely, finding-specific preventive guidance following screening examinations. Observational analysis revealed that clinicians, constrained by high patient volume and consultation schedules, frequently provided generic verbal advice (such as 'brush twice daily') rather than structured, condition-specific homecare regimens aligned with the patient's immediate pathologies.</w:t>
      </w:r>
    </w:p>
    <w:p>
      <w:r>
        <w:rPr>
          <w:b w:val="0"/>
          <w:i w:val="0"/>
        </w:rPr>
        <w:t>Toothwise resolved this barrier through an automated K-Nearest Neighbors (KNN, K=5) recommendation engine coupled with deterministic clinical rule trees. The algorithm ingests the multi-condition detection vector (quantifying lesion counts, spatial locations, and confidence levels) and maps the patient profile into one of three validated clinical risk tiers: LOW (score 0–34), MEDIUM (score 35–69), and HIGH (score 70–100). The engine subsequently synthesizes an ordered, prioritized oral health prevention plan.</w:t>
      </w:r>
    </w:p>
    <w:p>
      <w:r>
        <w:rPr>
          <w:b w:val="0"/>
          <w:i w:val="0"/>
        </w:rPr>
        <w:t>Table 14 illustrates the operational rule mapping and recommendation distribution generated across the screening risk tiers.</w:t>
      </w:r>
    </w:p>
    <w:tbl>
      <w:tblPr>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1440"/>
            <w:tcMar>
              <w:top w:w="120" w:type="dxa"/>
              <w:bottom w:w="120" w:type="dxa"/>
              <w:left w:w="160" w:type="dxa"/>
              <w:right w:w="160" w:type="dxa"/>
            </w:tcMar>
            <w:shd w:fill="5C2D4E"/>
          </w:tcPr>
          <w:p>
            <w:pPr>
              <w:jc w:val="center"/>
            </w:pPr>
            <w:r>
              <w:rPr>
                <w:rFonts w:ascii="Book Antiqua" w:hAnsi="Book Antiqua"/>
                <w:b/>
                <w:color w:val="FFFFFF"/>
                <w:sz w:val="19"/>
              </w:rPr>
              <w:t>Risk Tier</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Score Range</w:t>
            </w:r>
          </w:p>
        </w:tc>
        <w:tc>
          <w:tcPr>
            <w:tcW w:type="dxa" w:w="2880"/>
            <w:tcMar>
              <w:top w:w="120" w:type="dxa"/>
              <w:bottom w:w="120" w:type="dxa"/>
              <w:left w:w="160" w:type="dxa"/>
              <w:right w:w="160" w:type="dxa"/>
            </w:tcMar>
            <w:shd w:fill="5C2D4E"/>
          </w:tcPr>
          <w:p>
            <w:pPr>
              <w:jc w:val="center"/>
            </w:pPr>
            <w:r>
              <w:rPr>
                <w:rFonts w:ascii="Book Antiqua" w:hAnsi="Book Antiqua"/>
                <w:b/>
                <w:color w:val="FFFFFF"/>
                <w:sz w:val="19"/>
              </w:rPr>
              <w:t>Underlying Clinical Findings</w:t>
            </w:r>
          </w:p>
        </w:tc>
        <w:tc>
          <w:tcPr>
            <w:tcW w:type="dxa" w:w="3168"/>
            <w:tcMar>
              <w:top w:w="120" w:type="dxa"/>
              <w:bottom w:w="120" w:type="dxa"/>
              <w:left w:w="160" w:type="dxa"/>
              <w:right w:w="160" w:type="dxa"/>
            </w:tcMar>
            <w:shd w:fill="5C2D4E"/>
          </w:tcPr>
          <w:p>
            <w:pPr>
              <w:jc w:val="center"/>
            </w:pPr>
            <w:r>
              <w:rPr>
                <w:rFonts w:ascii="Book Antiqua" w:hAnsi="Book Antiqua"/>
                <w:b/>
                <w:color w:val="FFFFFF"/>
                <w:sz w:val="19"/>
              </w:rPr>
              <w:t>Generated Guidance Modules</w:t>
            </w:r>
          </w:p>
        </w:tc>
        <w:tc>
          <w:tcPr>
            <w:tcW w:type="dxa" w:w="1440"/>
            <w:tcMar>
              <w:top w:w="120" w:type="dxa"/>
              <w:bottom w:w="120" w:type="dxa"/>
              <w:left w:w="160" w:type="dxa"/>
              <w:right w:w="160" w:type="dxa"/>
            </w:tcMar>
            <w:shd w:fill="5C2D4E"/>
          </w:tcPr>
          <w:p>
            <w:pPr>
              <w:jc w:val="center"/>
            </w:pPr>
            <w:r>
              <w:rPr>
                <w:rFonts w:ascii="Book Antiqua" w:hAnsi="Book Antiqua"/>
                <w:b/>
                <w:color w:val="FFFFFF"/>
                <w:sz w:val="19"/>
              </w:rPr>
              <w:t>Urgency Status</w:t>
            </w:r>
          </w:p>
        </w:tc>
      </w:tr>
      <w:tr>
        <w:trPr>
          <w:cantSplit/>
        </w:trPr>
        <w:tc>
          <w:tcPr>
            <w:tcW w:type="dxa" w:w="1440"/>
            <w:tcMar>
              <w:top w:w="120" w:type="dxa"/>
              <w:bottom w:w="120" w:type="dxa"/>
              <w:left w:w="160" w:type="dxa"/>
              <w:right w:w="160" w:type="dxa"/>
            </w:tcMar>
            <w:shd w:fill="FBF8FA"/>
          </w:tcPr>
          <w:p>
            <w:r>
              <w:rPr>
                <w:rFonts w:ascii="Book Antiqua" w:hAnsi="Book Antiqua"/>
                <w:sz w:val="19"/>
              </w:rPr>
              <w:t>LOW</w:t>
            </w:r>
          </w:p>
        </w:tc>
        <w:tc>
          <w:tcPr>
            <w:tcW w:type="dxa" w:w="1584"/>
            <w:tcMar>
              <w:top w:w="120" w:type="dxa"/>
              <w:bottom w:w="120" w:type="dxa"/>
              <w:left w:w="160" w:type="dxa"/>
              <w:right w:w="160" w:type="dxa"/>
            </w:tcMar>
            <w:shd w:fill="FBF8FA"/>
          </w:tcPr>
          <w:p>
            <w:r>
              <w:rPr>
                <w:rFonts w:ascii="Book Antiqua" w:hAnsi="Book Antiqua"/>
                <w:sz w:val="19"/>
              </w:rPr>
              <w:t>0 – 34</w:t>
            </w:r>
          </w:p>
        </w:tc>
        <w:tc>
          <w:tcPr>
            <w:tcW w:type="dxa" w:w="2880"/>
            <w:tcMar>
              <w:top w:w="120" w:type="dxa"/>
              <w:bottom w:w="120" w:type="dxa"/>
              <w:left w:w="160" w:type="dxa"/>
              <w:right w:w="160" w:type="dxa"/>
            </w:tcMar>
            <w:shd w:fill="FBF8FA"/>
          </w:tcPr>
          <w:p>
            <w:r>
              <w:rPr>
                <w:rFonts w:ascii="Book Antiqua" w:hAnsi="Book Antiqua"/>
                <w:sz w:val="19"/>
              </w:rPr>
              <w:t>Healthy teeth; minimal plaque accumulation; zero cavitated lesions</w:t>
            </w:r>
          </w:p>
        </w:tc>
        <w:tc>
          <w:tcPr>
            <w:tcW w:type="dxa" w:w="3168"/>
            <w:tcMar>
              <w:top w:w="120" w:type="dxa"/>
              <w:bottom w:w="120" w:type="dxa"/>
              <w:left w:w="160" w:type="dxa"/>
              <w:right w:w="160" w:type="dxa"/>
            </w:tcMar>
            <w:shd w:fill="FBF8FA"/>
          </w:tcPr>
          <w:p>
            <w:r>
              <w:rPr>
                <w:rFonts w:ascii="Book Antiqua" w:hAnsi="Book Antiqua"/>
                <w:sz w:val="19"/>
              </w:rPr>
              <w:t>Routine maintenance: Fluoride toothpaste regimen; soft-bristle circular brushing; 6-month preventive checkup</w:t>
            </w:r>
          </w:p>
        </w:tc>
        <w:tc>
          <w:tcPr>
            <w:tcW w:type="dxa" w:w="1440"/>
            <w:tcMar>
              <w:top w:w="120" w:type="dxa"/>
              <w:bottom w:w="120" w:type="dxa"/>
              <w:left w:w="160" w:type="dxa"/>
              <w:right w:w="160" w:type="dxa"/>
            </w:tcMar>
            <w:shd w:fill="FBF8FA"/>
          </w:tcPr>
          <w:p>
            <w:r>
              <w:rPr>
                <w:rFonts w:ascii="Book Antiqua" w:hAnsi="Book Antiqua"/>
                <w:sz w:val="19"/>
              </w:rPr>
              <w:t>Standard Care</w:t>
            </w:r>
          </w:p>
        </w:tc>
      </w:tr>
      <w:tr>
        <w:trPr>
          <w:cantSplit/>
        </w:trPr>
        <w:tc>
          <w:tcPr>
            <w:tcW w:type="dxa" w:w="1440"/>
            <w:tcMar>
              <w:top w:w="120" w:type="dxa"/>
              <w:bottom w:w="120" w:type="dxa"/>
              <w:left w:w="160" w:type="dxa"/>
              <w:right w:w="160" w:type="dxa"/>
            </w:tcMar>
          </w:tcPr>
          <w:p>
            <w:r>
              <w:rPr>
                <w:rFonts w:ascii="Book Antiqua" w:hAnsi="Book Antiqua"/>
                <w:sz w:val="19"/>
              </w:rPr>
              <w:t>MEDIUM</w:t>
            </w:r>
          </w:p>
        </w:tc>
        <w:tc>
          <w:tcPr>
            <w:tcW w:type="dxa" w:w="1584"/>
            <w:tcMar>
              <w:top w:w="120" w:type="dxa"/>
              <w:bottom w:w="120" w:type="dxa"/>
              <w:left w:w="160" w:type="dxa"/>
              <w:right w:w="160" w:type="dxa"/>
            </w:tcMar>
          </w:tcPr>
          <w:p>
            <w:r>
              <w:rPr>
                <w:rFonts w:ascii="Book Antiqua" w:hAnsi="Book Antiqua"/>
                <w:sz w:val="19"/>
              </w:rPr>
              <w:t>35 – 69</w:t>
            </w:r>
          </w:p>
        </w:tc>
        <w:tc>
          <w:tcPr>
            <w:tcW w:type="dxa" w:w="2880"/>
            <w:tcMar>
              <w:top w:w="120" w:type="dxa"/>
              <w:bottom w:w="120" w:type="dxa"/>
              <w:left w:w="160" w:type="dxa"/>
              <w:right w:w="160" w:type="dxa"/>
            </w:tcMar>
          </w:tcPr>
          <w:p>
            <w:r>
              <w:rPr>
                <w:rFonts w:ascii="Book Antiqua" w:hAnsi="Book Antiqua"/>
                <w:sz w:val="19"/>
              </w:rPr>
              <w:t>Moderate plaque; localized tartar deposits; early marginal gingivitis</w:t>
            </w:r>
          </w:p>
        </w:tc>
        <w:tc>
          <w:tcPr>
            <w:tcW w:type="dxa" w:w="3168"/>
            <w:tcMar>
              <w:top w:w="120" w:type="dxa"/>
              <w:bottom w:w="120" w:type="dxa"/>
              <w:left w:w="160" w:type="dxa"/>
              <w:right w:w="160" w:type="dxa"/>
            </w:tcMar>
          </w:tcPr>
          <w:p>
            <w:r>
              <w:rPr>
                <w:rFonts w:ascii="Book Antiqua" w:hAnsi="Book Antiqua"/>
                <w:sz w:val="19"/>
              </w:rPr>
              <w:t>Targeted plaque control: Interdental flossing; antiseptic chlorhexidine rinse; ultrasonic scaling appointment within 30 days</w:t>
            </w:r>
          </w:p>
        </w:tc>
        <w:tc>
          <w:tcPr>
            <w:tcW w:type="dxa" w:w="1440"/>
            <w:tcMar>
              <w:top w:w="120" w:type="dxa"/>
              <w:bottom w:w="120" w:type="dxa"/>
              <w:left w:w="160" w:type="dxa"/>
              <w:right w:w="160" w:type="dxa"/>
            </w:tcMar>
          </w:tcPr>
          <w:p>
            <w:r>
              <w:rPr>
                <w:rFonts w:ascii="Book Antiqua" w:hAnsi="Book Antiqua"/>
                <w:sz w:val="19"/>
              </w:rPr>
              <w:t>Priority Action</w:t>
            </w:r>
          </w:p>
        </w:tc>
      </w:tr>
      <w:tr>
        <w:trPr>
          <w:cantSplit/>
        </w:trPr>
        <w:tc>
          <w:tcPr>
            <w:tcW w:type="dxa" w:w="1440"/>
            <w:tcMar>
              <w:top w:w="120" w:type="dxa"/>
              <w:bottom w:w="120" w:type="dxa"/>
              <w:left w:w="160" w:type="dxa"/>
              <w:right w:w="160" w:type="dxa"/>
            </w:tcMar>
            <w:shd w:fill="FBF8FA"/>
          </w:tcPr>
          <w:p>
            <w:r>
              <w:rPr>
                <w:rFonts w:ascii="Book Antiqua" w:hAnsi="Book Antiqua"/>
                <w:sz w:val="19"/>
              </w:rPr>
              <w:t>HIGH</w:t>
            </w:r>
          </w:p>
        </w:tc>
        <w:tc>
          <w:tcPr>
            <w:tcW w:type="dxa" w:w="1584"/>
            <w:tcMar>
              <w:top w:w="120" w:type="dxa"/>
              <w:bottom w:w="120" w:type="dxa"/>
              <w:left w:w="160" w:type="dxa"/>
              <w:right w:w="160" w:type="dxa"/>
            </w:tcMar>
            <w:shd w:fill="FBF8FA"/>
          </w:tcPr>
          <w:p>
            <w:r>
              <w:rPr>
                <w:rFonts w:ascii="Book Antiqua" w:hAnsi="Book Antiqua"/>
                <w:sz w:val="19"/>
              </w:rPr>
              <w:t>70 – 100</w:t>
            </w:r>
          </w:p>
        </w:tc>
        <w:tc>
          <w:tcPr>
            <w:tcW w:type="dxa" w:w="2880"/>
            <w:tcMar>
              <w:top w:w="120" w:type="dxa"/>
              <w:bottom w:w="120" w:type="dxa"/>
              <w:left w:w="160" w:type="dxa"/>
              <w:right w:w="160" w:type="dxa"/>
            </w:tcMar>
            <w:shd w:fill="FBF8FA"/>
          </w:tcPr>
          <w:p>
            <w:r>
              <w:rPr>
                <w:rFonts w:ascii="Book Antiqua" w:hAnsi="Book Antiqua"/>
                <w:sz w:val="19"/>
              </w:rPr>
              <w:t>Cavitated dentinal caries; extensive calculus; severe tissue inflammation</w:t>
            </w:r>
          </w:p>
        </w:tc>
        <w:tc>
          <w:tcPr>
            <w:tcW w:type="dxa" w:w="3168"/>
            <w:tcMar>
              <w:top w:w="120" w:type="dxa"/>
              <w:bottom w:w="120" w:type="dxa"/>
              <w:left w:w="160" w:type="dxa"/>
              <w:right w:w="160" w:type="dxa"/>
            </w:tcMar>
            <w:shd w:fill="FBF8FA"/>
          </w:tcPr>
          <w:p>
            <w:r>
              <w:rPr>
                <w:rFonts w:ascii="Book Antiqua" w:hAnsi="Book Antiqua"/>
                <w:sz w:val="19"/>
              </w:rPr>
              <w:t>Immediate clinical intervention: Urgent restorative restoration (filling); deep root planing; pain management triage</w:t>
            </w:r>
          </w:p>
        </w:tc>
        <w:tc>
          <w:tcPr>
            <w:tcW w:type="dxa" w:w="1440"/>
            <w:tcMar>
              <w:top w:w="120" w:type="dxa"/>
              <w:bottom w:w="120" w:type="dxa"/>
              <w:left w:w="160" w:type="dxa"/>
              <w:right w:w="160" w:type="dxa"/>
            </w:tcMar>
            <w:shd w:fill="FBF8FA"/>
          </w:tcPr>
          <w:p>
            <w:r>
              <w:rPr>
                <w:rFonts w:ascii="Book Antiqua" w:hAnsi="Book Antiqua"/>
                <w:sz w:val="19"/>
              </w:rPr>
              <w:t>URGENT Care</w:t>
            </w:r>
          </w:p>
        </w:tc>
      </w:tr>
    </w:tbl>
    <w:p>
      <w:r>
        <w:rPr>
          <w:b w:val="0"/>
          <w:i w:val="0"/>
        </w:rPr>
      </w:r>
    </w:p>
    <w:p>
      <w:r>
        <w:rPr>
          <w:b w:val="0"/>
          <w:i w:val="0"/>
        </w:rPr>
        <w:t>The automated prevention plan provides clear, actionable instructions marked with priority indicators, empowering patients with educational autonomy while reinforcing the necessity of clinical follow-up for restorative procedures.</w:t>
      </w:r>
    </w:p>
    <w:p>
      <w:pPr>
        <w:pStyle w:val="Heading2"/>
      </w:pPr>
      <w:r>
        <w:t>4.4 System Acceptability Evaluation Based on ISO/IEC 25010 Quality Model (SOP 4)</w:t>
      </w:r>
    </w:p>
    <w:p>
      <w:r>
        <w:rPr>
          <w:b w:val="0"/>
          <w:i w:val="0"/>
        </w:rPr>
        <w:t>The fourth research problem evaluated the acceptability of Toothwise among target stakeholders using the ISO/IEC 25010 Software Product Quality Model. The evaluation involved N=100 purposively selected respondents comprising 30 IT Experts (software engineers, systems analysts, database administrators, and cybersecurity practitioners) and 70 Clinical End-Users (10 licensed dentists, 15 dental clinic staff members, and 45 clinic patients).</w:t>
      </w:r>
    </w:p>
    <w:p>
      <w:r>
        <w:rPr>
          <w:b w:val="0"/>
          <w:i w:val="0"/>
        </w:rPr>
        <w:t>The evaluation utilized a 5-point Likert scale instrument measuring the designated quality characteristics. Scores were analyzed using weighted mean and standard deviation, interpreted through standard academic scoring thresholds: 4.21–5.00 (Strongly Agree / Highly Acceptable), 3.41–4.20 (Agree / Acceptable), 2.61–3.40 (Neutral / Moderately Acceptable), 1.81–2.60 (Disagree / Slightly Acceptable), and 1.00–1.80 (Strongly Disagree / Not Acceptable).</w:t>
      </w:r>
    </w:p>
    <w:p>
      <w:r>
        <w:rPr>
          <w:b w:val="0"/>
          <w:i w:val="0"/>
        </w:rPr>
        <w:t>Table 15 summarizes the evaluation results across the evaluated ISO/IEC 25010 quality characteristics.</w:t>
      </w:r>
    </w:p>
    <w:tbl>
      <w:tblPr>
        <w:tblW w:type="auto" w:w="0"/>
        <w:jc w:val="center"/>
        <w:tblLook w:firstColumn="1" w:firstRow="1" w:lastColumn="0" w:lastRow="0" w:noHBand="0" w:noVBand="1" w:val="04A0"/>
      </w:tblPr>
      <w:tblGrid>
        <w:gridCol w:w="1440"/>
        <w:gridCol w:w="1440"/>
        <w:gridCol w:w="1440"/>
        <w:gridCol w:w="1440"/>
        <w:gridCol w:w="1440"/>
        <w:gridCol w:w="1440"/>
      </w:tblGrid>
      <w:tr>
        <w:trPr>
          <w:cantSplit/>
        </w:trPr>
        <w:tc>
          <w:tcPr>
            <w:tcW w:type="dxa" w:w="2880"/>
            <w:tcMar>
              <w:top w:w="120" w:type="dxa"/>
              <w:bottom w:w="120" w:type="dxa"/>
              <w:left w:w="160" w:type="dxa"/>
              <w:right w:w="160" w:type="dxa"/>
            </w:tcMar>
            <w:shd w:fill="5C2D4E"/>
          </w:tcPr>
          <w:p>
            <w:pPr>
              <w:jc w:val="center"/>
            </w:pPr>
            <w:r>
              <w:rPr>
                <w:rFonts w:ascii="Book Antiqua" w:hAnsi="Book Antiqua"/>
                <w:b/>
                <w:color w:val="FFFFFF"/>
                <w:sz w:val="19"/>
              </w:rPr>
              <w:t>Quality Characteristic</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IT Experts (n=30)</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Clinical Users (n=70)</w:t>
            </w:r>
          </w:p>
        </w:tc>
        <w:tc>
          <w:tcPr>
            <w:tcW w:type="dxa" w:w="1584"/>
            <w:tcMar>
              <w:top w:w="120" w:type="dxa"/>
              <w:bottom w:w="120" w:type="dxa"/>
              <w:left w:w="160" w:type="dxa"/>
              <w:right w:w="160" w:type="dxa"/>
            </w:tcMar>
            <w:shd w:fill="5C2D4E"/>
          </w:tcPr>
          <w:p>
            <w:pPr>
              <w:jc w:val="center"/>
            </w:pPr>
            <w:r>
              <w:rPr>
                <w:rFonts w:ascii="Book Antiqua" w:hAnsi="Book Antiqua"/>
                <w:b/>
                <w:color w:val="FFFFFF"/>
                <w:sz w:val="19"/>
              </w:rPr>
              <w:t>Overall Weighted Mean</w:t>
            </w:r>
          </w:p>
        </w:tc>
        <w:tc>
          <w:tcPr>
            <w:tcW w:type="dxa" w:w="1296"/>
            <w:tcMar>
              <w:top w:w="120" w:type="dxa"/>
              <w:bottom w:w="120" w:type="dxa"/>
              <w:left w:w="160" w:type="dxa"/>
              <w:right w:w="160" w:type="dxa"/>
            </w:tcMar>
            <w:shd w:fill="5C2D4E"/>
          </w:tcPr>
          <w:p>
            <w:pPr>
              <w:jc w:val="center"/>
            </w:pPr>
            <w:r>
              <w:rPr>
                <w:rFonts w:ascii="Book Antiqua" w:hAnsi="Book Antiqua"/>
                <w:b/>
                <w:color w:val="FFFFFF"/>
                <w:sz w:val="19"/>
              </w:rPr>
              <w:t>Standard Deviation</w:t>
            </w:r>
          </w:p>
        </w:tc>
        <w:tc>
          <w:tcPr>
            <w:tcW w:type="dxa" w:w="2592"/>
            <w:tcMar>
              <w:top w:w="120" w:type="dxa"/>
              <w:bottom w:w="120" w:type="dxa"/>
              <w:left w:w="160" w:type="dxa"/>
              <w:right w:w="160" w:type="dxa"/>
            </w:tcMar>
            <w:shd w:fill="5C2D4E"/>
          </w:tcPr>
          <w:p>
            <w:pPr>
              <w:jc w:val="center"/>
            </w:pPr>
            <w:r>
              <w:rPr>
                <w:rFonts w:ascii="Book Antiqua" w:hAnsi="Book Antiqua"/>
                <w:b/>
                <w:color w:val="FFFFFF"/>
                <w:sz w:val="19"/>
              </w:rPr>
              <w:t>Verbal Interpretation</w:t>
            </w:r>
          </w:p>
        </w:tc>
      </w:tr>
      <w:tr>
        <w:trPr>
          <w:cantSplit/>
        </w:trPr>
        <w:tc>
          <w:tcPr>
            <w:tcW w:type="dxa" w:w="2880"/>
            <w:tcMar>
              <w:top w:w="120" w:type="dxa"/>
              <w:bottom w:w="120" w:type="dxa"/>
              <w:left w:w="160" w:type="dxa"/>
              <w:right w:w="160" w:type="dxa"/>
            </w:tcMar>
            <w:shd w:fill="FBF8FA"/>
          </w:tcPr>
          <w:p>
            <w:r>
              <w:rPr>
                <w:rFonts w:ascii="Book Antiqua" w:hAnsi="Book Antiqua"/>
                <w:sz w:val="19"/>
              </w:rPr>
              <w:t>1. Functional Suitability</w:t>
            </w:r>
          </w:p>
        </w:tc>
        <w:tc>
          <w:tcPr>
            <w:tcW w:type="dxa" w:w="1584"/>
            <w:tcMar>
              <w:top w:w="120" w:type="dxa"/>
              <w:bottom w:w="120" w:type="dxa"/>
              <w:left w:w="160" w:type="dxa"/>
              <w:right w:w="160" w:type="dxa"/>
            </w:tcMar>
            <w:shd w:fill="FBF8FA"/>
          </w:tcPr>
          <w:p>
            <w:r>
              <w:rPr>
                <w:rFonts w:ascii="Book Antiqua" w:hAnsi="Book Antiqua"/>
                <w:sz w:val="19"/>
              </w:rPr>
              <w:t>4.74</w:t>
            </w:r>
          </w:p>
        </w:tc>
        <w:tc>
          <w:tcPr>
            <w:tcW w:type="dxa" w:w="1584"/>
            <w:tcMar>
              <w:top w:w="120" w:type="dxa"/>
              <w:bottom w:w="120" w:type="dxa"/>
              <w:left w:w="160" w:type="dxa"/>
              <w:right w:w="160" w:type="dxa"/>
            </w:tcMar>
            <w:shd w:fill="FBF8FA"/>
          </w:tcPr>
          <w:p>
            <w:r>
              <w:rPr>
                <w:rFonts w:ascii="Book Antiqua" w:hAnsi="Book Antiqua"/>
                <w:sz w:val="19"/>
              </w:rPr>
              <w:t>4.69</w:t>
            </w:r>
          </w:p>
        </w:tc>
        <w:tc>
          <w:tcPr>
            <w:tcW w:type="dxa" w:w="1584"/>
            <w:tcMar>
              <w:top w:w="120" w:type="dxa"/>
              <w:bottom w:w="120" w:type="dxa"/>
              <w:left w:w="160" w:type="dxa"/>
              <w:right w:w="160" w:type="dxa"/>
            </w:tcMar>
            <w:shd w:fill="FBF8FA"/>
          </w:tcPr>
          <w:p>
            <w:r>
              <w:rPr>
                <w:rFonts w:ascii="Book Antiqua" w:hAnsi="Book Antiqua"/>
                <w:sz w:val="19"/>
              </w:rPr>
              <w:t>4.71</w:t>
            </w:r>
          </w:p>
        </w:tc>
        <w:tc>
          <w:tcPr>
            <w:tcW w:type="dxa" w:w="1296"/>
            <w:tcMar>
              <w:top w:w="120" w:type="dxa"/>
              <w:bottom w:w="120" w:type="dxa"/>
              <w:left w:w="160" w:type="dxa"/>
              <w:right w:w="160" w:type="dxa"/>
            </w:tcMar>
            <w:shd w:fill="FBF8FA"/>
          </w:tcPr>
          <w:p>
            <w:r>
              <w:rPr>
                <w:rFonts w:ascii="Book Antiqua" w:hAnsi="Book Antiqua"/>
                <w:sz w:val="19"/>
              </w:rPr>
              <w:t>0.38</w:t>
            </w:r>
          </w:p>
        </w:tc>
        <w:tc>
          <w:tcPr>
            <w:tcW w:type="dxa" w:w="2592"/>
            <w:tcMar>
              <w:top w:w="120" w:type="dxa"/>
              <w:bottom w:w="120" w:type="dxa"/>
              <w:left w:w="160" w:type="dxa"/>
              <w:right w:w="160" w:type="dxa"/>
            </w:tcMar>
            <w:shd w:fill="FBF8FA"/>
          </w:tcPr>
          <w:p>
            <w:r>
              <w:rPr>
                <w:rFonts w:ascii="Book Antiqua" w:hAnsi="Book Antiqua"/>
                <w:sz w:val="19"/>
              </w:rPr>
              <w:t>Strongly Agree / Highly Acceptable</w:t>
            </w:r>
          </w:p>
        </w:tc>
      </w:tr>
      <w:tr>
        <w:trPr>
          <w:cantSplit/>
        </w:trPr>
        <w:tc>
          <w:tcPr>
            <w:tcW w:type="dxa" w:w="2880"/>
            <w:tcMar>
              <w:top w:w="120" w:type="dxa"/>
              <w:bottom w:w="120" w:type="dxa"/>
              <w:left w:w="160" w:type="dxa"/>
              <w:right w:w="160" w:type="dxa"/>
            </w:tcMar>
          </w:tcPr>
          <w:p>
            <w:r>
              <w:rPr>
                <w:rFonts w:ascii="Book Antiqua" w:hAnsi="Book Antiqua"/>
                <w:sz w:val="19"/>
              </w:rPr>
              <w:t>2. Performance Efficiency</w:t>
            </w:r>
          </w:p>
        </w:tc>
        <w:tc>
          <w:tcPr>
            <w:tcW w:type="dxa" w:w="1584"/>
            <w:tcMar>
              <w:top w:w="120" w:type="dxa"/>
              <w:bottom w:w="120" w:type="dxa"/>
              <w:left w:w="160" w:type="dxa"/>
              <w:right w:w="160" w:type="dxa"/>
            </w:tcMar>
          </w:tcPr>
          <w:p>
            <w:r>
              <w:rPr>
                <w:rFonts w:ascii="Book Antiqua" w:hAnsi="Book Antiqua"/>
                <w:sz w:val="19"/>
              </w:rPr>
              <w:t>4.68</w:t>
            </w:r>
          </w:p>
        </w:tc>
        <w:tc>
          <w:tcPr>
            <w:tcW w:type="dxa" w:w="1584"/>
            <w:tcMar>
              <w:top w:w="120" w:type="dxa"/>
              <w:bottom w:w="120" w:type="dxa"/>
              <w:left w:w="160" w:type="dxa"/>
              <w:right w:w="160" w:type="dxa"/>
            </w:tcMar>
          </w:tcPr>
          <w:p>
            <w:r>
              <w:rPr>
                <w:rFonts w:ascii="Book Antiqua" w:hAnsi="Book Antiqua"/>
                <w:sz w:val="19"/>
              </w:rPr>
              <w:t>4.62</w:t>
            </w:r>
          </w:p>
        </w:tc>
        <w:tc>
          <w:tcPr>
            <w:tcW w:type="dxa" w:w="1584"/>
            <w:tcMar>
              <w:top w:w="120" w:type="dxa"/>
              <w:bottom w:w="120" w:type="dxa"/>
              <w:left w:w="160" w:type="dxa"/>
              <w:right w:w="160" w:type="dxa"/>
            </w:tcMar>
          </w:tcPr>
          <w:p>
            <w:r>
              <w:rPr>
                <w:rFonts w:ascii="Book Antiqua" w:hAnsi="Book Antiqua"/>
                <w:sz w:val="19"/>
              </w:rPr>
              <w:t>4.64</w:t>
            </w:r>
          </w:p>
        </w:tc>
        <w:tc>
          <w:tcPr>
            <w:tcW w:type="dxa" w:w="1296"/>
            <w:tcMar>
              <w:top w:w="120" w:type="dxa"/>
              <w:bottom w:w="120" w:type="dxa"/>
              <w:left w:w="160" w:type="dxa"/>
              <w:right w:w="160" w:type="dxa"/>
            </w:tcMar>
          </w:tcPr>
          <w:p>
            <w:r>
              <w:rPr>
                <w:rFonts w:ascii="Book Antiqua" w:hAnsi="Book Antiqua"/>
                <w:sz w:val="19"/>
              </w:rPr>
              <w:t>0.41</w:t>
            </w:r>
          </w:p>
        </w:tc>
        <w:tc>
          <w:tcPr>
            <w:tcW w:type="dxa" w:w="2592"/>
            <w:tcMar>
              <w:top w:w="120" w:type="dxa"/>
              <w:bottom w:w="120" w:type="dxa"/>
              <w:left w:w="160" w:type="dxa"/>
              <w:right w:w="160" w:type="dxa"/>
            </w:tcMar>
          </w:tcPr>
          <w:p>
            <w:r>
              <w:rPr>
                <w:rFonts w:ascii="Book Antiqua" w:hAnsi="Book Antiqua"/>
                <w:sz w:val="19"/>
              </w:rPr>
              <w:t>Strongly Agree / Highly Acceptable</w:t>
            </w:r>
          </w:p>
        </w:tc>
      </w:tr>
      <w:tr>
        <w:trPr>
          <w:cantSplit/>
        </w:trPr>
        <w:tc>
          <w:tcPr>
            <w:tcW w:type="dxa" w:w="2880"/>
            <w:tcMar>
              <w:top w:w="120" w:type="dxa"/>
              <w:bottom w:w="120" w:type="dxa"/>
              <w:left w:w="160" w:type="dxa"/>
              <w:right w:w="160" w:type="dxa"/>
            </w:tcMar>
            <w:shd w:fill="FBF8FA"/>
          </w:tcPr>
          <w:p>
            <w:r>
              <w:rPr>
                <w:rFonts w:ascii="Book Antiqua" w:hAnsi="Book Antiqua"/>
                <w:sz w:val="19"/>
              </w:rPr>
              <w:t>3. Usability</w:t>
            </w:r>
          </w:p>
        </w:tc>
        <w:tc>
          <w:tcPr>
            <w:tcW w:type="dxa" w:w="1584"/>
            <w:tcMar>
              <w:top w:w="120" w:type="dxa"/>
              <w:bottom w:w="120" w:type="dxa"/>
              <w:left w:w="160" w:type="dxa"/>
              <w:right w:w="160" w:type="dxa"/>
            </w:tcMar>
            <w:shd w:fill="FBF8FA"/>
          </w:tcPr>
          <w:p>
            <w:r>
              <w:rPr>
                <w:rFonts w:ascii="Book Antiqua" w:hAnsi="Book Antiqua"/>
                <w:sz w:val="19"/>
              </w:rPr>
              <w:t>4.62</w:t>
            </w:r>
          </w:p>
        </w:tc>
        <w:tc>
          <w:tcPr>
            <w:tcW w:type="dxa" w:w="1584"/>
            <w:tcMar>
              <w:top w:w="120" w:type="dxa"/>
              <w:bottom w:w="120" w:type="dxa"/>
              <w:left w:w="160" w:type="dxa"/>
              <w:right w:w="160" w:type="dxa"/>
            </w:tcMar>
            <w:shd w:fill="FBF8FA"/>
          </w:tcPr>
          <w:p>
            <w:r>
              <w:rPr>
                <w:rFonts w:ascii="Book Antiqua" w:hAnsi="Book Antiqua"/>
                <w:sz w:val="19"/>
              </w:rPr>
              <w:t>4.76</w:t>
            </w:r>
          </w:p>
        </w:tc>
        <w:tc>
          <w:tcPr>
            <w:tcW w:type="dxa" w:w="1584"/>
            <w:tcMar>
              <w:top w:w="120" w:type="dxa"/>
              <w:bottom w:w="120" w:type="dxa"/>
              <w:left w:w="160" w:type="dxa"/>
              <w:right w:w="160" w:type="dxa"/>
            </w:tcMar>
            <w:shd w:fill="FBF8FA"/>
          </w:tcPr>
          <w:p>
            <w:r>
              <w:rPr>
                <w:rFonts w:ascii="Book Antiqua" w:hAnsi="Book Antiqua"/>
                <w:sz w:val="19"/>
              </w:rPr>
              <w:t>4.72</w:t>
            </w:r>
          </w:p>
        </w:tc>
        <w:tc>
          <w:tcPr>
            <w:tcW w:type="dxa" w:w="1296"/>
            <w:tcMar>
              <w:top w:w="120" w:type="dxa"/>
              <w:bottom w:w="120" w:type="dxa"/>
              <w:left w:w="160" w:type="dxa"/>
              <w:right w:w="160" w:type="dxa"/>
            </w:tcMar>
            <w:shd w:fill="FBF8FA"/>
          </w:tcPr>
          <w:p>
            <w:r>
              <w:rPr>
                <w:rFonts w:ascii="Book Antiqua" w:hAnsi="Book Antiqua"/>
                <w:sz w:val="19"/>
              </w:rPr>
              <w:t>0.36</w:t>
            </w:r>
          </w:p>
        </w:tc>
        <w:tc>
          <w:tcPr>
            <w:tcW w:type="dxa" w:w="2592"/>
            <w:tcMar>
              <w:top w:w="120" w:type="dxa"/>
              <w:bottom w:w="120" w:type="dxa"/>
              <w:left w:w="160" w:type="dxa"/>
              <w:right w:w="160" w:type="dxa"/>
            </w:tcMar>
            <w:shd w:fill="FBF8FA"/>
          </w:tcPr>
          <w:p>
            <w:r>
              <w:rPr>
                <w:rFonts w:ascii="Book Antiqua" w:hAnsi="Book Antiqua"/>
                <w:sz w:val="19"/>
              </w:rPr>
              <w:t>Strongly Agree / Highly Acceptable</w:t>
            </w:r>
          </w:p>
        </w:tc>
      </w:tr>
      <w:tr>
        <w:trPr>
          <w:cantSplit/>
        </w:trPr>
        <w:tc>
          <w:tcPr>
            <w:tcW w:type="dxa" w:w="2880"/>
            <w:tcMar>
              <w:top w:w="120" w:type="dxa"/>
              <w:bottom w:w="120" w:type="dxa"/>
              <w:left w:w="160" w:type="dxa"/>
              <w:right w:w="160" w:type="dxa"/>
            </w:tcMar>
          </w:tcPr>
          <w:p>
            <w:r>
              <w:rPr>
                <w:rFonts w:ascii="Book Antiqua" w:hAnsi="Book Antiqua"/>
                <w:sz w:val="19"/>
              </w:rPr>
              <w:t>4. Reliability</w:t>
            </w:r>
          </w:p>
        </w:tc>
        <w:tc>
          <w:tcPr>
            <w:tcW w:type="dxa" w:w="1584"/>
            <w:tcMar>
              <w:top w:w="120" w:type="dxa"/>
              <w:bottom w:w="120" w:type="dxa"/>
              <w:left w:w="160" w:type="dxa"/>
              <w:right w:w="160" w:type="dxa"/>
            </w:tcMar>
          </w:tcPr>
          <w:p>
            <w:r>
              <w:rPr>
                <w:rFonts w:ascii="Book Antiqua" w:hAnsi="Book Antiqua"/>
                <w:sz w:val="19"/>
              </w:rPr>
              <w:t>4.70</w:t>
            </w:r>
          </w:p>
        </w:tc>
        <w:tc>
          <w:tcPr>
            <w:tcW w:type="dxa" w:w="1584"/>
            <w:tcMar>
              <w:top w:w="120" w:type="dxa"/>
              <w:bottom w:w="120" w:type="dxa"/>
              <w:left w:w="160" w:type="dxa"/>
              <w:right w:w="160" w:type="dxa"/>
            </w:tcMar>
          </w:tcPr>
          <w:p>
            <w:r>
              <w:rPr>
                <w:rFonts w:ascii="Book Antiqua" w:hAnsi="Book Antiqua"/>
                <w:sz w:val="19"/>
              </w:rPr>
              <w:t>4.64</w:t>
            </w:r>
          </w:p>
        </w:tc>
        <w:tc>
          <w:tcPr>
            <w:tcW w:type="dxa" w:w="1584"/>
            <w:tcMar>
              <w:top w:w="120" w:type="dxa"/>
              <w:bottom w:w="120" w:type="dxa"/>
              <w:left w:w="160" w:type="dxa"/>
              <w:right w:w="160" w:type="dxa"/>
            </w:tcMar>
          </w:tcPr>
          <w:p>
            <w:r>
              <w:rPr>
                <w:rFonts w:ascii="Book Antiqua" w:hAnsi="Book Antiqua"/>
                <w:sz w:val="19"/>
              </w:rPr>
              <w:t>4.66</w:t>
            </w:r>
          </w:p>
        </w:tc>
        <w:tc>
          <w:tcPr>
            <w:tcW w:type="dxa" w:w="1296"/>
            <w:tcMar>
              <w:top w:w="120" w:type="dxa"/>
              <w:bottom w:w="120" w:type="dxa"/>
              <w:left w:w="160" w:type="dxa"/>
              <w:right w:w="160" w:type="dxa"/>
            </w:tcMar>
          </w:tcPr>
          <w:p>
            <w:r>
              <w:rPr>
                <w:rFonts w:ascii="Book Antiqua" w:hAnsi="Book Antiqua"/>
                <w:sz w:val="19"/>
              </w:rPr>
              <w:t>0.39</w:t>
            </w:r>
          </w:p>
        </w:tc>
        <w:tc>
          <w:tcPr>
            <w:tcW w:type="dxa" w:w="2592"/>
            <w:tcMar>
              <w:top w:w="120" w:type="dxa"/>
              <w:bottom w:w="120" w:type="dxa"/>
              <w:left w:w="160" w:type="dxa"/>
              <w:right w:w="160" w:type="dxa"/>
            </w:tcMar>
          </w:tcPr>
          <w:p>
            <w:r>
              <w:rPr>
                <w:rFonts w:ascii="Book Antiqua" w:hAnsi="Book Antiqua"/>
                <w:sz w:val="19"/>
              </w:rPr>
              <w:t>Strongly Agree / Highly Acceptable</w:t>
            </w:r>
          </w:p>
        </w:tc>
      </w:tr>
      <w:tr>
        <w:trPr>
          <w:cantSplit/>
        </w:trPr>
        <w:tc>
          <w:tcPr>
            <w:tcW w:type="dxa" w:w="2880"/>
            <w:tcMar>
              <w:top w:w="120" w:type="dxa"/>
              <w:bottom w:w="120" w:type="dxa"/>
              <w:left w:w="160" w:type="dxa"/>
              <w:right w:w="160" w:type="dxa"/>
            </w:tcMar>
            <w:shd w:fill="FBF8FA"/>
          </w:tcPr>
          <w:p>
            <w:r>
              <w:rPr>
                <w:rFonts w:ascii="Book Antiqua" w:hAnsi="Book Antiqua"/>
                <w:sz w:val="19"/>
              </w:rPr>
              <w:t>5. Security &amp; Privacy</w:t>
            </w:r>
          </w:p>
        </w:tc>
        <w:tc>
          <w:tcPr>
            <w:tcW w:type="dxa" w:w="1584"/>
            <w:tcMar>
              <w:top w:w="120" w:type="dxa"/>
              <w:bottom w:w="120" w:type="dxa"/>
              <w:left w:w="160" w:type="dxa"/>
              <w:right w:w="160" w:type="dxa"/>
            </w:tcMar>
            <w:shd w:fill="FBF8FA"/>
          </w:tcPr>
          <w:p>
            <w:r>
              <w:rPr>
                <w:rFonts w:ascii="Book Antiqua" w:hAnsi="Book Antiqua"/>
                <w:sz w:val="19"/>
              </w:rPr>
              <w:t>4.82</w:t>
            </w:r>
          </w:p>
        </w:tc>
        <w:tc>
          <w:tcPr>
            <w:tcW w:type="dxa" w:w="1584"/>
            <w:tcMar>
              <w:top w:w="120" w:type="dxa"/>
              <w:bottom w:w="120" w:type="dxa"/>
              <w:left w:w="160" w:type="dxa"/>
              <w:right w:w="160" w:type="dxa"/>
            </w:tcMar>
            <w:shd w:fill="FBF8FA"/>
          </w:tcPr>
          <w:p>
            <w:r>
              <w:rPr>
                <w:rFonts w:ascii="Book Antiqua" w:hAnsi="Book Antiqua"/>
                <w:sz w:val="19"/>
              </w:rPr>
              <w:t>4.71</w:t>
            </w:r>
          </w:p>
        </w:tc>
        <w:tc>
          <w:tcPr>
            <w:tcW w:type="dxa" w:w="1584"/>
            <w:tcMar>
              <w:top w:w="120" w:type="dxa"/>
              <w:bottom w:w="120" w:type="dxa"/>
              <w:left w:w="160" w:type="dxa"/>
              <w:right w:w="160" w:type="dxa"/>
            </w:tcMar>
            <w:shd w:fill="FBF8FA"/>
          </w:tcPr>
          <w:p>
            <w:r>
              <w:rPr>
                <w:rFonts w:ascii="Book Antiqua" w:hAnsi="Book Antiqua"/>
                <w:sz w:val="19"/>
              </w:rPr>
              <w:t>4.74</w:t>
            </w:r>
          </w:p>
        </w:tc>
        <w:tc>
          <w:tcPr>
            <w:tcW w:type="dxa" w:w="1296"/>
            <w:tcMar>
              <w:top w:w="120" w:type="dxa"/>
              <w:bottom w:w="120" w:type="dxa"/>
              <w:left w:w="160" w:type="dxa"/>
              <w:right w:w="160" w:type="dxa"/>
            </w:tcMar>
            <w:shd w:fill="FBF8FA"/>
          </w:tcPr>
          <w:p>
            <w:r>
              <w:rPr>
                <w:rFonts w:ascii="Book Antiqua" w:hAnsi="Book Antiqua"/>
                <w:sz w:val="19"/>
              </w:rPr>
              <w:t>0.34</w:t>
            </w:r>
          </w:p>
        </w:tc>
        <w:tc>
          <w:tcPr>
            <w:tcW w:type="dxa" w:w="2592"/>
            <w:tcMar>
              <w:top w:w="120" w:type="dxa"/>
              <w:bottom w:w="120" w:type="dxa"/>
              <w:left w:w="160" w:type="dxa"/>
              <w:right w:w="160" w:type="dxa"/>
            </w:tcMar>
            <w:shd w:fill="FBF8FA"/>
          </w:tcPr>
          <w:p>
            <w:r>
              <w:rPr>
                <w:rFonts w:ascii="Book Antiqua" w:hAnsi="Book Antiqua"/>
                <w:sz w:val="19"/>
              </w:rPr>
              <w:t>Strongly Agree / Highly Acceptable</w:t>
            </w:r>
          </w:p>
        </w:tc>
      </w:tr>
      <w:tr>
        <w:trPr>
          <w:cantSplit/>
        </w:trPr>
        <w:tc>
          <w:tcPr>
            <w:tcW w:type="dxa" w:w="2880"/>
            <w:tcMar>
              <w:top w:w="120" w:type="dxa"/>
              <w:bottom w:w="120" w:type="dxa"/>
              <w:left w:w="160" w:type="dxa"/>
              <w:right w:w="160" w:type="dxa"/>
            </w:tcMar>
          </w:tcPr>
          <w:p>
            <w:r>
              <w:rPr>
                <w:rFonts w:ascii="Book Antiqua" w:hAnsi="Book Antiqua"/>
                <w:sz w:val="19"/>
              </w:rPr>
              <w:t>6. Compatibility &amp; Portability</w:t>
            </w:r>
          </w:p>
        </w:tc>
        <w:tc>
          <w:tcPr>
            <w:tcW w:type="dxa" w:w="1584"/>
            <w:tcMar>
              <w:top w:w="120" w:type="dxa"/>
              <w:bottom w:w="120" w:type="dxa"/>
              <w:left w:w="160" w:type="dxa"/>
              <w:right w:w="160" w:type="dxa"/>
            </w:tcMar>
          </w:tcPr>
          <w:p>
            <w:r>
              <w:rPr>
                <w:rFonts w:ascii="Book Antiqua" w:hAnsi="Book Antiqua"/>
                <w:sz w:val="19"/>
              </w:rPr>
              <w:t>4.65</w:t>
            </w:r>
          </w:p>
        </w:tc>
        <w:tc>
          <w:tcPr>
            <w:tcW w:type="dxa" w:w="1584"/>
            <w:tcMar>
              <w:top w:w="120" w:type="dxa"/>
              <w:bottom w:w="120" w:type="dxa"/>
              <w:left w:w="160" w:type="dxa"/>
              <w:right w:w="160" w:type="dxa"/>
            </w:tcMar>
          </w:tcPr>
          <w:p>
            <w:r>
              <w:rPr>
                <w:rFonts w:ascii="Book Antiqua" w:hAnsi="Book Antiqua"/>
                <w:sz w:val="19"/>
              </w:rPr>
              <w:t>4.58</w:t>
            </w:r>
          </w:p>
        </w:tc>
        <w:tc>
          <w:tcPr>
            <w:tcW w:type="dxa" w:w="1584"/>
            <w:tcMar>
              <w:top w:w="120" w:type="dxa"/>
              <w:bottom w:w="120" w:type="dxa"/>
              <w:left w:w="160" w:type="dxa"/>
              <w:right w:w="160" w:type="dxa"/>
            </w:tcMar>
          </w:tcPr>
          <w:p>
            <w:r>
              <w:rPr>
                <w:rFonts w:ascii="Book Antiqua" w:hAnsi="Book Antiqua"/>
                <w:sz w:val="19"/>
              </w:rPr>
              <w:t>4.60</w:t>
            </w:r>
          </w:p>
        </w:tc>
        <w:tc>
          <w:tcPr>
            <w:tcW w:type="dxa" w:w="1296"/>
            <w:tcMar>
              <w:top w:w="120" w:type="dxa"/>
              <w:bottom w:w="120" w:type="dxa"/>
              <w:left w:w="160" w:type="dxa"/>
              <w:right w:w="160" w:type="dxa"/>
            </w:tcMar>
          </w:tcPr>
          <w:p>
            <w:r>
              <w:rPr>
                <w:rFonts w:ascii="Book Antiqua" w:hAnsi="Book Antiqua"/>
                <w:sz w:val="19"/>
              </w:rPr>
              <w:t>0.43</w:t>
            </w:r>
          </w:p>
        </w:tc>
        <w:tc>
          <w:tcPr>
            <w:tcW w:type="dxa" w:w="2592"/>
            <w:tcMar>
              <w:top w:w="120" w:type="dxa"/>
              <w:bottom w:w="120" w:type="dxa"/>
              <w:left w:w="160" w:type="dxa"/>
              <w:right w:w="160" w:type="dxa"/>
            </w:tcMar>
          </w:tcPr>
          <w:p>
            <w:r>
              <w:rPr>
                <w:rFonts w:ascii="Book Antiqua" w:hAnsi="Book Antiqua"/>
                <w:sz w:val="19"/>
              </w:rPr>
              <w:t>Strongly Agree / Highly Acceptable</w:t>
            </w:r>
          </w:p>
        </w:tc>
      </w:tr>
      <w:tr>
        <w:trPr>
          <w:cantSplit/>
        </w:trPr>
        <w:tc>
          <w:tcPr>
            <w:tcW w:type="dxa" w:w="2880"/>
            <w:tcMar>
              <w:top w:w="120" w:type="dxa"/>
              <w:bottom w:w="120" w:type="dxa"/>
              <w:left w:w="160" w:type="dxa"/>
              <w:right w:w="160" w:type="dxa"/>
            </w:tcMar>
            <w:shd w:fill="FBF8FA"/>
          </w:tcPr>
          <w:p>
            <w:r>
              <w:rPr>
                <w:rFonts w:ascii="Book Antiqua" w:hAnsi="Book Antiqua"/>
                <w:sz w:val="19"/>
              </w:rPr>
              <w:t>Composite Evaluation Score</w:t>
            </w:r>
          </w:p>
        </w:tc>
        <w:tc>
          <w:tcPr>
            <w:tcW w:type="dxa" w:w="1584"/>
            <w:tcMar>
              <w:top w:w="120" w:type="dxa"/>
              <w:bottom w:w="120" w:type="dxa"/>
              <w:left w:w="160" w:type="dxa"/>
              <w:right w:w="160" w:type="dxa"/>
            </w:tcMar>
            <w:shd w:fill="FBF8FA"/>
          </w:tcPr>
          <w:p>
            <w:r>
              <w:rPr>
                <w:rFonts w:ascii="Book Antiqua" w:hAnsi="Book Antiqua"/>
                <w:sz w:val="19"/>
              </w:rPr>
              <w:t>4.70</w:t>
            </w:r>
          </w:p>
        </w:tc>
        <w:tc>
          <w:tcPr>
            <w:tcW w:type="dxa" w:w="1584"/>
            <w:tcMar>
              <w:top w:w="120" w:type="dxa"/>
              <w:bottom w:w="120" w:type="dxa"/>
              <w:left w:w="160" w:type="dxa"/>
              <w:right w:w="160" w:type="dxa"/>
            </w:tcMar>
            <w:shd w:fill="FBF8FA"/>
          </w:tcPr>
          <w:p>
            <w:r>
              <w:rPr>
                <w:rFonts w:ascii="Book Antiqua" w:hAnsi="Book Antiqua"/>
                <w:sz w:val="19"/>
              </w:rPr>
              <w:t>4.67</w:t>
            </w:r>
          </w:p>
        </w:tc>
        <w:tc>
          <w:tcPr>
            <w:tcW w:type="dxa" w:w="1584"/>
            <w:tcMar>
              <w:top w:w="120" w:type="dxa"/>
              <w:bottom w:w="120" w:type="dxa"/>
              <w:left w:w="160" w:type="dxa"/>
              <w:right w:w="160" w:type="dxa"/>
            </w:tcMar>
            <w:shd w:fill="FBF8FA"/>
          </w:tcPr>
          <w:p>
            <w:r>
              <w:rPr>
                <w:rFonts w:ascii="Book Antiqua" w:hAnsi="Book Antiqua"/>
                <w:sz w:val="19"/>
              </w:rPr>
              <w:t>4.68</w:t>
            </w:r>
          </w:p>
        </w:tc>
        <w:tc>
          <w:tcPr>
            <w:tcW w:type="dxa" w:w="1296"/>
            <w:tcMar>
              <w:top w:w="120" w:type="dxa"/>
              <w:bottom w:w="120" w:type="dxa"/>
              <w:left w:w="160" w:type="dxa"/>
              <w:right w:w="160" w:type="dxa"/>
            </w:tcMar>
            <w:shd w:fill="FBF8FA"/>
          </w:tcPr>
          <w:p>
            <w:r>
              <w:rPr>
                <w:rFonts w:ascii="Book Antiqua" w:hAnsi="Book Antiqua"/>
                <w:sz w:val="19"/>
              </w:rPr>
              <w:t>0.38</w:t>
            </w:r>
          </w:p>
        </w:tc>
        <w:tc>
          <w:tcPr>
            <w:tcW w:type="dxa" w:w="2592"/>
            <w:tcMar>
              <w:top w:w="120" w:type="dxa"/>
              <w:bottom w:w="120" w:type="dxa"/>
              <w:left w:w="160" w:type="dxa"/>
              <w:right w:w="160" w:type="dxa"/>
            </w:tcMar>
            <w:shd w:fill="FBF8FA"/>
          </w:tcPr>
          <w:p>
            <w:r>
              <w:rPr>
                <w:rFonts w:ascii="Book Antiqua" w:hAnsi="Book Antiqua"/>
                <w:sz w:val="19"/>
              </w:rPr>
              <w:t>Strongly Agree / Highly Acceptable</w:t>
            </w:r>
          </w:p>
        </w:tc>
      </w:tr>
    </w:tbl>
    <w:p>
      <w:r>
        <w:rPr>
          <w:b w:val="0"/>
          <w:i w:val="0"/>
        </w:rPr>
      </w:r>
    </w:p>
    <w:p>
      <w:r>
        <w:rPr>
          <w:b w:val="0"/>
          <w:i w:val="0"/>
        </w:rPr>
        <w:t>The composite weighted mean of 4.68 (SD = 0.38) indicates that the Toothwise system achieved a 'Highly Acceptable' rating across all evaluated dimensions. Security and Privacy received the highest appraisal from IT experts (4.82), reflecting approval of the bcrypt password hashing, JWT stateless authentication, role-based route guards, and granular audit trail logging. Usability scored highest among clinical end-users (4.76), who commended the intuitive four-step screening workflow, responsive dark/light mode interfaces, and easily interpretable visual badges.</w:t>
      </w:r>
    </w:p>
    <w:p>
      <w:pPr>
        <w:pStyle w:val="Heading2"/>
      </w:pPr>
      <w:r>
        <w:t>4.5 Comparative Assessment of Screening Consistency and Consultation Time (SOP 5)</w:t>
      </w:r>
    </w:p>
    <w:p>
      <w:r>
        <w:rPr>
          <w:b w:val="0"/>
          <w:i w:val="0"/>
        </w:rPr>
        <w:t>The fifth research problem investigated the empirical differences in screening consistency and consultation time between Toothwise-assisted workflows and conventional manual procedures. A paired comparative trial was executed involving 100 patient screening sessions conducted by the clinic's dental team. The trial tracked total examination time (from initial patient intake to the completion of clinical documentation) and diagnostic inter-examiner consistency.</w:t>
      </w:r>
    </w:p>
    <w:p>
      <w:r>
        <w:rPr>
          <w:b w:val="0"/>
          <w:i w:val="0"/>
        </w:rPr>
        <w:t>Table 16 presents the comparative time and consistency metrics recorded during the operational trial.</w:t>
      </w:r>
    </w:p>
    <w:tbl>
      <w:tblPr>
        <w:tblW w:type="auto" w:w="0"/>
        <w:jc w:val="center"/>
        <w:tblLook w:firstColumn="1" w:firstRow="1" w:lastColumn="0" w:lastRow="0" w:noHBand="0" w:noVBand="1" w:val="04A0"/>
      </w:tblPr>
      <w:tblGrid>
        <w:gridCol w:w="1728"/>
        <w:gridCol w:w="1728"/>
        <w:gridCol w:w="1728"/>
        <w:gridCol w:w="1728"/>
        <w:gridCol w:w="1728"/>
      </w:tblGrid>
      <w:tr>
        <w:trPr>
          <w:cantSplit/>
        </w:trPr>
        <w:tc>
          <w:tcPr>
            <w:tcW w:type="dxa" w:w="2880"/>
            <w:tcMar>
              <w:top w:w="120" w:type="dxa"/>
              <w:bottom w:w="120" w:type="dxa"/>
              <w:left w:w="160" w:type="dxa"/>
              <w:right w:w="160" w:type="dxa"/>
            </w:tcMar>
            <w:shd w:fill="5C2D4E"/>
          </w:tcPr>
          <w:p>
            <w:pPr>
              <w:jc w:val="center"/>
            </w:pPr>
            <w:r>
              <w:rPr>
                <w:rFonts w:ascii="Book Antiqua" w:hAnsi="Book Antiqua"/>
                <w:b/>
                <w:color w:val="FFFFFF"/>
                <w:sz w:val="19"/>
              </w:rPr>
              <w:t>Workflow Phase / Parameter</w:t>
            </w:r>
          </w:p>
        </w:tc>
        <w:tc>
          <w:tcPr>
            <w:tcW w:type="dxa" w:w="1872"/>
            <w:tcMar>
              <w:top w:w="120" w:type="dxa"/>
              <w:bottom w:w="120" w:type="dxa"/>
              <w:left w:w="160" w:type="dxa"/>
              <w:right w:w="160" w:type="dxa"/>
            </w:tcMar>
            <w:shd w:fill="5C2D4E"/>
          </w:tcPr>
          <w:p>
            <w:pPr>
              <w:jc w:val="center"/>
            </w:pPr>
            <w:r>
              <w:rPr>
                <w:rFonts w:ascii="Book Antiqua" w:hAnsi="Book Antiqua"/>
                <w:b/>
                <w:color w:val="FFFFFF"/>
                <w:sz w:val="19"/>
              </w:rPr>
              <w:t>Manual Visual Procedure</w:t>
            </w:r>
          </w:p>
        </w:tc>
        <w:tc>
          <w:tcPr>
            <w:tcW w:type="dxa" w:w="1872"/>
            <w:tcMar>
              <w:top w:w="120" w:type="dxa"/>
              <w:bottom w:w="120" w:type="dxa"/>
              <w:left w:w="160" w:type="dxa"/>
              <w:right w:w="160" w:type="dxa"/>
            </w:tcMar>
            <w:shd w:fill="5C2D4E"/>
          </w:tcPr>
          <w:p>
            <w:pPr>
              <w:jc w:val="center"/>
            </w:pPr>
            <w:r>
              <w:rPr>
                <w:rFonts w:ascii="Book Antiqua" w:hAnsi="Book Antiqua"/>
                <w:b/>
                <w:color w:val="FFFFFF"/>
                <w:sz w:val="19"/>
              </w:rPr>
              <w:t>Toothwise-Assisted Workflow</w:t>
            </w:r>
          </w:p>
        </w:tc>
        <w:tc>
          <w:tcPr>
            <w:tcW w:type="dxa" w:w="2016"/>
            <w:tcMar>
              <w:top w:w="120" w:type="dxa"/>
              <w:bottom w:w="120" w:type="dxa"/>
              <w:left w:w="160" w:type="dxa"/>
              <w:right w:w="160" w:type="dxa"/>
            </w:tcMar>
            <w:shd w:fill="5C2D4E"/>
          </w:tcPr>
          <w:p>
            <w:pPr>
              <w:jc w:val="center"/>
            </w:pPr>
            <w:r>
              <w:rPr>
                <w:rFonts w:ascii="Book Antiqua" w:hAnsi="Book Antiqua"/>
                <w:b/>
                <w:color w:val="FFFFFF"/>
                <w:sz w:val="19"/>
              </w:rPr>
              <w:t>Variance / Absolute Change</w:t>
            </w:r>
          </w:p>
        </w:tc>
        <w:tc>
          <w:tcPr>
            <w:tcW w:type="dxa" w:w="1872"/>
            <w:tcMar>
              <w:top w:w="120" w:type="dxa"/>
              <w:bottom w:w="120" w:type="dxa"/>
              <w:left w:w="160" w:type="dxa"/>
              <w:right w:w="160" w:type="dxa"/>
            </w:tcMar>
            <w:shd w:fill="5C2D4E"/>
          </w:tcPr>
          <w:p>
            <w:pPr>
              <w:jc w:val="center"/>
            </w:pPr>
            <w:r>
              <w:rPr>
                <w:rFonts w:ascii="Book Antiqua" w:hAnsi="Book Antiqua"/>
                <w:b/>
                <w:color w:val="FFFFFF"/>
                <w:sz w:val="19"/>
              </w:rPr>
              <w:t>Percentage Improvement</w:t>
            </w:r>
          </w:p>
        </w:tc>
      </w:tr>
      <w:tr>
        <w:trPr>
          <w:cantSplit/>
        </w:trPr>
        <w:tc>
          <w:tcPr>
            <w:tcW w:type="dxa" w:w="2880"/>
            <w:tcMar>
              <w:top w:w="120" w:type="dxa"/>
              <w:bottom w:w="120" w:type="dxa"/>
              <w:left w:w="160" w:type="dxa"/>
              <w:right w:w="160" w:type="dxa"/>
            </w:tcMar>
            <w:shd w:fill="FBF8FA"/>
          </w:tcPr>
          <w:p>
            <w:r>
              <w:rPr>
                <w:rFonts w:ascii="Book Antiqua" w:hAnsi="Book Antiqua"/>
                <w:sz w:val="19"/>
              </w:rPr>
              <w:t>Patient Intake &amp; Record Setup</w:t>
            </w:r>
          </w:p>
        </w:tc>
        <w:tc>
          <w:tcPr>
            <w:tcW w:type="dxa" w:w="1872"/>
            <w:tcMar>
              <w:top w:w="120" w:type="dxa"/>
              <w:bottom w:w="120" w:type="dxa"/>
              <w:left w:w="160" w:type="dxa"/>
              <w:right w:w="160" w:type="dxa"/>
            </w:tcMar>
            <w:shd w:fill="FBF8FA"/>
          </w:tcPr>
          <w:p>
            <w:r>
              <w:rPr>
                <w:rFonts w:ascii="Book Antiqua" w:hAnsi="Book Antiqua"/>
                <w:sz w:val="19"/>
              </w:rPr>
              <w:t>184.2 sec (3.07 min)</w:t>
            </w:r>
          </w:p>
        </w:tc>
        <w:tc>
          <w:tcPr>
            <w:tcW w:type="dxa" w:w="1872"/>
            <w:tcMar>
              <w:top w:w="120" w:type="dxa"/>
              <w:bottom w:w="120" w:type="dxa"/>
              <w:left w:w="160" w:type="dxa"/>
              <w:right w:w="160" w:type="dxa"/>
            </w:tcMar>
            <w:shd w:fill="FBF8FA"/>
          </w:tcPr>
          <w:p>
            <w:r>
              <w:rPr>
                <w:rFonts w:ascii="Book Antiqua" w:hAnsi="Book Antiqua"/>
                <w:sz w:val="19"/>
              </w:rPr>
              <w:t>48.6 sec (0.81 min)</w:t>
            </w:r>
          </w:p>
        </w:tc>
        <w:tc>
          <w:tcPr>
            <w:tcW w:type="dxa" w:w="2016"/>
            <w:tcMar>
              <w:top w:w="120" w:type="dxa"/>
              <w:bottom w:w="120" w:type="dxa"/>
              <w:left w:w="160" w:type="dxa"/>
              <w:right w:w="160" w:type="dxa"/>
            </w:tcMar>
            <w:shd w:fill="FBF8FA"/>
          </w:tcPr>
          <w:p>
            <w:r>
              <w:rPr>
                <w:rFonts w:ascii="Book Antiqua" w:hAnsi="Book Antiqua"/>
                <w:sz w:val="19"/>
              </w:rPr>
              <w:t>-135.6 sec</w:t>
            </w:r>
          </w:p>
        </w:tc>
        <w:tc>
          <w:tcPr>
            <w:tcW w:type="dxa" w:w="1872"/>
            <w:tcMar>
              <w:top w:w="120" w:type="dxa"/>
              <w:bottom w:w="120" w:type="dxa"/>
              <w:left w:w="160" w:type="dxa"/>
              <w:right w:w="160" w:type="dxa"/>
            </w:tcMar>
            <w:shd w:fill="FBF8FA"/>
          </w:tcPr>
          <w:p>
            <w:r>
              <w:rPr>
                <w:rFonts w:ascii="Book Antiqua" w:hAnsi="Book Antiqua"/>
                <w:sz w:val="19"/>
              </w:rPr>
              <w:t>73.6% faster</w:t>
            </w:r>
          </w:p>
        </w:tc>
      </w:tr>
      <w:tr>
        <w:trPr>
          <w:cantSplit/>
        </w:trPr>
        <w:tc>
          <w:tcPr>
            <w:tcW w:type="dxa" w:w="2880"/>
            <w:tcMar>
              <w:top w:w="120" w:type="dxa"/>
              <w:bottom w:w="120" w:type="dxa"/>
              <w:left w:w="160" w:type="dxa"/>
              <w:right w:w="160" w:type="dxa"/>
            </w:tcMar>
          </w:tcPr>
          <w:p>
            <w:r>
              <w:rPr>
                <w:rFonts w:ascii="Book Antiqua" w:hAnsi="Book Antiqua"/>
                <w:sz w:val="19"/>
              </w:rPr>
              <w:t>Visual Examination / Image Capture</w:t>
            </w:r>
          </w:p>
        </w:tc>
        <w:tc>
          <w:tcPr>
            <w:tcW w:type="dxa" w:w="1872"/>
            <w:tcMar>
              <w:top w:w="120" w:type="dxa"/>
              <w:bottom w:w="120" w:type="dxa"/>
              <w:left w:w="160" w:type="dxa"/>
              <w:right w:w="160" w:type="dxa"/>
            </w:tcMar>
          </w:tcPr>
          <w:p>
            <w:r>
              <w:rPr>
                <w:rFonts w:ascii="Book Antiqua" w:hAnsi="Book Antiqua"/>
                <w:sz w:val="19"/>
              </w:rPr>
              <w:t>325.4 sec (5.42 min)</w:t>
            </w:r>
          </w:p>
        </w:tc>
        <w:tc>
          <w:tcPr>
            <w:tcW w:type="dxa" w:w="1872"/>
            <w:tcMar>
              <w:top w:w="120" w:type="dxa"/>
              <w:bottom w:w="120" w:type="dxa"/>
              <w:left w:w="160" w:type="dxa"/>
              <w:right w:w="160" w:type="dxa"/>
            </w:tcMar>
          </w:tcPr>
          <w:p>
            <w:r>
              <w:rPr>
                <w:rFonts w:ascii="Book Antiqua" w:hAnsi="Book Antiqua"/>
                <w:sz w:val="19"/>
              </w:rPr>
              <w:t>142.1 sec (2.37 min)</w:t>
            </w:r>
          </w:p>
        </w:tc>
        <w:tc>
          <w:tcPr>
            <w:tcW w:type="dxa" w:w="2016"/>
            <w:tcMar>
              <w:top w:w="120" w:type="dxa"/>
              <w:bottom w:w="120" w:type="dxa"/>
              <w:left w:w="160" w:type="dxa"/>
              <w:right w:w="160" w:type="dxa"/>
            </w:tcMar>
          </w:tcPr>
          <w:p>
            <w:r>
              <w:rPr>
                <w:rFonts w:ascii="Book Antiqua" w:hAnsi="Book Antiqua"/>
                <w:sz w:val="19"/>
              </w:rPr>
              <w:t>-183.3 sec</w:t>
            </w:r>
          </w:p>
        </w:tc>
        <w:tc>
          <w:tcPr>
            <w:tcW w:type="dxa" w:w="1872"/>
            <w:tcMar>
              <w:top w:w="120" w:type="dxa"/>
              <w:bottom w:w="120" w:type="dxa"/>
              <w:left w:w="160" w:type="dxa"/>
              <w:right w:w="160" w:type="dxa"/>
            </w:tcMar>
          </w:tcPr>
          <w:p>
            <w:r>
              <w:rPr>
                <w:rFonts w:ascii="Book Antiqua" w:hAnsi="Book Antiqua"/>
                <w:sz w:val="19"/>
              </w:rPr>
              <w:t>56.3% faster</w:t>
            </w:r>
          </w:p>
        </w:tc>
      </w:tr>
      <w:tr>
        <w:trPr>
          <w:cantSplit/>
        </w:trPr>
        <w:tc>
          <w:tcPr>
            <w:tcW w:type="dxa" w:w="2880"/>
            <w:tcMar>
              <w:top w:w="120" w:type="dxa"/>
              <w:bottom w:w="120" w:type="dxa"/>
              <w:left w:w="160" w:type="dxa"/>
              <w:right w:w="160" w:type="dxa"/>
            </w:tcMar>
            <w:shd w:fill="FBF8FA"/>
          </w:tcPr>
          <w:p>
            <w:r>
              <w:rPr>
                <w:rFonts w:ascii="Book Antiqua" w:hAnsi="Book Antiqua"/>
                <w:sz w:val="19"/>
              </w:rPr>
              <w:t>AI Detection &amp; Risk Classification</w:t>
            </w:r>
          </w:p>
        </w:tc>
        <w:tc>
          <w:tcPr>
            <w:tcW w:type="dxa" w:w="1872"/>
            <w:tcMar>
              <w:top w:w="120" w:type="dxa"/>
              <w:bottom w:w="120" w:type="dxa"/>
              <w:left w:w="160" w:type="dxa"/>
              <w:right w:w="160" w:type="dxa"/>
            </w:tcMar>
            <w:shd w:fill="FBF8FA"/>
          </w:tcPr>
          <w:p>
            <w:r>
              <w:rPr>
                <w:rFonts w:ascii="Book Antiqua" w:hAnsi="Book Antiqua"/>
                <w:sz w:val="19"/>
              </w:rPr>
              <w:t>N/A (Manual appraisal)</w:t>
            </w:r>
          </w:p>
        </w:tc>
        <w:tc>
          <w:tcPr>
            <w:tcW w:type="dxa" w:w="1872"/>
            <w:tcMar>
              <w:top w:w="120" w:type="dxa"/>
              <w:bottom w:w="120" w:type="dxa"/>
              <w:left w:w="160" w:type="dxa"/>
              <w:right w:w="160" w:type="dxa"/>
            </w:tcMar>
            <w:shd w:fill="FBF8FA"/>
          </w:tcPr>
          <w:p>
            <w:r>
              <w:rPr>
                <w:rFonts w:ascii="Book Antiqua" w:hAnsi="Book Antiqua"/>
                <w:sz w:val="19"/>
              </w:rPr>
              <w:t>4.8 sec (0.08 min)</w:t>
            </w:r>
          </w:p>
        </w:tc>
        <w:tc>
          <w:tcPr>
            <w:tcW w:type="dxa" w:w="2016"/>
            <w:tcMar>
              <w:top w:w="120" w:type="dxa"/>
              <w:bottom w:w="120" w:type="dxa"/>
              <w:left w:w="160" w:type="dxa"/>
              <w:right w:w="160" w:type="dxa"/>
            </w:tcMar>
            <w:shd w:fill="FBF8FA"/>
          </w:tcPr>
          <w:p>
            <w:r>
              <w:rPr>
                <w:rFonts w:ascii="Book Antiqua" w:hAnsi="Book Antiqua"/>
                <w:sz w:val="19"/>
              </w:rPr>
              <w:t>+4.8 sec</w:t>
            </w:r>
          </w:p>
        </w:tc>
        <w:tc>
          <w:tcPr>
            <w:tcW w:type="dxa" w:w="1872"/>
            <w:tcMar>
              <w:top w:w="120" w:type="dxa"/>
              <w:bottom w:w="120" w:type="dxa"/>
              <w:left w:w="160" w:type="dxa"/>
              <w:right w:w="160" w:type="dxa"/>
            </w:tcMar>
            <w:shd w:fill="FBF8FA"/>
          </w:tcPr>
          <w:p>
            <w:r>
              <w:rPr>
                <w:rFonts w:ascii="Book Antiqua" w:hAnsi="Book Antiqua"/>
                <w:sz w:val="19"/>
              </w:rPr>
              <w:t>Automated inference</w:t>
            </w:r>
          </w:p>
        </w:tc>
      </w:tr>
      <w:tr>
        <w:trPr>
          <w:cantSplit/>
        </w:trPr>
        <w:tc>
          <w:tcPr>
            <w:tcW w:type="dxa" w:w="2880"/>
            <w:tcMar>
              <w:top w:w="120" w:type="dxa"/>
              <w:bottom w:w="120" w:type="dxa"/>
              <w:left w:w="160" w:type="dxa"/>
              <w:right w:w="160" w:type="dxa"/>
            </w:tcMar>
          </w:tcPr>
          <w:p>
            <w:r>
              <w:rPr>
                <w:rFonts w:ascii="Book Antiqua" w:hAnsi="Book Antiqua"/>
                <w:sz w:val="19"/>
              </w:rPr>
              <w:t>Clinical Documentation &amp; Notes</w:t>
            </w:r>
          </w:p>
        </w:tc>
        <w:tc>
          <w:tcPr>
            <w:tcW w:type="dxa" w:w="1872"/>
            <w:tcMar>
              <w:top w:w="120" w:type="dxa"/>
              <w:bottom w:w="120" w:type="dxa"/>
              <w:left w:w="160" w:type="dxa"/>
              <w:right w:w="160" w:type="dxa"/>
            </w:tcMar>
          </w:tcPr>
          <w:p>
            <w:r>
              <w:rPr>
                <w:rFonts w:ascii="Book Antiqua" w:hAnsi="Book Antiqua"/>
                <w:sz w:val="19"/>
              </w:rPr>
              <w:t>278.6 sec (4.64 min)</w:t>
            </w:r>
          </w:p>
        </w:tc>
        <w:tc>
          <w:tcPr>
            <w:tcW w:type="dxa" w:w="1872"/>
            <w:tcMar>
              <w:top w:w="120" w:type="dxa"/>
              <w:bottom w:w="120" w:type="dxa"/>
              <w:left w:w="160" w:type="dxa"/>
              <w:right w:w="160" w:type="dxa"/>
            </w:tcMar>
          </w:tcPr>
          <w:p>
            <w:r>
              <w:rPr>
                <w:rFonts w:ascii="Book Antiqua" w:hAnsi="Book Antiqua"/>
                <w:sz w:val="19"/>
              </w:rPr>
              <w:t>62.4 sec (1.04 min)</w:t>
            </w:r>
          </w:p>
        </w:tc>
        <w:tc>
          <w:tcPr>
            <w:tcW w:type="dxa" w:w="2016"/>
            <w:tcMar>
              <w:top w:w="120" w:type="dxa"/>
              <w:bottom w:w="120" w:type="dxa"/>
              <w:left w:w="160" w:type="dxa"/>
              <w:right w:w="160" w:type="dxa"/>
            </w:tcMar>
          </w:tcPr>
          <w:p>
            <w:r>
              <w:rPr>
                <w:rFonts w:ascii="Book Antiqua" w:hAnsi="Book Antiqua"/>
                <w:sz w:val="19"/>
              </w:rPr>
              <w:t>-216.2 sec</w:t>
            </w:r>
          </w:p>
        </w:tc>
        <w:tc>
          <w:tcPr>
            <w:tcW w:type="dxa" w:w="1872"/>
            <w:tcMar>
              <w:top w:w="120" w:type="dxa"/>
              <w:bottom w:w="120" w:type="dxa"/>
              <w:left w:w="160" w:type="dxa"/>
              <w:right w:w="160" w:type="dxa"/>
            </w:tcMar>
          </w:tcPr>
          <w:p>
            <w:r>
              <w:rPr>
                <w:rFonts w:ascii="Book Antiqua" w:hAnsi="Book Antiqua"/>
                <w:sz w:val="19"/>
              </w:rPr>
              <w:t>77.6% faster</w:t>
            </w:r>
          </w:p>
        </w:tc>
      </w:tr>
      <w:tr>
        <w:trPr>
          <w:cantSplit/>
        </w:trPr>
        <w:tc>
          <w:tcPr>
            <w:tcW w:type="dxa" w:w="2880"/>
            <w:tcMar>
              <w:top w:w="120" w:type="dxa"/>
              <w:bottom w:w="120" w:type="dxa"/>
              <w:left w:w="160" w:type="dxa"/>
              <w:right w:w="160" w:type="dxa"/>
            </w:tcMar>
            <w:shd w:fill="FBF8FA"/>
          </w:tcPr>
          <w:p>
            <w:r>
              <w:rPr>
                <w:rFonts w:ascii="Book Antiqua" w:hAnsi="Book Antiqua"/>
                <w:sz w:val="19"/>
              </w:rPr>
              <w:t>Patient Education &amp; Report Delivery</w:t>
            </w:r>
          </w:p>
        </w:tc>
        <w:tc>
          <w:tcPr>
            <w:tcW w:type="dxa" w:w="1872"/>
            <w:tcMar>
              <w:top w:w="120" w:type="dxa"/>
              <w:bottom w:w="120" w:type="dxa"/>
              <w:left w:w="160" w:type="dxa"/>
              <w:right w:w="160" w:type="dxa"/>
            </w:tcMar>
            <w:shd w:fill="FBF8FA"/>
          </w:tcPr>
          <w:p>
            <w:r>
              <w:rPr>
                <w:rFonts w:ascii="Book Antiqua" w:hAnsi="Book Antiqua"/>
                <w:sz w:val="19"/>
              </w:rPr>
              <w:t>246.8 sec (4.11 min)</w:t>
            </w:r>
          </w:p>
        </w:tc>
        <w:tc>
          <w:tcPr>
            <w:tcW w:type="dxa" w:w="1872"/>
            <w:tcMar>
              <w:top w:w="120" w:type="dxa"/>
              <w:bottom w:w="120" w:type="dxa"/>
              <w:left w:w="160" w:type="dxa"/>
              <w:right w:w="160" w:type="dxa"/>
            </w:tcMar>
            <w:shd w:fill="FBF8FA"/>
          </w:tcPr>
          <w:p>
            <w:r>
              <w:rPr>
                <w:rFonts w:ascii="Book Antiqua" w:hAnsi="Book Antiqua"/>
                <w:sz w:val="19"/>
              </w:rPr>
              <w:t>98.5 sec (1.64 min)</w:t>
            </w:r>
          </w:p>
        </w:tc>
        <w:tc>
          <w:tcPr>
            <w:tcW w:type="dxa" w:w="2016"/>
            <w:tcMar>
              <w:top w:w="120" w:type="dxa"/>
              <w:bottom w:w="120" w:type="dxa"/>
              <w:left w:w="160" w:type="dxa"/>
              <w:right w:w="160" w:type="dxa"/>
            </w:tcMar>
            <w:shd w:fill="FBF8FA"/>
          </w:tcPr>
          <w:p>
            <w:r>
              <w:rPr>
                <w:rFonts w:ascii="Book Antiqua" w:hAnsi="Book Antiqua"/>
                <w:sz w:val="19"/>
              </w:rPr>
              <w:t>-148.3 sec</w:t>
            </w:r>
          </w:p>
        </w:tc>
        <w:tc>
          <w:tcPr>
            <w:tcW w:type="dxa" w:w="1872"/>
            <w:tcMar>
              <w:top w:w="120" w:type="dxa"/>
              <w:bottom w:w="120" w:type="dxa"/>
              <w:left w:w="160" w:type="dxa"/>
              <w:right w:w="160" w:type="dxa"/>
            </w:tcMar>
            <w:shd w:fill="FBF8FA"/>
          </w:tcPr>
          <w:p>
            <w:r>
              <w:rPr>
                <w:rFonts w:ascii="Book Antiqua" w:hAnsi="Book Antiqua"/>
                <w:sz w:val="19"/>
              </w:rPr>
              <w:t>60.1% faster</w:t>
            </w:r>
          </w:p>
        </w:tc>
      </w:tr>
      <w:tr>
        <w:trPr>
          <w:cantSplit/>
        </w:trPr>
        <w:tc>
          <w:tcPr>
            <w:tcW w:type="dxa" w:w="2880"/>
            <w:tcMar>
              <w:top w:w="120" w:type="dxa"/>
              <w:bottom w:w="120" w:type="dxa"/>
              <w:left w:w="160" w:type="dxa"/>
              <w:right w:w="160" w:type="dxa"/>
            </w:tcMar>
          </w:tcPr>
          <w:p>
            <w:r>
              <w:rPr>
                <w:rFonts w:ascii="Book Antiqua" w:hAnsi="Book Antiqua"/>
                <w:sz w:val="19"/>
              </w:rPr>
              <w:t>Total Consultation Cycle Time</w:t>
            </w:r>
          </w:p>
        </w:tc>
        <w:tc>
          <w:tcPr>
            <w:tcW w:type="dxa" w:w="1872"/>
            <w:tcMar>
              <w:top w:w="120" w:type="dxa"/>
              <w:bottom w:w="120" w:type="dxa"/>
              <w:left w:w="160" w:type="dxa"/>
              <w:right w:w="160" w:type="dxa"/>
            </w:tcMar>
          </w:tcPr>
          <w:p>
            <w:r>
              <w:rPr>
                <w:rFonts w:ascii="Book Antiqua" w:hAnsi="Book Antiqua"/>
                <w:sz w:val="19"/>
              </w:rPr>
              <w:t>1,035.0 sec (17.25 min)</w:t>
            </w:r>
          </w:p>
        </w:tc>
        <w:tc>
          <w:tcPr>
            <w:tcW w:type="dxa" w:w="1872"/>
            <w:tcMar>
              <w:top w:w="120" w:type="dxa"/>
              <w:bottom w:w="120" w:type="dxa"/>
              <w:left w:w="160" w:type="dxa"/>
              <w:right w:w="160" w:type="dxa"/>
            </w:tcMar>
          </w:tcPr>
          <w:p>
            <w:r>
              <w:rPr>
                <w:rFonts w:ascii="Book Antiqua" w:hAnsi="Book Antiqua"/>
                <w:sz w:val="19"/>
              </w:rPr>
              <w:t>356.4 sec (5.94 min)</w:t>
            </w:r>
          </w:p>
        </w:tc>
        <w:tc>
          <w:tcPr>
            <w:tcW w:type="dxa" w:w="2016"/>
            <w:tcMar>
              <w:top w:w="120" w:type="dxa"/>
              <w:bottom w:w="120" w:type="dxa"/>
              <w:left w:w="160" w:type="dxa"/>
              <w:right w:w="160" w:type="dxa"/>
            </w:tcMar>
          </w:tcPr>
          <w:p>
            <w:r>
              <w:rPr>
                <w:rFonts w:ascii="Book Antiqua" w:hAnsi="Book Antiqua"/>
                <w:sz w:val="19"/>
              </w:rPr>
              <w:t>-678.6 sec (11.31 min)</w:t>
            </w:r>
          </w:p>
        </w:tc>
        <w:tc>
          <w:tcPr>
            <w:tcW w:type="dxa" w:w="1872"/>
            <w:tcMar>
              <w:top w:w="120" w:type="dxa"/>
              <w:bottom w:w="120" w:type="dxa"/>
              <w:left w:w="160" w:type="dxa"/>
              <w:right w:w="160" w:type="dxa"/>
            </w:tcMar>
          </w:tcPr>
          <w:p>
            <w:r>
              <w:rPr>
                <w:rFonts w:ascii="Book Antiqua" w:hAnsi="Book Antiqua"/>
                <w:sz w:val="19"/>
              </w:rPr>
              <w:t>65.6% overall reduction</w:t>
            </w:r>
          </w:p>
        </w:tc>
      </w:tr>
      <w:tr>
        <w:trPr>
          <w:cantSplit/>
        </w:trPr>
        <w:tc>
          <w:tcPr>
            <w:tcW w:type="dxa" w:w="2880"/>
            <w:tcMar>
              <w:top w:w="120" w:type="dxa"/>
              <w:bottom w:w="120" w:type="dxa"/>
              <w:left w:w="160" w:type="dxa"/>
              <w:right w:w="160" w:type="dxa"/>
            </w:tcMar>
            <w:shd w:fill="FBF8FA"/>
          </w:tcPr>
          <w:p>
            <w:r>
              <w:rPr>
                <w:rFonts w:ascii="Book Antiqua" w:hAnsi="Book Antiqua"/>
                <w:sz w:val="19"/>
              </w:rPr>
              <w:t>Inter-Examiner Diagnostic Agreement (Kappa)</w:t>
            </w:r>
          </w:p>
        </w:tc>
        <w:tc>
          <w:tcPr>
            <w:tcW w:type="dxa" w:w="1872"/>
            <w:tcMar>
              <w:top w:w="120" w:type="dxa"/>
              <w:bottom w:w="120" w:type="dxa"/>
              <w:left w:w="160" w:type="dxa"/>
              <w:right w:w="160" w:type="dxa"/>
            </w:tcMar>
            <w:shd w:fill="FBF8FA"/>
          </w:tcPr>
          <w:p>
            <w:r>
              <w:rPr>
                <w:rFonts w:ascii="Book Antiqua" w:hAnsi="Book Antiqua"/>
                <w:sz w:val="19"/>
              </w:rPr>
              <w:t>0.64 (Moderate agreement)</w:t>
            </w:r>
          </w:p>
        </w:tc>
        <w:tc>
          <w:tcPr>
            <w:tcW w:type="dxa" w:w="1872"/>
            <w:tcMar>
              <w:top w:w="120" w:type="dxa"/>
              <w:bottom w:w="120" w:type="dxa"/>
              <w:left w:w="160" w:type="dxa"/>
              <w:right w:w="160" w:type="dxa"/>
            </w:tcMar>
            <w:shd w:fill="FBF8FA"/>
          </w:tcPr>
          <w:p>
            <w:r>
              <w:rPr>
                <w:rFonts w:ascii="Book Antiqua" w:hAnsi="Book Antiqua"/>
                <w:sz w:val="19"/>
              </w:rPr>
              <w:t>0.91 (Almost perfect agreement)</w:t>
            </w:r>
          </w:p>
        </w:tc>
        <w:tc>
          <w:tcPr>
            <w:tcW w:type="dxa" w:w="2016"/>
            <w:tcMar>
              <w:top w:w="120" w:type="dxa"/>
              <w:bottom w:w="120" w:type="dxa"/>
              <w:left w:w="160" w:type="dxa"/>
              <w:right w:w="160" w:type="dxa"/>
            </w:tcMar>
            <w:shd w:fill="FBF8FA"/>
          </w:tcPr>
          <w:p>
            <w:r>
              <w:rPr>
                <w:rFonts w:ascii="Book Antiqua" w:hAnsi="Book Antiqua"/>
                <w:sz w:val="19"/>
              </w:rPr>
              <w:t>+0.27 Kappa</w:t>
            </w:r>
          </w:p>
        </w:tc>
        <w:tc>
          <w:tcPr>
            <w:tcW w:type="dxa" w:w="1872"/>
            <w:tcMar>
              <w:top w:w="120" w:type="dxa"/>
              <w:bottom w:w="120" w:type="dxa"/>
              <w:left w:w="160" w:type="dxa"/>
              <w:right w:w="160" w:type="dxa"/>
            </w:tcMar>
            <w:shd w:fill="FBF8FA"/>
          </w:tcPr>
          <w:p>
            <w:r>
              <w:rPr>
                <w:rFonts w:ascii="Book Antiqua" w:hAnsi="Book Antiqua"/>
                <w:sz w:val="19"/>
              </w:rPr>
              <w:t>42.2% consistency gain</w:t>
            </w:r>
          </w:p>
        </w:tc>
      </w:tr>
    </w:tbl>
    <w:p>
      <w:r>
        <w:rPr>
          <w:b w:val="0"/>
          <w:i w:val="0"/>
        </w:rPr>
      </w:r>
    </w:p>
    <w:p>
      <w:r>
        <w:rPr>
          <w:b w:val="0"/>
          <w:i w:val="0"/>
        </w:rPr>
        <w:t>The comparative evaluation proves that Toothwise reduced the mean screening and documentation duration from 17.25 minutes to 5.94 minutes per encounter, achieving a statistically significant 65.6% reduction in operational cycle time. Concurrently, inter-examiner diagnostic consistency measured via Cohen's Kappa coefficient advanced from 0.64 (moderate consistency under manual examination) to 0.91 (almost perfect consistency), demonstrating that the automated bounding-box localization effectively standardizes clinical screening outcomes.</w:t>
      </w:r>
    </w:p>
    <w:p>
      <w:pPr>
        <w:pStyle w:val="Heading1"/>
      </w:pPr>
      <w:r>
        <w:t>CHAPTER V: SUMMARY, CONCLUSIONS, AND RECOMMENDATIONS</w:t>
      </w:r>
    </w:p>
    <w:p>
      <w:r>
        <w:rPr>
          <w:b w:val="0"/>
          <w:i w:val="0"/>
        </w:rPr>
        <w:t>This concluding chapter consolidates the developmental outcomes and empirical findings of the study, synthesizes definitive conclusions corresponding to the five research questions, and outlines actionable recommendations for the technical advancement and institutional scaling of Toothwise.</w:t>
      </w:r>
    </w:p>
    <w:p>
      <w:pPr>
        <w:pStyle w:val="Heading2"/>
      </w:pPr>
      <w:r>
        <w:t>5.1 Summary of Findings</w:t>
      </w:r>
    </w:p>
    <w:p>
      <w:r>
        <w:rPr>
          <w:b w:val="0"/>
          <w:i w:val="0"/>
        </w:rPr>
        <w:t>The primary findings of the capstone project are summarized in direct relation to the specific objectives:</w:t>
      </w:r>
    </w:p>
    <w:p>
      <w:pPr>
        <w:pStyle w:val="ListBullet"/>
      </w:pPr>
      <w:r>
        <w:t>Diagnostic Augmentation (SOP 1): The YOLOv12 and YOLOv8 object detection ensemble overcame the sensitivity limitations of conventional visual screening, boosting overall condition detection from 74.2% to 94.3%. Early plaque detection improved by 29.8% and cavity detection reached 95.6% accuracy.</w:t>
      </w:r>
    </w:p>
    <w:p>
      <w:pPr>
        <w:pStyle w:val="ListBullet"/>
      </w:pPr>
      <w:r>
        <w:t>Digital Documentation Architecture (SOP 2): Toothwise eliminated paper-based chart retrieval bottlenecks, cutting access time by 94.8% and establishing a secure, authenticated patient portal enabling patients 24/7 access to their screening history, photographic records, and risk assessments.</w:t>
      </w:r>
    </w:p>
    <w:p>
      <w:pPr>
        <w:pStyle w:val="ListBullet"/>
      </w:pPr>
      <w:r>
        <w:t>Automated Preventive Guidance (SOP 3): The K-Nearest Neighbors (K=5) recommendation module successfully eliminated generic verbal advice by generating condition-specific, prioritized oral care plans mapped against verified clinical risk scores.</w:t>
      </w:r>
    </w:p>
    <w:p>
      <w:pPr>
        <w:pStyle w:val="ListBullet"/>
      </w:pPr>
      <w:r>
        <w:t>Software Quality Acceptability (SOP 4): Formal evaluation across 100 respondents (30 IT experts and 70 clinical users) yielded an overall weighted mean of 4.68 out of 5.00 (SD = 0.38), corresponding to 'Strongly Agree / Highly Acceptable' across all ISO/IEC 25010 characteristics.</w:t>
      </w:r>
    </w:p>
    <w:p>
      <w:pPr>
        <w:pStyle w:val="ListBullet"/>
      </w:pPr>
      <w:r>
        <w:t>Operational Efficiency and Consistency (SOP 5): The clinical validation trial proved that Toothwise reduced total patient consultation time from 17.25 minutes to 5.94 minutes (a 65.6% operational efficiency gain) while raising diagnostic consistency from Kappa = 0.64 to Kappa = 0.91.</w:t>
      </w:r>
    </w:p>
    <w:p>
      <w:pPr>
        <w:pStyle w:val="Heading2"/>
      </w:pPr>
      <w:r>
        <w:t>5.2 Conclusions</w:t>
      </w:r>
    </w:p>
    <w:p>
      <w:r>
        <w:rPr>
          <w:b w:val="0"/>
          <w:i w:val="0"/>
        </w:rPr>
        <w:t>Based on the comprehensive findings, the following conclusions are affirmed:</w:t>
      </w:r>
    </w:p>
    <w:p>
      <w:pPr>
        <w:pStyle w:val="ListNumber"/>
      </w:pPr>
      <w:r>
        <w:t>Visual-only dental examination exhibits systematic diagnostic omissions in detecting initial, non-cavitated enamel demineralization, early plaque biofilms, and mild marginal gingivitis. The deployment of attention-centric deep learning models (YOLOv12) provides vital clinical decision support that significantly reduces missed early pathologies.</w:t>
      </w:r>
    </w:p>
    <w:p>
      <w:pPr>
        <w:pStyle w:val="ListNumber"/>
      </w:pPr>
      <w:r>
        <w:t>The lack of standardized visual records in traditional clinics severely impedes patient engagement and longitudinal monitoring. Providing patients with digital access to photographic bounding-box findings bridges the clinical communication gap and fosters proactive health compliance.</w:t>
      </w:r>
    </w:p>
    <w:p>
      <w:pPr>
        <w:pStyle w:val="ListNumber"/>
      </w:pPr>
      <w:r>
        <w:t>Condition-specific preventive guidance can be systematically automated through machine learning classification without encumbering clinical consult schedules, ensuring every patient receives tailored preventive regimens.</w:t>
      </w:r>
    </w:p>
    <w:p>
      <w:pPr>
        <w:pStyle w:val="ListNumber"/>
      </w:pPr>
      <w:r>
        <w:t>Toothwise satisfies the stringent software quality requirements defined by the ISO/IEC 25010 standard, demonstrating technical robustness, high performance efficiency, stringent data privacy controls, and superior interface usability.</w:t>
      </w:r>
    </w:p>
    <w:p>
      <w:pPr>
        <w:pStyle w:val="ListNumber"/>
      </w:pPr>
      <w:r>
        <w:t>Integrating AI-assisted screening into clinical dental operatory workflows effectively standardizes diagnostic rigor across different examiners while delivering major time savings that increase daily clinic patient throughput.</w:t>
      </w:r>
    </w:p>
    <w:p>
      <w:pPr>
        <w:pStyle w:val="Heading2"/>
      </w:pPr>
      <w:r>
        <w:t>5.3 Recommendations</w:t>
      </w:r>
    </w:p>
    <w:p>
      <w:r>
        <w:rPr>
          <w:b w:val="0"/>
          <w:i w:val="0"/>
        </w:rPr>
        <w:t>In light of the operational conclusions, the following recommendations are advanced for practical implementation and future scholarly inquiry:</w:t>
      </w:r>
    </w:p>
    <w:p>
      <w:r>
        <w:rPr>
          <w:b/>
          <w:i w:val="0"/>
        </w:rPr>
        <w:t>1. Recommendations for CodiSmile Dental Clinic:</w:t>
      </w:r>
    </w:p>
    <w:p>
      <w:pPr>
        <w:pStyle w:val="ListBullet"/>
      </w:pPr>
      <w:r>
        <w:t>Institutional Workflow Adoption: Formalize Toothwise as the standard intake screening protocol for all new and returning outpatient visits to establish digital baseline visual records.</w:t>
      </w:r>
    </w:p>
    <w:p>
      <w:pPr>
        <w:pStyle w:val="ListBullet"/>
      </w:pPr>
      <w:r>
        <w:t>Hardware Integration: Equip clinical operatory chairs with dedicated USB/Wi-Fi intraoral dental cameras with integrated LED illumination to maintain consistent photographic quality.</w:t>
      </w:r>
    </w:p>
    <w:p>
      <w:pPr>
        <w:pStyle w:val="ListBullet"/>
      </w:pPr>
      <w:r>
        <w:t>Patient Portal Promotion: Encourage patient onboarding to the self-service web portal at checkout to maximize engagement with homecare prevention plans.</w:t>
      </w:r>
    </w:p>
    <w:p>
      <w:r>
        <w:rPr>
          <w:b/>
          <w:i w:val="0"/>
        </w:rPr>
        <w:t>2. Recommendations for Future Technical Enhancements:</w:t>
      </w:r>
    </w:p>
    <w:p>
      <w:pPr>
        <w:pStyle w:val="ListBullet"/>
      </w:pPr>
      <w:r>
        <w:t>Dataset Expansion and Multi-Center Training: Expand the underlying training corpus to incorporate diverse patient demographics, varying illumination conditions, and additional oral pathologies such as dental fluorosis, attrition, and periapical lesions.</w:t>
      </w:r>
    </w:p>
    <w:p>
      <w:pPr>
        <w:pStyle w:val="ListBullet"/>
      </w:pPr>
      <w:r>
        <w:t>Hybrid Cloud and Edge Deployment: Develop a synchronized hybrid deployment architecture allowing local offline operatory caching while aggregating encrypted clinical analytics to cloud infrastructure.</w:t>
      </w:r>
    </w:p>
    <w:p>
      <w:pPr>
        <w:pStyle w:val="ListBullet"/>
      </w:pPr>
      <w:r>
        <w:t>Mobile Application Development: Develop cross-platform mobile applications (Android/iOS) enabling patients to receive preventive notifications, schedule follow-ups, and track tooth brushing habits.</w:t>
      </w:r>
    </w:p>
    <w:p>
      <w:pPr>
        <w:pStyle w:val="ListBullet"/>
      </w:pPr>
      <w:r>
        <w:t>Dental Electronic Medical Record (EMR) Interoperability: Implement HL7/FHIR compliance standards to facilitate seamless bidirectional integration with regional hospital information systems and dental practice management platforms.</w:t>
      </w:r>
    </w:p>
    <w:sectPr w:rsidR="00FC693F" w:rsidRPr="0006063C" w:rsidSect="00034616">
      <w:footerReference w:type="default" r:id="rId9"/>
      <w:pgSz w:w="12240" w:h="15840"/>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Book Antiqua" w:hAnsi="Book Antiqua" w:eastAsia="Book Antiqua" w:cs="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ahoma" w:hAnsi="Tahoma" w:eastAsia="Tahoma" w:cs="Tahoma"/>
      <w:b/>
      <w:bCs/>
      <w:color w:val="5C2D4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Book Antiqua" w:hAnsi="Book Antiqua" w:eastAsia="Book Antiqua" w:cs="Book Antiqua"/>
      <w:b/>
      <w:bCs/>
      <w:color w:val="5C2D4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Book Antiqua" w:hAnsi="Book Antiqua" w:eastAsia="Book Antiqua" w:cs="Book Antiqua"/>
      <w:b/>
      <w:bCs/>
      <w:color w:val="5C2D4E"/>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Book Antiqua" w:hAnsi="Book Antiqua" w:eastAsia="Book Antiqua" w:cs="Book Antiqua"/>
      <w:b/>
      <w:bCs/>
      <w:i/>
      <w:iCs/>
      <w:color w:val="5C2D4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