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TOOTHWISE: A YOLO-BASED MULTI-CONDITION DENTAL SCREENING SYSTEM WITH KNN-BASED RECOMMENDATION FOR CODISMILE DENTAL CLINIC</w:t>
      </w:r>
    </w:p>
    <w:p>
      <w:pPr>
        <w:jc w:val="center"/>
      </w:pPr>
      <w:r>
        <w:rPr>
          <w:b/>
          <w:i w:val="0"/>
          <w:sz w:val="22"/>
        </w:rPr>
        <w:t>Appendix A: Software Quality Evaluation Instrument (ISO/IEC 25010) &amp; 100-Respondent Survey Guide</w:t>
      </w:r>
    </w:p>
    <w:p>
      <w:pPr>
        <w:jc w:val="center"/>
      </w:pPr>
      <w:r>
        <w:rPr>
          <w:b w:val="0"/>
          <w:i/>
          <w:sz w:val="21"/>
        </w:rPr>
        <w:t>College of Computing Studies — Universidad de Manila</w:t>
      </w:r>
    </w:p>
    <w:p/>
    <w:p>
      <w:pPr>
        <w:pStyle w:val="Heading1"/>
      </w:pPr>
      <w:r>
        <w:t>PART I: RESEARCH EVALUATION INSTRUMENT</w:t>
      </w:r>
    </w:p>
    <w:p>
      <w:r>
        <w:rPr>
          <w:b w:val="0"/>
          <w:i w:val="0"/>
        </w:rPr>
        <w:t>Dear Respondent,</w:t>
        <w:br/>
        <w:br/>
        <w:t>You are invited to evaluate Toothwise, an AI-assisted dental screening system developed for CodiSmile Dental Clinic. This evaluation instrument is designed in accordance with the ISO/IEC 25010 Software Product Quality Model to measure the system's quality and acceptability across key software engineering dimensions. Your objective feedback will provide critical empirical data for Capstone Project documentation at Universidad de Manila.</w:t>
      </w:r>
    </w:p>
    <w:p>
      <w:pPr>
        <w:pStyle w:val="Heading2"/>
      </w:pPr>
      <w:r>
        <w:t>Section A: Respondent Demographic Profile</w:t>
      </w:r>
    </w:p>
    <w:p>
      <w:r>
        <w:rPr>
          <w:b w:val="0"/>
          <w:i w:val="0"/>
        </w:rPr>
        <w:t>Instructions: Please indicate your respondent profile by selecting the appropriate category.</w:t>
      </w:r>
    </w:p>
    <w:p>
      <w:pPr>
        <w:pStyle w:val="ListBullet"/>
      </w:pPr>
      <w:r>
        <w:t>Target Stakeholder Group: [  ] IT Expert / Software Specialist (n=30)      [  ] Clinical End-User / Dentist / Staff / Patient (n=70)</w:t>
      </w:r>
    </w:p>
    <w:p>
      <w:pPr>
        <w:pStyle w:val="ListBullet"/>
      </w:pPr>
      <w:r>
        <w:t>Specific Role: [  ] Licensed Dentist    [  ] Dental Assistant / Staff    [  ] Clinic Patient    [  ] Software Engineer / Developer    [  ] Systems Analyst / QA    [  ] IT Faculty / Academic</w:t>
      </w:r>
    </w:p>
    <w:p>
      <w:pPr>
        <w:pStyle w:val="ListBullet"/>
      </w:pPr>
      <w:r>
        <w:t>Age Bracket: [  ] 18–25    [  ] 26–35    [  ] 36–45    [  ] 46–55    [  ] 56 and above</w:t>
      </w:r>
    </w:p>
    <w:p>
      <w:pPr>
        <w:pStyle w:val="ListBullet"/>
      </w:pPr>
      <w:r>
        <w:t>Gender: [  ] Male    [  ] Female    [  ] Prefer not to say</w:t>
      </w:r>
    </w:p>
    <w:p>
      <w:pPr>
        <w:pStyle w:val="ListBullet"/>
      </w:pPr>
      <w:r>
        <w:t>Experience with Digital Healthcare / IT Systems: [  ] Less than 1 year    [  ] 1–3 years    [  ] 4–7 years    [  ] 8 years or more</w:t>
      </w:r>
    </w:p>
    <w:p>
      <w:pPr>
        <w:pStyle w:val="Heading2"/>
      </w:pPr>
      <w:r>
        <w:t>Section B: Evaluation Criteria and Likert Rating Scale</w:t>
      </w:r>
    </w:p>
    <w:p>
      <w:r>
        <w:rPr>
          <w:b w:val="0"/>
          <w:i w:val="0"/>
        </w:rPr>
        <w:t>Please rate each statement based on your direct evaluation and interaction with the Toothwise system using the following scale:</w:t>
      </w:r>
    </w:p>
    <w:p>
      <w:pPr>
        <w:pStyle w:val="ListBullet"/>
      </w:pPr>
      <w:r>
        <w:t>5 — Strongly Agree (SA): The characteristic is fully realized with exceptional quality.</w:t>
      </w:r>
    </w:p>
    <w:p>
      <w:pPr>
        <w:pStyle w:val="ListBullet"/>
      </w:pPr>
      <w:r>
        <w:t>4 — Agree (A): The characteristic is realized satisfactorily with minor areas for enhancement.</w:t>
      </w:r>
    </w:p>
    <w:p>
      <w:pPr>
        <w:pStyle w:val="ListBullet"/>
      </w:pPr>
      <w:r>
        <w:t>3 — Neutral (N): The characteristic meets baseline expectations moderately.</w:t>
      </w:r>
    </w:p>
    <w:p>
      <w:pPr>
        <w:pStyle w:val="ListBullet"/>
      </w:pPr>
      <w:r>
        <w:t>2 — Disagree (D): The characteristic exhibits notable deficiencies.</w:t>
      </w:r>
    </w:p>
    <w:p>
      <w:pPr>
        <w:pStyle w:val="ListBullet"/>
      </w:pPr>
      <w:r>
        <w:t>1 — Strongly Disagree (SD): The characteristic is absent or fundamentally defective.</w:t>
      </w:r>
    </w:p>
    <w:p>
      <w:pPr>
        <w:pStyle w:val="Heading2"/>
      </w:pPr>
      <w:r>
        <w:t>Section C: ISO/IEC 25010 Quality Evaluation Statements</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cantSplit/>
        </w:trPr>
        <w:tc>
          <w:tcPr>
            <w:tcW w:type="dxa" w:w="864"/>
            <w:tcMar>
              <w:top w:w="120" w:type="dxa"/>
              <w:bottom w:w="120" w:type="dxa"/>
              <w:left w:w="160" w:type="dxa"/>
              <w:right w:w="160" w:type="dxa"/>
            </w:tcMar>
            <w:shd w:fill="5C2D4E"/>
          </w:tcPr>
          <w:p>
            <w:pPr>
              <w:jc w:val="center"/>
            </w:pPr>
            <w:r>
              <w:rPr>
                <w:rFonts w:ascii="Book Antiqua" w:hAnsi="Book Antiqua"/>
                <w:b/>
                <w:color w:val="FFFFFF"/>
                <w:sz w:val="19"/>
              </w:rPr>
              <w:t>Code</w:t>
            </w:r>
          </w:p>
        </w:tc>
        <w:tc>
          <w:tcPr>
            <w:tcW w:type="dxa" w:w="2016"/>
            <w:tcMar>
              <w:top w:w="120" w:type="dxa"/>
              <w:bottom w:w="120" w:type="dxa"/>
              <w:left w:w="160" w:type="dxa"/>
              <w:right w:w="160" w:type="dxa"/>
            </w:tcMar>
            <w:shd w:fill="5C2D4E"/>
          </w:tcPr>
          <w:p>
            <w:pPr>
              <w:jc w:val="center"/>
            </w:pPr>
            <w:r>
              <w:rPr>
                <w:rFonts w:ascii="Book Antiqua" w:hAnsi="Book Antiqua"/>
                <w:b/>
                <w:color w:val="FFFFFF"/>
                <w:sz w:val="19"/>
              </w:rPr>
              <w:t>Dimension</w:t>
            </w:r>
          </w:p>
        </w:tc>
        <w:tc>
          <w:tcPr>
            <w:tcW w:type="dxa" w:w="4608"/>
            <w:tcMar>
              <w:top w:w="120" w:type="dxa"/>
              <w:bottom w:w="120" w:type="dxa"/>
              <w:left w:w="160" w:type="dxa"/>
              <w:right w:w="160" w:type="dxa"/>
            </w:tcMar>
            <w:shd w:fill="5C2D4E"/>
          </w:tcPr>
          <w:p>
            <w:pPr>
              <w:jc w:val="center"/>
            </w:pPr>
            <w:r>
              <w:rPr>
                <w:rFonts w:ascii="Book Antiqua" w:hAnsi="Book Antiqua"/>
                <w:b/>
                <w:color w:val="FFFFFF"/>
                <w:sz w:val="19"/>
              </w:rPr>
              <w:t>Evaluation Statement</w:t>
            </w:r>
          </w:p>
        </w:tc>
        <w:tc>
          <w:tcPr>
            <w:tcW w:type="dxa" w:w="576"/>
            <w:tcMar>
              <w:top w:w="120" w:type="dxa"/>
              <w:bottom w:w="120" w:type="dxa"/>
              <w:left w:w="160" w:type="dxa"/>
              <w:right w:w="160" w:type="dxa"/>
            </w:tcMar>
            <w:shd w:fill="5C2D4E"/>
          </w:tcPr>
          <w:p>
            <w:pPr>
              <w:jc w:val="center"/>
            </w:pPr>
            <w:r>
              <w:rPr>
                <w:rFonts w:ascii="Book Antiqua" w:hAnsi="Book Antiqua"/>
                <w:b/>
                <w:color w:val="FFFFFF"/>
                <w:sz w:val="19"/>
              </w:rPr>
              <w:t>5</w:t>
            </w:r>
          </w:p>
        </w:tc>
        <w:tc>
          <w:tcPr>
            <w:tcW w:type="dxa" w:w="576"/>
            <w:tcMar>
              <w:top w:w="120" w:type="dxa"/>
              <w:bottom w:w="120" w:type="dxa"/>
              <w:left w:w="160" w:type="dxa"/>
              <w:right w:w="160" w:type="dxa"/>
            </w:tcMar>
            <w:shd w:fill="5C2D4E"/>
          </w:tcPr>
          <w:p>
            <w:pPr>
              <w:jc w:val="center"/>
            </w:pPr>
            <w:r>
              <w:rPr>
                <w:rFonts w:ascii="Book Antiqua" w:hAnsi="Book Antiqua"/>
                <w:b/>
                <w:color w:val="FFFFFF"/>
                <w:sz w:val="19"/>
              </w:rPr>
              <w:t>4</w:t>
            </w:r>
          </w:p>
        </w:tc>
        <w:tc>
          <w:tcPr>
            <w:tcW w:type="dxa" w:w="576"/>
            <w:tcMar>
              <w:top w:w="120" w:type="dxa"/>
              <w:bottom w:w="120" w:type="dxa"/>
              <w:left w:w="160" w:type="dxa"/>
              <w:right w:w="160" w:type="dxa"/>
            </w:tcMar>
            <w:shd w:fill="5C2D4E"/>
          </w:tcPr>
          <w:p>
            <w:pPr>
              <w:jc w:val="center"/>
            </w:pPr>
            <w:r>
              <w:rPr>
                <w:rFonts w:ascii="Book Antiqua" w:hAnsi="Book Antiqua"/>
                <w:b/>
                <w:color w:val="FFFFFF"/>
                <w:sz w:val="19"/>
              </w:rPr>
              <w:t>3</w:t>
            </w:r>
          </w:p>
        </w:tc>
        <w:tc>
          <w:tcPr>
            <w:tcW w:type="dxa" w:w="576"/>
            <w:tcMar>
              <w:top w:w="120" w:type="dxa"/>
              <w:bottom w:w="120" w:type="dxa"/>
              <w:left w:w="160" w:type="dxa"/>
              <w:right w:w="160" w:type="dxa"/>
            </w:tcMar>
            <w:shd w:fill="5C2D4E"/>
          </w:tcPr>
          <w:p>
            <w:pPr>
              <w:jc w:val="center"/>
            </w:pPr>
            <w:r>
              <w:rPr>
                <w:rFonts w:ascii="Book Antiqua" w:hAnsi="Book Antiqua"/>
                <w:b/>
                <w:color w:val="FFFFFF"/>
                <w:sz w:val="19"/>
              </w:rPr>
              <w:t>2</w:t>
            </w:r>
          </w:p>
        </w:tc>
        <w:tc>
          <w:tcPr>
            <w:tcW w:type="dxa" w:w="576"/>
            <w:tcMar>
              <w:top w:w="120" w:type="dxa"/>
              <w:bottom w:w="120" w:type="dxa"/>
              <w:left w:w="160" w:type="dxa"/>
              <w:right w:w="160" w:type="dxa"/>
            </w:tcMar>
            <w:shd w:fill="5C2D4E"/>
          </w:tcPr>
          <w:p>
            <w:pPr>
              <w:jc w:val="center"/>
            </w:pPr>
            <w:r>
              <w:rPr>
                <w:rFonts w:ascii="Book Antiqua" w:hAnsi="Book Antiqua"/>
                <w:b/>
                <w:color w:val="FFFFFF"/>
                <w:sz w:val="19"/>
              </w:rPr>
              <w:t>1</w:t>
            </w:r>
          </w:p>
        </w:tc>
      </w:tr>
      <w:tr>
        <w:trPr>
          <w:cantSplit/>
        </w:trPr>
        <w:tc>
          <w:tcPr>
            <w:tcW w:type="dxa" w:w="864"/>
            <w:tcMar>
              <w:top w:w="120" w:type="dxa"/>
              <w:bottom w:w="120" w:type="dxa"/>
              <w:left w:w="160" w:type="dxa"/>
              <w:right w:w="160" w:type="dxa"/>
            </w:tcMar>
            <w:shd w:fill="FBF8FA"/>
          </w:tcPr>
          <w:p>
            <w:r>
              <w:rPr>
                <w:rFonts w:ascii="Book Antiqua" w:hAnsi="Book Antiqua"/>
                <w:sz w:val="19"/>
              </w:rPr>
              <w:t>FS1</w:t>
            </w:r>
          </w:p>
        </w:tc>
        <w:tc>
          <w:tcPr>
            <w:tcW w:type="dxa" w:w="2016"/>
            <w:tcMar>
              <w:top w:w="120" w:type="dxa"/>
              <w:bottom w:w="120" w:type="dxa"/>
              <w:left w:w="160" w:type="dxa"/>
              <w:right w:w="160" w:type="dxa"/>
            </w:tcMar>
            <w:shd w:fill="FBF8FA"/>
          </w:tcPr>
          <w:p>
            <w:r>
              <w:rPr>
                <w:rFonts w:ascii="Book Antiqua" w:hAnsi="Book Antiqua"/>
                <w:sz w:val="19"/>
              </w:rPr>
              <w:t>Functional Suitability</w:t>
            </w:r>
          </w:p>
        </w:tc>
        <w:tc>
          <w:tcPr>
            <w:tcW w:type="dxa" w:w="4608"/>
            <w:tcMar>
              <w:top w:w="120" w:type="dxa"/>
              <w:bottom w:w="120" w:type="dxa"/>
              <w:left w:w="160" w:type="dxa"/>
              <w:right w:w="160" w:type="dxa"/>
            </w:tcMar>
            <w:shd w:fill="FBF8FA"/>
          </w:tcPr>
          <w:p>
            <w:r>
              <w:rPr>
                <w:rFonts w:ascii="Book Antiqua" w:hAnsi="Book Antiqua"/>
                <w:sz w:val="19"/>
              </w:rPr>
              <w:t>The system accurately captures patient demographics, medical history, and intraoral screening photographs without data loss.</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FS2</w:t>
            </w:r>
          </w:p>
        </w:tc>
        <w:tc>
          <w:tcPr>
            <w:tcW w:type="dxa" w:w="2016"/>
            <w:tcMar>
              <w:top w:w="120" w:type="dxa"/>
              <w:bottom w:w="120" w:type="dxa"/>
              <w:left w:w="160" w:type="dxa"/>
              <w:right w:w="160" w:type="dxa"/>
            </w:tcMar>
          </w:tcPr>
          <w:p>
            <w:r>
              <w:rPr>
                <w:rFonts w:ascii="Book Antiqua" w:hAnsi="Book Antiqua"/>
                <w:sz w:val="19"/>
              </w:rPr>
              <w:t>Functional Suitability</w:t>
            </w:r>
          </w:p>
        </w:tc>
        <w:tc>
          <w:tcPr>
            <w:tcW w:type="dxa" w:w="4608"/>
            <w:tcMar>
              <w:top w:w="120" w:type="dxa"/>
              <w:bottom w:w="120" w:type="dxa"/>
              <w:left w:w="160" w:type="dxa"/>
              <w:right w:w="160" w:type="dxa"/>
            </w:tcMar>
          </w:tcPr>
          <w:p>
            <w:r>
              <w:rPr>
                <w:rFonts w:ascii="Book Antiqua" w:hAnsi="Book Antiqua"/>
                <w:sz w:val="19"/>
              </w:rPr>
              <w:t>The AI detection module correctly identifies and localizes teeth conditions (cavities, plaque, tartar, gum inflammation) with clear bounding boxes.</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FS3</w:t>
            </w:r>
          </w:p>
        </w:tc>
        <w:tc>
          <w:tcPr>
            <w:tcW w:type="dxa" w:w="2016"/>
            <w:tcMar>
              <w:top w:w="120" w:type="dxa"/>
              <w:bottom w:w="120" w:type="dxa"/>
              <w:left w:w="160" w:type="dxa"/>
              <w:right w:w="160" w:type="dxa"/>
            </w:tcMar>
            <w:shd w:fill="FBF8FA"/>
          </w:tcPr>
          <w:p>
            <w:r>
              <w:rPr>
                <w:rFonts w:ascii="Book Antiqua" w:hAnsi="Book Antiqua"/>
                <w:sz w:val="19"/>
              </w:rPr>
              <w:t>Functional Suitability</w:t>
            </w:r>
          </w:p>
        </w:tc>
        <w:tc>
          <w:tcPr>
            <w:tcW w:type="dxa" w:w="4608"/>
            <w:tcMar>
              <w:top w:w="120" w:type="dxa"/>
              <w:bottom w:w="120" w:type="dxa"/>
              <w:left w:w="160" w:type="dxa"/>
              <w:right w:w="160" w:type="dxa"/>
            </w:tcMar>
            <w:shd w:fill="FBF8FA"/>
          </w:tcPr>
          <w:p>
            <w:r>
              <w:rPr>
                <w:rFonts w:ascii="Book Antiqua" w:hAnsi="Book Antiqua"/>
                <w:sz w:val="19"/>
              </w:rPr>
              <w:t>The clinical risk scoring engine (0-100) and risk tier classification (Low, Medium, High) accurately reflect oral health status.</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FS4</w:t>
            </w:r>
          </w:p>
        </w:tc>
        <w:tc>
          <w:tcPr>
            <w:tcW w:type="dxa" w:w="2016"/>
            <w:tcMar>
              <w:top w:w="120" w:type="dxa"/>
              <w:bottom w:w="120" w:type="dxa"/>
              <w:left w:w="160" w:type="dxa"/>
              <w:right w:w="160" w:type="dxa"/>
            </w:tcMar>
          </w:tcPr>
          <w:p>
            <w:r>
              <w:rPr>
                <w:rFonts w:ascii="Book Antiqua" w:hAnsi="Book Antiqua"/>
                <w:sz w:val="19"/>
              </w:rPr>
              <w:t>Functional Suitability</w:t>
            </w:r>
          </w:p>
        </w:tc>
        <w:tc>
          <w:tcPr>
            <w:tcW w:type="dxa" w:w="4608"/>
            <w:tcMar>
              <w:top w:w="120" w:type="dxa"/>
              <w:bottom w:w="120" w:type="dxa"/>
              <w:left w:w="160" w:type="dxa"/>
              <w:right w:w="160" w:type="dxa"/>
            </w:tcMar>
          </w:tcPr>
          <w:p>
            <w:r>
              <w:rPr>
                <w:rFonts w:ascii="Book Antiqua" w:hAnsi="Book Antiqua"/>
                <w:sz w:val="19"/>
              </w:rPr>
              <w:t>The KNN recommendation engine generates relevant, condition-specific, and actionable oral health prevention plans.</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FS5</w:t>
            </w:r>
          </w:p>
        </w:tc>
        <w:tc>
          <w:tcPr>
            <w:tcW w:type="dxa" w:w="2016"/>
            <w:tcMar>
              <w:top w:w="120" w:type="dxa"/>
              <w:bottom w:w="120" w:type="dxa"/>
              <w:left w:w="160" w:type="dxa"/>
              <w:right w:w="160" w:type="dxa"/>
            </w:tcMar>
            <w:shd w:fill="FBF8FA"/>
          </w:tcPr>
          <w:p>
            <w:r>
              <w:rPr>
                <w:rFonts w:ascii="Book Antiqua" w:hAnsi="Book Antiqua"/>
                <w:sz w:val="19"/>
              </w:rPr>
              <w:t>Functional Suitability</w:t>
            </w:r>
          </w:p>
        </w:tc>
        <w:tc>
          <w:tcPr>
            <w:tcW w:type="dxa" w:w="4608"/>
            <w:tcMar>
              <w:top w:w="120" w:type="dxa"/>
              <w:bottom w:w="120" w:type="dxa"/>
              <w:left w:w="160" w:type="dxa"/>
              <w:right w:w="160" w:type="dxa"/>
            </w:tcMar>
            <w:shd w:fill="FBF8FA"/>
          </w:tcPr>
          <w:p>
            <w:r>
              <w:rPr>
                <w:rFonts w:ascii="Book Antiqua" w:hAnsi="Book Antiqua"/>
                <w:sz w:val="19"/>
              </w:rPr>
              <w:t>The system successfully generates comprehensive, authenticated PDF screening reports containing detection overlays and dentist notes.</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PE1</w:t>
            </w:r>
          </w:p>
        </w:tc>
        <w:tc>
          <w:tcPr>
            <w:tcW w:type="dxa" w:w="2016"/>
            <w:tcMar>
              <w:top w:w="120" w:type="dxa"/>
              <w:bottom w:w="120" w:type="dxa"/>
              <w:left w:w="160" w:type="dxa"/>
              <w:right w:w="160" w:type="dxa"/>
            </w:tcMar>
          </w:tcPr>
          <w:p>
            <w:r>
              <w:rPr>
                <w:rFonts w:ascii="Book Antiqua" w:hAnsi="Book Antiqua"/>
                <w:sz w:val="19"/>
              </w:rPr>
              <w:t>Performance Efficiency</w:t>
            </w:r>
          </w:p>
        </w:tc>
        <w:tc>
          <w:tcPr>
            <w:tcW w:type="dxa" w:w="4608"/>
            <w:tcMar>
              <w:top w:w="120" w:type="dxa"/>
              <w:bottom w:w="120" w:type="dxa"/>
              <w:left w:w="160" w:type="dxa"/>
              <w:right w:w="160" w:type="dxa"/>
            </w:tcMar>
          </w:tcPr>
          <w:p>
            <w:r>
              <w:rPr>
                <w:rFonts w:ascii="Book Antiqua" w:hAnsi="Book Antiqua"/>
                <w:sz w:val="19"/>
              </w:rPr>
              <w:t>The AI model performs inference and returns detection results within an acceptable clinical timeframe (under 5 seconds).</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PE2</w:t>
            </w:r>
          </w:p>
        </w:tc>
        <w:tc>
          <w:tcPr>
            <w:tcW w:type="dxa" w:w="2016"/>
            <w:tcMar>
              <w:top w:w="120" w:type="dxa"/>
              <w:bottom w:w="120" w:type="dxa"/>
              <w:left w:w="160" w:type="dxa"/>
              <w:right w:w="160" w:type="dxa"/>
            </w:tcMar>
            <w:shd w:fill="FBF8FA"/>
          </w:tcPr>
          <w:p>
            <w:r>
              <w:rPr>
                <w:rFonts w:ascii="Book Antiqua" w:hAnsi="Book Antiqua"/>
                <w:sz w:val="19"/>
              </w:rPr>
              <w:t>Performance Efficiency</w:t>
            </w:r>
          </w:p>
        </w:tc>
        <w:tc>
          <w:tcPr>
            <w:tcW w:type="dxa" w:w="4608"/>
            <w:tcMar>
              <w:top w:w="120" w:type="dxa"/>
              <w:bottom w:w="120" w:type="dxa"/>
              <w:left w:w="160" w:type="dxa"/>
              <w:right w:w="160" w:type="dxa"/>
            </w:tcMar>
            <w:shd w:fill="FBF8FA"/>
          </w:tcPr>
          <w:p>
            <w:r>
              <w:rPr>
                <w:rFonts w:ascii="Book Antiqua" w:hAnsi="Book Antiqua"/>
                <w:sz w:val="19"/>
              </w:rPr>
              <w:t>Web interface pages, patient directories, and image galleries load rapidly without perceivable latency.</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PE3</w:t>
            </w:r>
          </w:p>
        </w:tc>
        <w:tc>
          <w:tcPr>
            <w:tcW w:type="dxa" w:w="2016"/>
            <w:tcMar>
              <w:top w:w="120" w:type="dxa"/>
              <w:bottom w:w="120" w:type="dxa"/>
              <w:left w:w="160" w:type="dxa"/>
              <w:right w:w="160" w:type="dxa"/>
            </w:tcMar>
          </w:tcPr>
          <w:p>
            <w:r>
              <w:rPr>
                <w:rFonts w:ascii="Book Antiqua" w:hAnsi="Book Antiqua"/>
                <w:sz w:val="19"/>
              </w:rPr>
              <w:t>Performance Efficiency</w:t>
            </w:r>
          </w:p>
        </w:tc>
        <w:tc>
          <w:tcPr>
            <w:tcW w:type="dxa" w:w="4608"/>
            <w:tcMar>
              <w:top w:w="120" w:type="dxa"/>
              <w:bottom w:w="120" w:type="dxa"/>
              <w:left w:w="160" w:type="dxa"/>
              <w:right w:w="160" w:type="dxa"/>
            </w:tcMar>
          </w:tcPr>
          <w:p>
            <w:r>
              <w:rPr>
                <w:rFonts w:ascii="Book Antiqua" w:hAnsi="Book Antiqua"/>
                <w:sz w:val="19"/>
              </w:rPr>
              <w:t>The system operates smoothly without consuming excessive local workstation CPU or memory resources.</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PE4</w:t>
            </w:r>
          </w:p>
        </w:tc>
        <w:tc>
          <w:tcPr>
            <w:tcW w:type="dxa" w:w="2016"/>
            <w:tcMar>
              <w:top w:w="120" w:type="dxa"/>
              <w:bottom w:w="120" w:type="dxa"/>
              <w:left w:w="160" w:type="dxa"/>
              <w:right w:w="160" w:type="dxa"/>
            </w:tcMar>
            <w:shd w:fill="FBF8FA"/>
          </w:tcPr>
          <w:p>
            <w:r>
              <w:rPr>
                <w:rFonts w:ascii="Book Antiqua" w:hAnsi="Book Antiqua"/>
                <w:sz w:val="19"/>
              </w:rPr>
              <w:t>Performance Efficiency</w:t>
            </w:r>
          </w:p>
        </w:tc>
        <w:tc>
          <w:tcPr>
            <w:tcW w:type="dxa" w:w="4608"/>
            <w:tcMar>
              <w:top w:w="120" w:type="dxa"/>
              <w:bottom w:w="120" w:type="dxa"/>
              <w:left w:w="160" w:type="dxa"/>
              <w:right w:w="160" w:type="dxa"/>
            </w:tcMar>
            <w:shd w:fill="FBF8FA"/>
          </w:tcPr>
          <w:p>
            <w:r>
              <w:rPr>
                <w:rFonts w:ascii="Book Antiqua" w:hAnsi="Book Antiqua"/>
                <w:sz w:val="19"/>
              </w:rPr>
              <w:t>Concurrent requests and database transactions execute reliably under standard clinic network conditions.</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US1</w:t>
            </w:r>
          </w:p>
        </w:tc>
        <w:tc>
          <w:tcPr>
            <w:tcW w:type="dxa" w:w="2016"/>
            <w:tcMar>
              <w:top w:w="120" w:type="dxa"/>
              <w:bottom w:w="120" w:type="dxa"/>
              <w:left w:w="160" w:type="dxa"/>
              <w:right w:w="160" w:type="dxa"/>
            </w:tcMar>
          </w:tcPr>
          <w:p>
            <w:r>
              <w:rPr>
                <w:rFonts w:ascii="Book Antiqua" w:hAnsi="Book Antiqua"/>
                <w:sz w:val="19"/>
              </w:rPr>
              <w:t>Usability</w:t>
            </w:r>
          </w:p>
        </w:tc>
        <w:tc>
          <w:tcPr>
            <w:tcW w:type="dxa" w:w="4608"/>
            <w:tcMar>
              <w:top w:w="120" w:type="dxa"/>
              <w:bottom w:w="120" w:type="dxa"/>
              <w:left w:w="160" w:type="dxa"/>
              <w:right w:w="160" w:type="dxa"/>
            </w:tcMar>
          </w:tcPr>
          <w:p>
            <w:r>
              <w:rPr>
                <w:rFonts w:ascii="Book Antiqua" w:hAnsi="Book Antiqua"/>
                <w:sz w:val="19"/>
              </w:rPr>
              <w:t>The user interface layout is well-structured, intuitive, and easy to navigate for both clinical staff and patients.</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US2</w:t>
            </w:r>
          </w:p>
        </w:tc>
        <w:tc>
          <w:tcPr>
            <w:tcW w:type="dxa" w:w="2016"/>
            <w:tcMar>
              <w:top w:w="120" w:type="dxa"/>
              <w:bottom w:w="120" w:type="dxa"/>
              <w:left w:w="160" w:type="dxa"/>
              <w:right w:w="160" w:type="dxa"/>
            </w:tcMar>
            <w:shd w:fill="FBF8FA"/>
          </w:tcPr>
          <w:p>
            <w:r>
              <w:rPr>
                <w:rFonts w:ascii="Book Antiqua" w:hAnsi="Book Antiqua"/>
                <w:sz w:val="19"/>
              </w:rPr>
              <w:t>Usability</w:t>
            </w:r>
          </w:p>
        </w:tc>
        <w:tc>
          <w:tcPr>
            <w:tcW w:type="dxa" w:w="4608"/>
            <w:tcMar>
              <w:top w:w="120" w:type="dxa"/>
              <w:bottom w:w="120" w:type="dxa"/>
              <w:left w:w="160" w:type="dxa"/>
              <w:right w:w="160" w:type="dxa"/>
            </w:tcMar>
            <w:shd w:fill="FBF8FA"/>
          </w:tcPr>
          <w:p>
            <w:r>
              <w:rPr>
                <w:rFonts w:ascii="Book Antiqua" w:hAnsi="Book Antiqua"/>
                <w:sz w:val="19"/>
              </w:rPr>
              <w:t>The visual presentation of detection results, color-coded badges, and risk levels is clear and understandable.</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US3</w:t>
            </w:r>
          </w:p>
        </w:tc>
        <w:tc>
          <w:tcPr>
            <w:tcW w:type="dxa" w:w="2016"/>
            <w:tcMar>
              <w:top w:w="120" w:type="dxa"/>
              <w:bottom w:w="120" w:type="dxa"/>
              <w:left w:w="160" w:type="dxa"/>
              <w:right w:w="160" w:type="dxa"/>
            </w:tcMar>
          </w:tcPr>
          <w:p>
            <w:r>
              <w:rPr>
                <w:rFonts w:ascii="Book Antiqua" w:hAnsi="Book Antiqua"/>
                <w:sz w:val="19"/>
              </w:rPr>
              <w:t>Usability</w:t>
            </w:r>
          </w:p>
        </w:tc>
        <w:tc>
          <w:tcPr>
            <w:tcW w:type="dxa" w:w="4608"/>
            <w:tcMar>
              <w:top w:w="120" w:type="dxa"/>
              <w:bottom w:w="120" w:type="dxa"/>
              <w:left w:w="160" w:type="dxa"/>
              <w:right w:w="160" w:type="dxa"/>
            </w:tcMar>
          </w:tcPr>
          <w:p>
            <w:r>
              <w:rPr>
                <w:rFonts w:ascii="Book Antiqua" w:hAnsi="Book Antiqua"/>
                <w:sz w:val="19"/>
              </w:rPr>
              <w:t>The four-step screening workflow (Upload, Preview, Detection, Results) is streamlined and straightforward.</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US4</w:t>
            </w:r>
          </w:p>
        </w:tc>
        <w:tc>
          <w:tcPr>
            <w:tcW w:type="dxa" w:w="2016"/>
            <w:tcMar>
              <w:top w:w="120" w:type="dxa"/>
              <w:bottom w:w="120" w:type="dxa"/>
              <w:left w:w="160" w:type="dxa"/>
              <w:right w:w="160" w:type="dxa"/>
            </w:tcMar>
            <w:shd w:fill="FBF8FA"/>
          </w:tcPr>
          <w:p>
            <w:r>
              <w:rPr>
                <w:rFonts w:ascii="Book Antiqua" w:hAnsi="Book Antiqua"/>
                <w:sz w:val="19"/>
              </w:rPr>
              <w:t>Usability</w:t>
            </w:r>
          </w:p>
        </w:tc>
        <w:tc>
          <w:tcPr>
            <w:tcW w:type="dxa" w:w="4608"/>
            <w:tcMar>
              <w:top w:w="120" w:type="dxa"/>
              <w:bottom w:w="120" w:type="dxa"/>
              <w:left w:w="160" w:type="dxa"/>
              <w:right w:w="160" w:type="dxa"/>
            </w:tcMar>
            <w:shd w:fill="FBF8FA"/>
          </w:tcPr>
          <w:p>
            <w:r>
              <w:rPr>
                <w:rFonts w:ascii="Book Antiqua" w:hAnsi="Book Antiqua"/>
                <w:sz w:val="19"/>
              </w:rPr>
              <w:t>The self-service Patient Portal provides an accessible, patient-friendly method to review historical screening records.</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US5</w:t>
            </w:r>
          </w:p>
        </w:tc>
        <w:tc>
          <w:tcPr>
            <w:tcW w:type="dxa" w:w="2016"/>
            <w:tcMar>
              <w:top w:w="120" w:type="dxa"/>
              <w:bottom w:w="120" w:type="dxa"/>
              <w:left w:w="160" w:type="dxa"/>
              <w:right w:w="160" w:type="dxa"/>
            </w:tcMar>
          </w:tcPr>
          <w:p>
            <w:r>
              <w:rPr>
                <w:rFonts w:ascii="Book Antiqua" w:hAnsi="Book Antiqua"/>
                <w:sz w:val="19"/>
              </w:rPr>
              <w:t>Usability</w:t>
            </w:r>
          </w:p>
        </w:tc>
        <w:tc>
          <w:tcPr>
            <w:tcW w:type="dxa" w:w="4608"/>
            <w:tcMar>
              <w:top w:w="120" w:type="dxa"/>
              <w:bottom w:w="120" w:type="dxa"/>
              <w:left w:w="160" w:type="dxa"/>
              <w:right w:w="160" w:type="dxa"/>
            </w:tcMar>
          </w:tcPr>
          <w:p>
            <w:r>
              <w:rPr>
                <w:rFonts w:ascii="Book Antiqua" w:hAnsi="Book Antiqua"/>
                <w:sz w:val="19"/>
              </w:rPr>
              <w:t>Visual contrast, typography, and dark/light mode themes enhance legibility and operational comfort.</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RE1</w:t>
            </w:r>
          </w:p>
        </w:tc>
        <w:tc>
          <w:tcPr>
            <w:tcW w:type="dxa" w:w="2016"/>
            <w:tcMar>
              <w:top w:w="120" w:type="dxa"/>
              <w:bottom w:w="120" w:type="dxa"/>
              <w:left w:w="160" w:type="dxa"/>
              <w:right w:w="160" w:type="dxa"/>
            </w:tcMar>
            <w:shd w:fill="FBF8FA"/>
          </w:tcPr>
          <w:p>
            <w:r>
              <w:rPr>
                <w:rFonts w:ascii="Book Antiqua" w:hAnsi="Book Antiqua"/>
                <w:sz w:val="19"/>
              </w:rPr>
              <w:t>Reliability</w:t>
            </w:r>
          </w:p>
        </w:tc>
        <w:tc>
          <w:tcPr>
            <w:tcW w:type="dxa" w:w="4608"/>
            <w:tcMar>
              <w:top w:w="120" w:type="dxa"/>
              <w:bottom w:w="120" w:type="dxa"/>
              <w:left w:w="160" w:type="dxa"/>
              <w:right w:w="160" w:type="dxa"/>
            </w:tcMar>
            <w:shd w:fill="FBF8FA"/>
          </w:tcPr>
          <w:p>
            <w:r>
              <w:rPr>
                <w:rFonts w:ascii="Book Antiqua" w:hAnsi="Book Antiqua"/>
                <w:sz w:val="19"/>
              </w:rPr>
              <w:t>The system handles invalid inputs and network interruptions gracefully without application crashes.</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RE2</w:t>
            </w:r>
          </w:p>
        </w:tc>
        <w:tc>
          <w:tcPr>
            <w:tcW w:type="dxa" w:w="2016"/>
            <w:tcMar>
              <w:top w:w="120" w:type="dxa"/>
              <w:bottom w:w="120" w:type="dxa"/>
              <w:left w:w="160" w:type="dxa"/>
              <w:right w:w="160" w:type="dxa"/>
            </w:tcMar>
          </w:tcPr>
          <w:p>
            <w:r>
              <w:rPr>
                <w:rFonts w:ascii="Book Antiqua" w:hAnsi="Book Antiqua"/>
                <w:sz w:val="19"/>
              </w:rPr>
              <w:t>Reliability</w:t>
            </w:r>
          </w:p>
        </w:tc>
        <w:tc>
          <w:tcPr>
            <w:tcW w:type="dxa" w:w="4608"/>
            <w:tcMar>
              <w:top w:w="120" w:type="dxa"/>
              <w:bottom w:w="120" w:type="dxa"/>
              <w:left w:w="160" w:type="dxa"/>
              <w:right w:w="160" w:type="dxa"/>
            </w:tcMar>
          </w:tcPr>
          <w:p>
            <w:r>
              <w:rPr>
                <w:rFonts w:ascii="Book Antiqua" w:hAnsi="Book Antiqua"/>
                <w:sz w:val="19"/>
              </w:rPr>
              <w:t>The fallback deterministic mock inference mechanism ensures continuous workflow when heavy AI weights are uninitialized.</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RE3</w:t>
            </w:r>
          </w:p>
        </w:tc>
        <w:tc>
          <w:tcPr>
            <w:tcW w:type="dxa" w:w="2016"/>
            <w:tcMar>
              <w:top w:w="120" w:type="dxa"/>
              <w:bottom w:w="120" w:type="dxa"/>
              <w:left w:w="160" w:type="dxa"/>
              <w:right w:w="160" w:type="dxa"/>
            </w:tcMar>
            <w:shd w:fill="FBF8FA"/>
          </w:tcPr>
          <w:p>
            <w:r>
              <w:rPr>
                <w:rFonts w:ascii="Book Antiqua" w:hAnsi="Book Antiqua"/>
                <w:sz w:val="19"/>
              </w:rPr>
              <w:t>Reliability</w:t>
            </w:r>
          </w:p>
        </w:tc>
        <w:tc>
          <w:tcPr>
            <w:tcW w:type="dxa" w:w="4608"/>
            <w:tcMar>
              <w:top w:w="120" w:type="dxa"/>
              <w:bottom w:w="120" w:type="dxa"/>
              <w:left w:w="160" w:type="dxa"/>
              <w:right w:w="160" w:type="dxa"/>
            </w:tcMar>
            <w:shd w:fill="FBF8FA"/>
          </w:tcPr>
          <w:p>
            <w:r>
              <w:rPr>
                <w:rFonts w:ascii="Book Antiqua" w:hAnsi="Book Antiqua"/>
                <w:sz w:val="19"/>
              </w:rPr>
              <w:t>Data integrity is maintained across all database entities with zero corruption or orphan records.</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RE4</w:t>
            </w:r>
          </w:p>
        </w:tc>
        <w:tc>
          <w:tcPr>
            <w:tcW w:type="dxa" w:w="2016"/>
            <w:tcMar>
              <w:top w:w="120" w:type="dxa"/>
              <w:bottom w:w="120" w:type="dxa"/>
              <w:left w:w="160" w:type="dxa"/>
              <w:right w:w="160" w:type="dxa"/>
            </w:tcMar>
          </w:tcPr>
          <w:p>
            <w:r>
              <w:rPr>
                <w:rFonts w:ascii="Book Antiqua" w:hAnsi="Book Antiqua"/>
                <w:sz w:val="19"/>
              </w:rPr>
              <w:t>Reliability</w:t>
            </w:r>
          </w:p>
        </w:tc>
        <w:tc>
          <w:tcPr>
            <w:tcW w:type="dxa" w:w="4608"/>
            <w:tcMar>
              <w:top w:w="120" w:type="dxa"/>
              <w:bottom w:w="120" w:type="dxa"/>
              <w:left w:w="160" w:type="dxa"/>
              <w:right w:w="160" w:type="dxa"/>
            </w:tcMar>
          </w:tcPr>
          <w:p>
            <w:r>
              <w:rPr>
                <w:rFonts w:ascii="Book Antiqua" w:hAnsi="Book Antiqua"/>
                <w:sz w:val="19"/>
              </w:rPr>
              <w:t>Automated scheduled database backups execute reliably to safeguard patient screening history.</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SP1</w:t>
            </w:r>
          </w:p>
        </w:tc>
        <w:tc>
          <w:tcPr>
            <w:tcW w:type="dxa" w:w="2016"/>
            <w:tcMar>
              <w:top w:w="120" w:type="dxa"/>
              <w:bottom w:w="120" w:type="dxa"/>
              <w:left w:w="160" w:type="dxa"/>
              <w:right w:w="160" w:type="dxa"/>
            </w:tcMar>
            <w:shd w:fill="FBF8FA"/>
          </w:tcPr>
          <w:p>
            <w:r>
              <w:rPr>
                <w:rFonts w:ascii="Book Antiqua" w:hAnsi="Book Antiqua"/>
                <w:sz w:val="19"/>
              </w:rPr>
              <w:t>Security &amp; Privacy</w:t>
            </w:r>
          </w:p>
        </w:tc>
        <w:tc>
          <w:tcPr>
            <w:tcW w:type="dxa" w:w="4608"/>
            <w:tcMar>
              <w:top w:w="120" w:type="dxa"/>
              <w:bottom w:w="120" w:type="dxa"/>
              <w:left w:w="160" w:type="dxa"/>
              <w:right w:w="160" w:type="dxa"/>
            </w:tcMar>
            <w:shd w:fill="FBF8FA"/>
          </w:tcPr>
          <w:p>
            <w:r>
              <w:rPr>
                <w:rFonts w:ascii="Book Antiqua" w:hAnsi="Book Antiqua"/>
                <w:sz w:val="19"/>
              </w:rPr>
              <w:t>Staff and patient authentication utilizes secure JWT tokens and role-based access control (RBAC).</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SP2</w:t>
            </w:r>
          </w:p>
        </w:tc>
        <w:tc>
          <w:tcPr>
            <w:tcW w:type="dxa" w:w="2016"/>
            <w:tcMar>
              <w:top w:w="120" w:type="dxa"/>
              <w:bottom w:w="120" w:type="dxa"/>
              <w:left w:w="160" w:type="dxa"/>
              <w:right w:w="160" w:type="dxa"/>
            </w:tcMar>
          </w:tcPr>
          <w:p>
            <w:r>
              <w:rPr>
                <w:rFonts w:ascii="Book Antiqua" w:hAnsi="Book Antiqua"/>
                <w:sz w:val="19"/>
              </w:rPr>
              <w:t>Security &amp; Privacy</w:t>
            </w:r>
          </w:p>
        </w:tc>
        <w:tc>
          <w:tcPr>
            <w:tcW w:type="dxa" w:w="4608"/>
            <w:tcMar>
              <w:top w:w="120" w:type="dxa"/>
              <w:bottom w:w="120" w:type="dxa"/>
              <w:left w:w="160" w:type="dxa"/>
              <w:right w:w="160" w:type="dxa"/>
            </w:tcMar>
          </w:tcPr>
          <w:p>
            <w:r>
              <w:rPr>
                <w:rFonts w:ascii="Book Antiqua" w:hAnsi="Book Antiqua"/>
                <w:sz w:val="19"/>
              </w:rPr>
              <w:t>User passwords are encrypted using industry-standard bcrypt hashing without plaintext exposure.</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SP3</w:t>
            </w:r>
          </w:p>
        </w:tc>
        <w:tc>
          <w:tcPr>
            <w:tcW w:type="dxa" w:w="2016"/>
            <w:tcMar>
              <w:top w:w="120" w:type="dxa"/>
              <w:bottom w:w="120" w:type="dxa"/>
              <w:left w:w="160" w:type="dxa"/>
              <w:right w:w="160" w:type="dxa"/>
            </w:tcMar>
            <w:shd w:fill="FBF8FA"/>
          </w:tcPr>
          <w:p>
            <w:r>
              <w:rPr>
                <w:rFonts w:ascii="Book Antiqua" w:hAnsi="Book Antiqua"/>
                <w:sz w:val="19"/>
              </w:rPr>
              <w:t>Security &amp; Privacy</w:t>
            </w:r>
          </w:p>
        </w:tc>
        <w:tc>
          <w:tcPr>
            <w:tcW w:type="dxa" w:w="4608"/>
            <w:tcMar>
              <w:top w:w="120" w:type="dxa"/>
              <w:bottom w:w="120" w:type="dxa"/>
              <w:left w:w="160" w:type="dxa"/>
              <w:right w:w="160" w:type="dxa"/>
            </w:tcMar>
            <w:shd w:fill="FBF8FA"/>
          </w:tcPr>
          <w:p>
            <w:r>
              <w:rPr>
                <w:rFonts w:ascii="Book Antiqua" w:hAnsi="Book Antiqua"/>
                <w:sz w:val="19"/>
              </w:rPr>
              <w:t>Patient photographic assets are protected against unauthorized direct URL exposure through authenticated access controls.</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SP4</w:t>
            </w:r>
          </w:p>
        </w:tc>
        <w:tc>
          <w:tcPr>
            <w:tcW w:type="dxa" w:w="2016"/>
            <w:tcMar>
              <w:top w:w="120" w:type="dxa"/>
              <w:bottom w:w="120" w:type="dxa"/>
              <w:left w:w="160" w:type="dxa"/>
              <w:right w:w="160" w:type="dxa"/>
            </w:tcMar>
          </w:tcPr>
          <w:p>
            <w:r>
              <w:rPr>
                <w:rFonts w:ascii="Book Antiqua" w:hAnsi="Book Antiqua"/>
                <w:sz w:val="19"/>
              </w:rPr>
              <w:t>Security &amp; Privacy</w:t>
            </w:r>
          </w:p>
        </w:tc>
        <w:tc>
          <w:tcPr>
            <w:tcW w:type="dxa" w:w="4608"/>
            <w:tcMar>
              <w:top w:w="120" w:type="dxa"/>
              <w:bottom w:w="120" w:type="dxa"/>
              <w:left w:w="160" w:type="dxa"/>
              <w:right w:w="160" w:type="dxa"/>
            </w:tcMar>
          </w:tcPr>
          <w:p>
            <w:r>
              <w:rPr>
                <w:rFonts w:ascii="Book Antiqua" w:hAnsi="Book Antiqua"/>
                <w:sz w:val="19"/>
              </w:rPr>
              <w:t>An append-only audit trail logs sensitive administrative and clinical events in compliance with RA 10173 (Data Privacy Act).</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CP1</w:t>
            </w:r>
          </w:p>
        </w:tc>
        <w:tc>
          <w:tcPr>
            <w:tcW w:type="dxa" w:w="2016"/>
            <w:tcMar>
              <w:top w:w="120" w:type="dxa"/>
              <w:bottom w:w="120" w:type="dxa"/>
              <w:left w:w="160" w:type="dxa"/>
              <w:right w:w="160" w:type="dxa"/>
            </w:tcMar>
            <w:shd w:fill="FBF8FA"/>
          </w:tcPr>
          <w:p>
            <w:r>
              <w:rPr>
                <w:rFonts w:ascii="Book Antiqua" w:hAnsi="Book Antiqua"/>
                <w:sz w:val="19"/>
              </w:rPr>
              <w:t>Compatibility &amp; Portability</w:t>
            </w:r>
          </w:p>
        </w:tc>
        <w:tc>
          <w:tcPr>
            <w:tcW w:type="dxa" w:w="4608"/>
            <w:tcMar>
              <w:top w:w="120" w:type="dxa"/>
              <w:bottom w:w="120" w:type="dxa"/>
              <w:left w:w="160" w:type="dxa"/>
              <w:right w:w="160" w:type="dxa"/>
            </w:tcMar>
            <w:shd w:fill="FBF8FA"/>
          </w:tcPr>
          <w:p>
            <w:r>
              <w:rPr>
                <w:rFonts w:ascii="Book Antiqua" w:hAnsi="Book Antiqua"/>
                <w:sz w:val="19"/>
              </w:rPr>
              <w:t>The web application functions consistently across mainstream browsers (Google Chrome, Mozilla Firefox, Microsoft Edge).</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CP2</w:t>
            </w:r>
          </w:p>
        </w:tc>
        <w:tc>
          <w:tcPr>
            <w:tcW w:type="dxa" w:w="2016"/>
            <w:tcMar>
              <w:top w:w="120" w:type="dxa"/>
              <w:bottom w:w="120" w:type="dxa"/>
              <w:left w:w="160" w:type="dxa"/>
              <w:right w:w="160" w:type="dxa"/>
            </w:tcMar>
          </w:tcPr>
          <w:p>
            <w:r>
              <w:rPr>
                <w:rFonts w:ascii="Book Antiqua" w:hAnsi="Book Antiqua"/>
                <w:sz w:val="19"/>
              </w:rPr>
              <w:t>Compatibility &amp; Portability</w:t>
            </w:r>
          </w:p>
        </w:tc>
        <w:tc>
          <w:tcPr>
            <w:tcW w:type="dxa" w:w="4608"/>
            <w:tcMar>
              <w:top w:w="120" w:type="dxa"/>
              <w:bottom w:w="120" w:type="dxa"/>
              <w:left w:w="160" w:type="dxa"/>
              <w:right w:w="160" w:type="dxa"/>
            </w:tcMar>
          </w:tcPr>
          <w:p>
            <w:r>
              <w:rPr>
                <w:rFonts w:ascii="Book Antiqua" w:hAnsi="Book Antiqua"/>
                <w:sz w:val="19"/>
              </w:rPr>
              <w:t>The system adapts responsively to desktop monitors, laptops, and tablet touchscreens.</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r>
        <w:trPr>
          <w:cantSplit/>
        </w:trPr>
        <w:tc>
          <w:tcPr>
            <w:tcW w:type="dxa" w:w="864"/>
            <w:tcMar>
              <w:top w:w="120" w:type="dxa"/>
              <w:bottom w:w="120" w:type="dxa"/>
              <w:left w:w="160" w:type="dxa"/>
              <w:right w:w="160" w:type="dxa"/>
            </w:tcMar>
            <w:shd w:fill="FBF8FA"/>
          </w:tcPr>
          <w:p>
            <w:r>
              <w:rPr>
                <w:rFonts w:ascii="Book Antiqua" w:hAnsi="Book Antiqua"/>
                <w:sz w:val="19"/>
              </w:rPr>
              <w:t>CP3</w:t>
            </w:r>
          </w:p>
        </w:tc>
        <w:tc>
          <w:tcPr>
            <w:tcW w:type="dxa" w:w="2016"/>
            <w:tcMar>
              <w:top w:w="120" w:type="dxa"/>
              <w:bottom w:w="120" w:type="dxa"/>
              <w:left w:w="160" w:type="dxa"/>
              <w:right w:w="160" w:type="dxa"/>
            </w:tcMar>
            <w:shd w:fill="FBF8FA"/>
          </w:tcPr>
          <w:p>
            <w:r>
              <w:rPr>
                <w:rFonts w:ascii="Book Antiqua" w:hAnsi="Book Antiqua"/>
                <w:sz w:val="19"/>
              </w:rPr>
              <w:t>Compatibility &amp; Portability</w:t>
            </w:r>
          </w:p>
        </w:tc>
        <w:tc>
          <w:tcPr>
            <w:tcW w:type="dxa" w:w="4608"/>
            <w:tcMar>
              <w:top w:w="120" w:type="dxa"/>
              <w:bottom w:w="120" w:type="dxa"/>
              <w:left w:w="160" w:type="dxa"/>
              <w:right w:w="160" w:type="dxa"/>
            </w:tcMar>
            <w:shd w:fill="FBF8FA"/>
          </w:tcPr>
          <w:p>
            <w:r>
              <w:rPr>
                <w:rFonts w:ascii="Book Antiqua" w:hAnsi="Book Antiqua"/>
                <w:sz w:val="19"/>
              </w:rPr>
              <w:t>The application integrates smoothly with USB intraoral dental cameras and webcam video input feeds.</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c>
          <w:tcPr>
            <w:tcW w:type="dxa" w:w="576"/>
            <w:tcMar>
              <w:top w:w="120" w:type="dxa"/>
              <w:bottom w:w="120" w:type="dxa"/>
              <w:left w:w="160" w:type="dxa"/>
              <w:right w:w="160" w:type="dxa"/>
            </w:tcMar>
            <w:shd w:fill="FBF8FA"/>
          </w:tcPr>
          <w:p>
            <w:r>
              <w:rPr>
                <w:rFonts w:ascii="Book Antiqua" w:hAnsi="Book Antiqua"/>
                <w:sz w:val="19"/>
              </w:rPr>
              <w:t>[ ]</w:t>
            </w:r>
          </w:p>
        </w:tc>
      </w:tr>
      <w:tr>
        <w:trPr>
          <w:cantSplit/>
        </w:trPr>
        <w:tc>
          <w:tcPr>
            <w:tcW w:type="dxa" w:w="864"/>
            <w:tcMar>
              <w:top w:w="120" w:type="dxa"/>
              <w:bottom w:w="120" w:type="dxa"/>
              <w:left w:w="160" w:type="dxa"/>
              <w:right w:w="160" w:type="dxa"/>
            </w:tcMar>
          </w:tcPr>
          <w:p>
            <w:r>
              <w:rPr>
                <w:rFonts w:ascii="Book Antiqua" w:hAnsi="Book Antiqua"/>
                <w:sz w:val="19"/>
              </w:rPr>
              <w:t>CP4</w:t>
            </w:r>
          </w:p>
        </w:tc>
        <w:tc>
          <w:tcPr>
            <w:tcW w:type="dxa" w:w="2016"/>
            <w:tcMar>
              <w:top w:w="120" w:type="dxa"/>
              <w:bottom w:w="120" w:type="dxa"/>
              <w:left w:w="160" w:type="dxa"/>
              <w:right w:w="160" w:type="dxa"/>
            </w:tcMar>
          </w:tcPr>
          <w:p>
            <w:r>
              <w:rPr>
                <w:rFonts w:ascii="Book Antiqua" w:hAnsi="Book Antiqua"/>
                <w:sz w:val="19"/>
              </w:rPr>
              <w:t>Compatibility &amp; Portability</w:t>
            </w:r>
          </w:p>
        </w:tc>
        <w:tc>
          <w:tcPr>
            <w:tcW w:type="dxa" w:w="4608"/>
            <w:tcMar>
              <w:top w:w="120" w:type="dxa"/>
              <w:bottom w:w="120" w:type="dxa"/>
              <w:left w:w="160" w:type="dxa"/>
              <w:right w:w="160" w:type="dxa"/>
            </w:tcMar>
          </w:tcPr>
          <w:p>
            <w:r>
              <w:rPr>
                <w:rFonts w:ascii="Book Antiqua" w:hAnsi="Book Antiqua"/>
                <w:sz w:val="19"/>
              </w:rPr>
              <w:t>The three-tier architecture (FastAPI, React, PostgreSQL) can be deployed easily across local network and cloud environments.</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c>
          <w:tcPr>
            <w:tcW w:type="dxa" w:w="576"/>
            <w:tcMar>
              <w:top w:w="120" w:type="dxa"/>
              <w:bottom w:w="120" w:type="dxa"/>
              <w:left w:w="160" w:type="dxa"/>
              <w:right w:w="160" w:type="dxa"/>
            </w:tcMar>
          </w:tcPr>
          <w:p>
            <w:r>
              <w:rPr>
                <w:rFonts w:ascii="Book Antiqua" w:hAnsi="Book Antiqua"/>
                <w:sz w:val="19"/>
              </w:rPr>
              <w:t>[ ]</w:t>
            </w:r>
          </w:p>
        </w:tc>
      </w:tr>
    </w:tbl>
    <w:p>
      <w:r>
        <w:rPr>
          <w:b w:val="0"/>
          <w:i w:val="0"/>
        </w:rPr>
      </w:r>
    </w:p>
    <w:p>
      <w:pPr>
        <w:pStyle w:val="Heading2"/>
      </w:pPr>
      <w:r>
        <w:t>Section D: Qualitative Feedback</w:t>
      </w:r>
    </w:p>
    <w:p>
      <w:r>
        <w:rPr>
          <w:b w:val="0"/>
          <w:i w:val="0"/>
        </w:rPr>
        <w:t>1. What features of the Toothwise system did you find most valuable for dental screening and clinical documentation?</w:t>
      </w:r>
    </w:p>
    <w:p>
      <w:r>
        <w:rPr>
          <w:b w:val="0"/>
          <w:i w:val="0"/>
        </w:rPr>
        <w:t>___________________________________________________________________________</w:t>
      </w:r>
    </w:p>
    <w:p>
      <w:r>
        <w:rPr>
          <w:b w:val="0"/>
          <w:i w:val="0"/>
        </w:rPr>
        <w:t>___________________________________________________________________________</w:t>
      </w:r>
    </w:p>
    <w:p>
      <w:r>
        <w:rPr>
          <w:b w:val="0"/>
          <w:i w:val="0"/>
        </w:rPr>
        <w:t>2. What technical, clinical, or design enhancements would you recommend for future versions?</w:t>
      </w:r>
    </w:p>
    <w:p>
      <w:r>
        <w:rPr>
          <w:b w:val="0"/>
          <w:i w:val="0"/>
        </w:rPr>
        <w:t>___________________________________________________________________________</w:t>
      </w:r>
    </w:p>
    <w:p>
      <w:r>
        <w:rPr>
          <w:b w:val="0"/>
          <w:i w:val="0"/>
        </w:rPr>
        <w:t>___________________________________________________________________________</w:t>
      </w:r>
    </w:p>
    <w:p>
      <w:r>
        <w:br w:type="page"/>
      </w:r>
    </w:p>
    <w:p>
      <w:pPr>
        <w:pStyle w:val="Heading1"/>
      </w:pPr>
      <w:r>
        <w:t>PART II: GOOGLE FORMS DEPLOYMENT AND SURVEY PROTOCOL</w:t>
      </w:r>
    </w:p>
    <w:p>
      <w:r>
        <w:rPr>
          <w:b w:val="0"/>
          <w:i w:val="0"/>
        </w:rPr>
        <w:t>This section provides step-by-step instructions for deploying this survey online via Google Forms to collect responses from the target 100 participants (30 IT Experts and 70 Clinical Users).</w:t>
      </w:r>
    </w:p>
    <w:p>
      <w:pPr>
        <w:pStyle w:val="Heading2"/>
      </w:pPr>
      <w:r>
        <w:t>Step 1: Form Creation and Configuration</w:t>
      </w:r>
    </w:p>
    <w:p>
      <w:pPr>
        <w:pStyle w:val="ListNumber"/>
      </w:pPr>
      <w:r>
        <w:t>Open Google Forms (forms.google.com) and click 'Blank Form'.</w:t>
      </w:r>
    </w:p>
    <w:p>
      <w:pPr>
        <w:pStyle w:val="ListNumber"/>
      </w:pPr>
      <w:r>
        <w:t>Set Form Title to: 'TOOTHWISE: ISO/IEC 25010 Software Quality Evaluation Survey'.</w:t>
      </w:r>
    </w:p>
    <w:p>
      <w:pPr>
        <w:pStyle w:val="ListNumber"/>
      </w:pPr>
      <w:r>
        <w:t>Set Form Description to include the research context, purpose, proponents (Arreola, Magpantay, Sales, Tubillas, Ponce), and data privacy disclosure under RA 10173.</w:t>
      </w:r>
    </w:p>
    <w:p>
      <w:pPr>
        <w:pStyle w:val="ListNumber"/>
      </w:pPr>
      <w:r>
        <w:t>In Settings: Enable 'Limit to 1 response' (if requiring Google sign-in) or disable sign-in to permit anonymous responses while monitoring respondent counts manually.</w:t>
      </w:r>
    </w:p>
    <w:p>
      <w:pPr>
        <w:pStyle w:val="Heading2"/>
      </w:pPr>
      <w:r>
        <w:t>Step 2: Structuring Form Sections</w:t>
      </w:r>
    </w:p>
    <w:p>
      <w:pPr>
        <w:pStyle w:val="ListBullet"/>
      </w:pPr>
      <w:r>
        <w:t>Section 1: Informed Consent Declaration (Checkbox: 'I voluntarily consent to participate in this evaluation').</w:t>
      </w:r>
    </w:p>
    <w:p>
      <w:pPr>
        <w:pStyle w:val="ListBullet"/>
      </w:pPr>
      <w:r>
        <w:t>Section 2: Respondent Profile (Multiple choice questions for Stakeholder Group, Role, Age, Gender, and Experience).</w:t>
      </w:r>
    </w:p>
    <w:p>
      <w:pPr>
        <w:pStyle w:val="ListBullet"/>
      </w:pPr>
      <w:r>
        <w:t>Section 3: Functional Suitability Evaluation (Linear Scale 1 to 5 for FS1–FS5, where 1='Strongly Disagree' and 5='Strongly Agree').</w:t>
      </w:r>
    </w:p>
    <w:p>
      <w:pPr>
        <w:pStyle w:val="ListBullet"/>
      </w:pPr>
      <w:r>
        <w:t>Section 4: Performance Efficiency Evaluation (Linear Scale 1 to 5 for PE1–PE4).</w:t>
      </w:r>
    </w:p>
    <w:p>
      <w:pPr>
        <w:pStyle w:val="ListBullet"/>
      </w:pPr>
      <w:r>
        <w:t>Section 5: Usability Evaluation (Linear Scale 1 to 5 for US1–US5).</w:t>
      </w:r>
    </w:p>
    <w:p>
      <w:pPr>
        <w:pStyle w:val="ListBullet"/>
      </w:pPr>
      <w:r>
        <w:t>Section 6: Reliability Evaluation (Linear Scale 1 to 5 for RE1–RE4).</w:t>
      </w:r>
    </w:p>
    <w:p>
      <w:pPr>
        <w:pStyle w:val="ListBullet"/>
      </w:pPr>
      <w:r>
        <w:t>Section 7: Security &amp; Privacy Evaluation (Linear Scale 1 to 5 for SP1–SP4).</w:t>
      </w:r>
    </w:p>
    <w:p>
      <w:pPr>
        <w:pStyle w:val="ListBullet"/>
      </w:pPr>
      <w:r>
        <w:t>Section 8: Compatibility &amp; Portability Evaluation (Linear Scale 1 to 5 for CP1–CP4).</w:t>
      </w:r>
    </w:p>
    <w:p>
      <w:pPr>
        <w:pStyle w:val="ListBullet"/>
      </w:pPr>
      <w:r>
        <w:t>Section 9: Qualitative Feedback (Two long-answer paragraph questions).</w:t>
      </w:r>
    </w:p>
    <w:p>
      <w:pPr>
        <w:pStyle w:val="Heading2"/>
      </w:pPr>
      <w:r>
        <w:t>Step 3: Sampling Quota Management</w:t>
      </w:r>
    </w:p>
    <w:p>
      <w:r>
        <w:rPr>
          <w:b w:val="0"/>
          <w:i w:val="0"/>
        </w:rPr>
        <w:t>To maintain statistical integrity in answering SOP 4, responses must satisfy the defined sampling quota:</w:t>
      </w:r>
    </w:p>
    <w:p>
      <w:pPr>
        <w:pStyle w:val="ListBullet"/>
      </w:pPr>
      <w:r>
        <w:t>IT Experts Quota (n=30): Software developers, systems analysts, database administrators, and IT educators.</w:t>
      </w:r>
    </w:p>
    <w:p>
      <w:pPr>
        <w:pStyle w:val="ListBullet"/>
      </w:pPr>
      <w:r>
        <w:t>Clinical End-Users Quota (n=70): 10 licensed dentists, 15 dental clinic assistants/hygienists, and 45 outpatient clinic patients.</w:t>
      </w:r>
    </w:p>
    <w:p>
      <w:r>
        <w:rPr>
          <w:b w:val="0"/>
          <w:i w:val="0"/>
        </w:rPr>
        <w:t>Google Forms responses can be linked directly to Google Sheets to calculate real-time weighted means and standard deviations matching Table 15 in Chapter IV.</w:t>
      </w:r>
    </w:p>
    <w:sectPr w:rsidR="00FC693F" w:rsidRPr="0006063C" w:rsidSect="00034616">
      <w:footerReference w:type="default" r:id="rId9"/>
      <w:pgSz w:w="12240" w:h="15840"/>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Book Antiqua" w:hAnsi="Book Antiqua" w:eastAsia="Book Antiqua" w:cs="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ahoma" w:hAnsi="Tahoma" w:eastAsia="Tahoma" w:cs="Tahoma"/>
      <w:b/>
      <w:bCs/>
      <w:color w:val="5C2D4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Book Antiqua" w:hAnsi="Book Antiqua" w:eastAsia="Book Antiqua" w:cs="Book Antiqua"/>
      <w:b/>
      <w:bCs/>
      <w:color w:val="5C2D4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Book Antiqua" w:hAnsi="Book Antiqua" w:eastAsia="Book Antiqua" w:cs="Book Antiqua"/>
      <w:b/>
      <w:bCs/>
      <w:color w:val="5C2D4E"/>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Book Antiqua" w:hAnsi="Book Antiqua" w:eastAsia="Book Antiqua" w:cs="Book Antiqua"/>
      <w:b/>
      <w:bCs/>
      <w:i/>
      <w:iCs/>
      <w:color w:val="5C2D4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