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September 2026</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4</w:t>
      </w:r>
    </w:p>
    <w:p>
      <w:pPr>
        <w:keepNext w:val="0"/>
        <w:widowControl/>
        <w:tabs>
          <w:tab w:pos="8669" w:val="right" w:leader="dot"/>
        </w:tabs>
        <w:spacing w:before="0" w:after="60" w:line="276" w:lineRule="auto"/>
        <w:ind w:firstLine="0" w:left="216"/>
        <w:jc w:val="left"/>
      </w:pPr>
      <w:r>
        <w:rPr/>
        <w:t>1.2 Statement of the Problem</w:t>
        <w:tab/>
        <w:t>7</w:t>
      </w:r>
    </w:p>
    <w:p>
      <w:pPr>
        <w:keepNext w:val="0"/>
        <w:widowControl/>
        <w:tabs>
          <w:tab w:pos="8669" w:val="right" w:leader="dot"/>
        </w:tabs>
        <w:spacing w:before="0" w:after="60" w:line="276" w:lineRule="auto"/>
        <w:ind w:firstLine="0" w:left="216"/>
        <w:jc w:val="left"/>
      </w:pPr>
      <w:r>
        <w:rPr/>
        <w:t>1.3 Objectives of the Study</w:t>
        <w:tab/>
        <w:t>8</w:t>
      </w:r>
    </w:p>
    <w:p>
      <w:pPr>
        <w:keepNext w:val="0"/>
        <w:widowControl/>
        <w:tabs>
          <w:tab w:pos="8669" w:val="right" w:leader="dot"/>
        </w:tabs>
        <w:spacing w:before="0" w:after="60" w:line="276" w:lineRule="auto"/>
        <w:ind w:firstLine="0" w:left="720"/>
        <w:jc w:val="left"/>
      </w:pPr>
      <w:r>
        <w:rPr/>
        <w:t>1.3.1 General Objective</w:t>
        <w:tab/>
        <w:t>8</w:t>
      </w:r>
    </w:p>
    <w:p>
      <w:pPr>
        <w:keepNext w:val="0"/>
        <w:widowControl/>
        <w:tabs>
          <w:tab w:pos="8669" w:val="right" w:leader="dot"/>
        </w:tabs>
        <w:spacing w:before="0" w:after="60" w:line="276" w:lineRule="auto"/>
        <w:ind w:firstLine="0" w:left="720"/>
        <w:jc w:val="left"/>
      </w:pPr>
      <w:r>
        <w:rPr/>
        <w:t>1.3.2 Specific Objectives</w:t>
        <w:tab/>
        <w:t>9</w:t>
      </w:r>
    </w:p>
    <w:p>
      <w:pPr>
        <w:keepNext w:val="0"/>
        <w:widowControl/>
        <w:tabs>
          <w:tab w:pos="8669" w:val="right" w:leader="dot"/>
        </w:tabs>
        <w:spacing w:before="0" w:after="60" w:line="276" w:lineRule="auto"/>
        <w:ind w:firstLine="0" w:left="216"/>
        <w:jc w:val="left"/>
      </w:pPr>
      <w:r>
        <w:rPr/>
        <w:t>1.4 Scope, Delimitation and Limitation of the Study</w:t>
        <w:tab/>
        <w:t>9</w:t>
      </w:r>
    </w:p>
    <w:p>
      <w:pPr>
        <w:keepNext w:val="0"/>
        <w:widowControl/>
        <w:tabs>
          <w:tab w:pos="8669" w:val="right" w:leader="dot"/>
        </w:tabs>
        <w:spacing w:before="0" w:after="60" w:line="276" w:lineRule="auto"/>
        <w:ind w:firstLine="0" w:left="216"/>
        <w:jc w:val="left"/>
      </w:pPr>
      <w:r>
        <w:rPr/>
        <w:t>1.5 Significance of the Study</w:t>
        <w:tab/>
        <w:t>11</w:t>
      </w:r>
    </w:p>
    <w:p>
      <w:pPr>
        <w:keepNext w:val="0"/>
        <w:widowControl/>
        <w:tabs>
          <w:tab w:pos="8669" w:val="right" w:leader="dot"/>
        </w:tabs>
        <w:spacing w:before="0" w:after="60" w:line="276" w:lineRule="auto"/>
        <w:ind w:firstLine="0" w:left="216"/>
        <w:jc w:val="left"/>
      </w:pPr>
      <w:r>
        <w:rPr/>
        <w:t>1.6 Definition of Terms</w:t>
        <w:tab/>
        <w:t>13</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15</w:t>
      </w:r>
    </w:p>
    <w:p>
      <w:pPr>
        <w:keepNext w:val="0"/>
        <w:widowControl/>
        <w:tabs>
          <w:tab w:pos="8669" w:val="right" w:leader="dot"/>
        </w:tabs>
        <w:spacing w:before="0" w:after="60" w:line="276" w:lineRule="auto"/>
        <w:ind w:firstLine="0" w:left="216"/>
        <w:jc w:val="left"/>
      </w:pPr>
      <w:r>
        <w:rPr/>
        <w:t>2.2 Related Studies</w:t>
        <w:tab/>
        <w:t>19</w:t>
      </w:r>
    </w:p>
    <w:p>
      <w:pPr>
        <w:keepNext w:val="0"/>
        <w:widowControl/>
        <w:tabs>
          <w:tab w:pos="8669" w:val="right" w:leader="dot"/>
        </w:tabs>
        <w:spacing w:before="0" w:after="60" w:line="276" w:lineRule="auto"/>
        <w:ind w:firstLine="0" w:left="216"/>
        <w:jc w:val="left"/>
      </w:pPr>
      <w:r>
        <w:rPr/>
        <w:t>2.3 Synthesis</w:t>
        <w:tab/>
        <w:t>23</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25</w:t>
      </w:r>
    </w:p>
    <w:p>
      <w:pPr>
        <w:keepNext w:val="0"/>
        <w:widowControl/>
        <w:tabs>
          <w:tab w:pos="8669" w:val="right" w:leader="dot"/>
        </w:tabs>
        <w:spacing w:before="0" w:after="60" w:line="276" w:lineRule="auto"/>
        <w:ind w:firstLine="0" w:left="216"/>
        <w:jc w:val="left"/>
      </w:pPr>
      <w:r>
        <w:rPr/>
        <w:t>3.2 Project Planning</w:t>
        <w:tab/>
        <w:t>26</w:t>
      </w:r>
    </w:p>
    <w:p>
      <w:pPr>
        <w:keepNext w:val="0"/>
        <w:widowControl/>
        <w:tabs>
          <w:tab w:pos="8669" w:val="right" w:leader="dot"/>
        </w:tabs>
        <w:spacing w:before="0" w:after="60" w:line="276" w:lineRule="auto"/>
        <w:ind w:firstLine="0" w:left="216"/>
        <w:jc w:val="left"/>
      </w:pPr>
      <w:r>
        <w:rPr/>
        <w:t>3.3 Roles and Responsibilities of the Five-Member Development Team</w:t>
        <w:tab/>
        <w:t>28</w:t>
      </w:r>
    </w:p>
    <w:p>
      <w:pPr>
        <w:keepNext w:val="0"/>
        <w:widowControl/>
        <w:tabs>
          <w:tab w:pos="8669" w:val="right" w:leader="dot"/>
        </w:tabs>
        <w:spacing w:before="0" w:after="60" w:line="276" w:lineRule="auto"/>
        <w:ind w:firstLine="0" w:left="216"/>
        <w:jc w:val="left"/>
      </w:pPr>
      <w:r>
        <w:rPr/>
        <w:t>3.4 Requirements Analysis</w:t>
        <w:tab/>
        <w:t>30</w:t>
      </w:r>
    </w:p>
    <w:p>
      <w:pPr>
        <w:keepNext w:val="0"/>
        <w:widowControl/>
        <w:tabs>
          <w:tab w:pos="8669" w:val="right" w:leader="dot"/>
        </w:tabs>
        <w:spacing w:before="0" w:after="60" w:line="276" w:lineRule="auto"/>
        <w:ind w:firstLine="0" w:left="216"/>
        <w:jc w:val="left"/>
      </w:pPr>
      <w:r>
        <w:rPr/>
        <w:t>3.5 System Design</w:t>
        <w:tab/>
        <w:t>32</w:t>
      </w:r>
    </w:p>
    <w:p>
      <w:pPr>
        <w:keepNext w:val="0"/>
        <w:widowControl/>
        <w:tabs>
          <w:tab w:pos="8669" w:val="right" w:leader="dot"/>
        </w:tabs>
        <w:spacing w:before="0" w:after="60" w:line="276" w:lineRule="auto"/>
        <w:ind w:firstLine="0" w:left="720"/>
        <w:jc w:val="left"/>
      </w:pPr>
      <w:r>
        <w:rPr/>
        <w:t>3.5.1 Use Case Diagram</w:t>
        <w:tab/>
        <w:t>32</w:t>
      </w:r>
    </w:p>
    <w:p>
      <w:pPr>
        <w:keepNext w:val="0"/>
        <w:widowControl/>
        <w:tabs>
          <w:tab w:pos="8669" w:val="right" w:leader="dot"/>
        </w:tabs>
        <w:spacing w:before="0" w:after="60" w:line="276" w:lineRule="auto"/>
        <w:ind w:firstLine="0" w:left="720"/>
        <w:jc w:val="left"/>
      </w:pPr>
      <w:r>
        <w:rPr/>
        <w:t>3.5.2 Entity Relationship Diagram (ERD)</w:t>
        <w:tab/>
        <w:t>32</w:t>
      </w:r>
    </w:p>
    <w:p>
      <w:pPr>
        <w:keepNext w:val="0"/>
        <w:widowControl/>
        <w:tabs>
          <w:tab w:pos="8669" w:val="right" w:leader="dot"/>
        </w:tabs>
        <w:spacing w:before="0" w:after="60" w:line="276" w:lineRule="auto"/>
        <w:ind w:firstLine="0" w:left="720"/>
        <w:jc w:val="left"/>
      </w:pPr>
      <w:r>
        <w:rPr/>
        <w:t>3.5.3 Data Flow Diagram Level 0</w:t>
        <w:tab/>
        <w:t>36</w:t>
      </w:r>
    </w:p>
    <w:p>
      <w:pPr>
        <w:keepNext w:val="0"/>
        <w:widowControl/>
        <w:tabs>
          <w:tab w:pos="8669" w:val="right" w:leader="dot"/>
        </w:tabs>
        <w:spacing w:before="0" w:after="60" w:line="276" w:lineRule="auto"/>
        <w:ind w:firstLine="0" w:left="720"/>
        <w:jc w:val="left"/>
      </w:pPr>
      <w:r>
        <w:rPr/>
        <w:t>3.5.4 Data Flow Diagram Level 1</w:t>
        <w:tab/>
        <w:t>36</w:t>
      </w:r>
    </w:p>
    <w:p>
      <w:pPr>
        <w:keepNext w:val="0"/>
        <w:widowControl/>
        <w:tabs>
          <w:tab w:pos="8669" w:val="right" w:leader="dot"/>
        </w:tabs>
        <w:spacing w:before="0" w:after="60" w:line="276" w:lineRule="auto"/>
        <w:ind w:firstLine="0" w:left="720"/>
        <w:jc w:val="left"/>
      </w:pPr>
      <w:r>
        <w:rPr/>
        <w:t>3.5.5 Gantt Chart</w:t>
        <w:tab/>
        <w:t>40</w:t>
      </w:r>
    </w:p>
    <w:p>
      <w:pPr>
        <w:keepNext w:val="0"/>
        <w:widowControl/>
        <w:tabs>
          <w:tab w:pos="8669" w:val="right" w:leader="dot"/>
        </w:tabs>
        <w:spacing w:before="0" w:after="60" w:line="276" w:lineRule="auto"/>
        <w:ind w:firstLine="0" w:left="216"/>
        <w:jc w:val="left"/>
      </w:pPr>
      <w:r>
        <w:rPr/>
        <w:t>3.6 Software Specifications</w:t>
        <w:tab/>
        <w:t>41</w:t>
      </w:r>
    </w:p>
    <w:p>
      <w:pPr>
        <w:keepNext w:val="0"/>
        <w:widowControl/>
        <w:tabs>
          <w:tab w:pos="8669" w:val="right" w:leader="dot"/>
        </w:tabs>
        <w:spacing w:before="0" w:after="60" w:line="276" w:lineRule="auto"/>
        <w:ind w:firstLine="0" w:left="216"/>
        <w:jc w:val="left"/>
      </w:pPr>
      <w:r>
        <w:rPr/>
        <w:t>3.7 Hardware Specifications</w:t>
        <w:tab/>
        <w:t>44</w:t>
      </w:r>
    </w:p>
    <w:p>
      <w:pPr>
        <w:keepNext w:val="0"/>
        <w:widowControl/>
        <w:tabs>
          <w:tab w:pos="8669" w:val="right" w:leader="dot"/>
        </w:tabs>
        <w:spacing w:before="0" w:after="60" w:line="276" w:lineRule="auto"/>
        <w:ind w:firstLine="0" w:left="216"/>
        <w:jc w:val="left"/>
      </w:pPr>
      <w:r>
        <w:rPr/>
        <w:t>3.8 System Development</w:t>
        <w:tab/>
        <w:t>45</w:t>
      </w:r>
    </w:p>
    <w:p>
      <w:pPr>
        <w:keepNext w:val="0"/>
        <w:widowControl/>
        <w:tabs>
          <w:tab w:pos="8669" w:val="right" w:leader="dot"/>
        </w:tabs>
        <w:spacing w:before="0" w:after="60" w:line="276" w:lineRule="auto"/>
        <w:ind w:firstLine="0" w:left="216"/>
        <w:jc w:val="left"/>
      </w:pPr>
      <w:r>
        <w:rPr/>
        <w:t>3.9 System Testing</w:t>
        <w:tab/>
        <w:t>47</w:t>
      </w:r>
    </w:p>
    <w:p>
      <w:pPr>
        <w:keepNext w:val="0"/>
        <w:widowControl/>
        <w:tabs>
          <w:tab w:pos="8669" w:val="right" w:leader="dot"/>
        </w:tabs>
        <w:spacing w:before="0" w:after="60" w:line="276" w:lineRule="auto"/>
        <w:ind w:firstLine="0" w:left="216"/>
        <w:jc w:val="left"/>
      </w:pPr>
      <w:r>
        <w:rPr/>
        <w:t>3.10 Full Current System Screenshots</w:t>
        <w:tab/>
        <w:t>48</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56</w:t>
      </w:r>
    </w:p>
    <w:p>
      <w:pPr>
        <w:keepNext w:val="0"/>
        <w:widowControl/>
        <w:tabs>
          <w:tab w:pos="8669" w:val="right" w:leader="dot"/>
        </w:tabs>
        <w:spacing w:before="0" w:after="60" w:line="276" w:lineRule="auto"/>
        <w:ind w:firstLine="0" w:left="216"/>
        <w:jc w:val="left"/>
      </w:pPr>
      <w:r>
        <w:rPr/>
        <w:t>4.2 Specialization and Technical Results</w:t>
        <w:tab/>
        <w:t>67</w:t>
      </w:r>
    </w:p>
    <w:p>
      <w:pPr>
        <w:keepNext w:val="0"/>
        <w:widowControl/>
        <w:tabs>
          <w:tab w:pos="8669" w:val="right" w:leader="dot"/>
        </w:tabs>
        <w:spacing w:before="0" w:after="60" w:line="276" w:lineRule="auto"/>
        <w:ind w:firstLine="0" w:left="216"/>
        <w:jc w:val="left"/>
      </w:pPr>
      <w:r>
        <w:rPr/>
        <w:t>4.3 Software Quality Evaluation Based on ISO/IEC 25010</w:t>
        <w:tab/>
        <w:t>73</w:t>
      </w:r>
    </w:p>
    <w:p>
      <w:pPr>
        <w:keepNext w:val="0"/>
        <w:widowControl/>
        <w:tabs>
          <w:tab w:pos="8669" w:val="right" w:leader="dot"/>
        </w:tabs>
        <w:spacing w:before="0" w:after="60" w:line="276" w:lineRule="auto"/>
        <w:ind w:firstLine="0" w:left="216"/>
        <w:jc w:val="left"/>
      </w:pPr>
      <w:r>
        <w:rPr/>
        <w:t>4.4 Screening Consistency and Screening Time</w:t>
        <w:tab/>
        <w:t>83</w:t>
      </w:r>
    </w:p>
    <w:p>
      <w:pPr>
        <w:keepNext w:val="0"/>
        <w:widowControl/>
        <w:tabs>
          <w:tab w:pos="8669" w:val="right" w:leader="dot"/>
        </w:tabs>
        <w:spacing w:before="180" w:after="60" w:line="276" w:lineRule="auto"/>
        <w:ind w:firstLine="0" w:left="0"/>
        <w:jc w:val="left"/>
      </w:pPr>
      <w:r>
        <w:rPr>
          <w:b/>
        </w:rPr>
        <w:t>CHAPTER V: SUMMARY OF FINDINGS, CONCLUSIONS, AND RECOMMENDATIONS</w:t>
      </w:r>
    </w:p>
    <w:p>
      <w:pPr>
        <w:keepNext w:val="0"/>
        <w:widowControl/>
        <w:tabs>
          <w:tab w:pos="8669" w:val="right" w:leader="dot"/>
        </w:tabs>
        <w:spacing w:before="0" w:after="60" w:line="276" w:lineRule="auto"/>
        <w:ind w:firstLine="0" w:left="216"/>
        <w:jc w:val="left"/>
      </w:pPr>
      <w:r>
        <w:rPr/>
        <w:t>5.1 Summary of Findings</w:t>
        <w:tab/>
        <w:t>86</w:t>
      </w:r>
    </w:p>
    <w:p>
      <w:pPr>
        <w:keepNext w:val="0"/>
        <w:widowControl/>
        <w:tabs>
          <w:tab w:pos="8669" w:val="right" w:leader="dot"/>
        </w:tabs>
        <w:spacing w:before="0" w:after="60" w:line="276" w:lineRule="auto"/>
        <w:ind w:firstLine="0" w:left="216"/>
        <w:jc w:val="left"/>
      </w:pPr>
      <w:r>
        <w:rPr/>
        <w:t>5.2 Conclusions</w:t>
        <w:tab/>
        <w:t>87</w:t>
      </w:r>
    </w:p>
    <w:p>
      <w:pPr>
        <w:keepNext w:val="0"/>
        <w:widowControl/>
        <w:tabs>
          <w:tab w:pos="8669" w:val="right" w:leader="dot"/>
        </w:tabs>
        <w:spacing w:before="0" w:after="60" w:line="276" w:lineRule="auto"/>
        <w:ind w:firstLine="0" w:left="216"/>
        <w:jc w:val="left"/>
      </w:pPr>
      <w:r>
        <w:rPr/>
        <w:t>5.3 Recommendations</w:t>
        <w:tab/>
        <w:t>88</w:t>
      </w:r>
    </w:p>
    <w:p>
      <w:pPr>
        <w:keepNext w:val="0"/>
        <w:widowControl/>
        <w:tabs>
          <w:tab w:pos="8669" w:val="right" w:leader="dot"/>
        </w:tabs>
        <w:spacing w:before="0" w:after="60" w:line="276" w:lineRule="auto"/>
        <w:ind w:firstLine="0" w:left="216"/>
        <w:jc w:val="left"/>
      </w:pPr>
      <w:r>
        <w:rPr/>
        <w:t>References</w:t>
        <w:tab/>
        <w:t>91</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(security, privacy, usability, reliability, performance efficiency, and data protection), as evaluated by IT experts and patient respondents?</w:t>
      </w:r>
    </w:p>
    <w:p>
      <w:pPr>
        <w:keepNext w:val="0"/>
        <w:widowControl/>
        <w:tabs>
          <w:tab w:pos="864" w:val="left"/>
        </w:tabs>
        <w:spacing w:before="0" w:after="80" w:line="360" w:lineRule="auto"/>
        <w:ind w:hanging="432" w:left="864"/>
        <w:jc w:val="both"/>
      </w:pPr>
      <w:r>
        <w:rPr/>
        <w:t>5.</w:t>
        <w:tab/>
        <w:t>What is the difference on the use of Toothwise to improve screening consistency and reduce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six ISO/IEC 25010 quality characteristics with IT experts and patient respondents.</w:t>
      </w:r>
    </w:p>
    <w:p>
      <w:pPr>
        <w:keepNext w:val="0"/>
        <w:widowControl/>
        <w:tabs>
          <w:tab w:pos="864" w:val="left"/>
        </w:tabs>
        <w:spacing w:before="0" w:after="80" w:line="360" w:lineRule="auto"/>
        <w:ind w:hanging="432" w:left="864"/>
        <w:jc w:val="both"/>
      </w:pPr>
      <w:r>
        <w:rPr/>
        <w:t>5.</w:t>
        <w:tab/>
        <w:t>To measure changes in screening consistency and time with Toothwise versus the manual process, using the dentist's findings as the reference.</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patient respondents through an online questionnaire based on six ISO/IEC 25010 quality characteristics, and the respondents also assess its effect on screening consistency and screening time compared with the current manual process.</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(117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can request a password reset link by email and set a new password,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password reset links are single-use, expire after 30 minutes, and the response is the same whether or not the email exists.</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5883289"/>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937760" cy="5883289"/>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emails password reset links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to D2 and login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009359"/>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937760" cy="6009359"/>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Email</w:t>
            </w:r>
          </w:p>
        </w:tc>
        <w:tc>
          <w:tcPr>
            <w:tcW w:type="dxa" w:w="2736"/>
          </w:tcPr>
          <w:p>
            <w:pPr>
              <w:keepNext w:val="0"/>
              <w:widowControl/>
              <w:spacing w:before="0" w:after="0" w:line="240" w:lineRule="auto"/>
              <w:ind w:firstLine="0" w:left="0"/>
              <w:jc w:val="left"/>
            </w:pPr>
            <w:r>
              <w:rPr>
                <w:sz w:val="22"/>
              </w:rPr>
              <w:t>SMTP (Python smtplib)</w:t>
            </w:r>
          </w:p>
        </w:tc>
        <w:tc>
          <w:tcPr>
            <w:tcW w:type="dxa" w:w="3600"/>
          </w:tcPr>
          <w:p>
            <w:pPr>
              <w:keepNext w:val="0"/>
              <w:widowControl/>
              <w:spacing w:before="0" w:after="0" w:line="240" w:lineRule="auto"/>
              <w:ind w:firstLine="0" w:left="0"/>
              <w:jc w:val="left"/>
            </w:pPr>
            <w:r>
              <w:rPr>
                <w:sz w:val="22"/>
              </w:rPr>
              <w:t>Sends password reset links; without an SMTP server the link is written to the server log for testing.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117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294376" cy="3314485"/>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294376" cy="3314485"/>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859388"/>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554480" cy="2859388"/>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116340"/>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554480" cy="2116340"/>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317841"/>
                  <wp:docPr id="11" name="Picture 11"/>
                  <wp:cNvGraphicFramePr>
                    <a:graphicFrameLocks noChangeAspect="1"/>
                  </wp:cNvGraphicFramePr>
                  <a:graphic>
                    <a:graphicData uri="http://schemas.openxmlformats.org/drawingml/2006/picture">
                      <pic:pic>
                        <pic:nvPicPr>
                          <pic:cNvPr id="0" name="shot_forgot_password.png"/>
                          <pic:cNvPicPr/>
                        </pic:nvPicPr>
                        <pic:blipFill>
                          <a:blip r:embed="rId21"/>
                          <a:stretch>
                            <a:fillRect/>
                          </a:stretch>
                        </pic:blipFill>
                        <pic:spPr>
                          <a:xfrm>
                            <a:off x="0" y="0"/>
                            <a:ext cx="1554480" cy="2317841"/>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Forgot Password.</w:t>
            </w:r>
            <w:r>
              <w:rPr>
                <w:sz w:val="20"/>
              </w:rPr>
              <w:t xml:space="preserve"> </w:t>
            </w:r>
            <w:r>
              <w:rPr>
                <w:i/>
                <w:sz w:val="20"/>
              </w:rPr>
              <w:t>Users enter their email to receive a reset link.</w:t>
            </w:r>
          </w:p>
        </w:tc>
      </w:tr>
    </w:tbl>
    <w:p>
      <w:pPr>
        <w:keepNext w:val="0"/>
        <w:widowControl/>
        <w:spacing w:before="0" w:after="80" w:line="20" w:lineRule="exact"/>
        <w:ind w:firstLine="720" w:left="0"/>
        <w:jc w:val="both"/>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761341"/>
                  <wp:docPr id="12" name="Picture 12"/>
                  <wp:cNvGraphicFramePr>
                    <a:graphicFrameLocks noChangeAspect="1"/>
                  </wp:cNvGraphicFramePr>
                  <a:graphic>
                    <a:graphicData uri="http://schemas.openxmlformats.org/drawingml/2006/picture">
                      <pic:pic>
                        <pic:nvPicPr>
                          <pic:cNvPr id="0" name="shot_forgot_password_sent.png"/>
                          <pic:cNvPicPr/>
                        </pic:nvPicPr>
                        <pic:blipFill>
                          <a:blip r:embed="rId22"/>
                          <a:stretch>
                            <a:fillRect/>
                          </a:stretch>
                        </pic:blipFill>
                        <pic:spPr>
                          <a:xfrm>
                            <a:off x="0" y="0"/>
                            <a:ext cx="1554480" cy="2761341"/>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46849"/>
                  <wp:docPr id="13" name="Picture 13"/>
                  <wp:cNvGraphicFramePr>
                    <a:graphicFrameLocks noChangeAspect="1"/>
                  </wp:cNvGraphicFramePr>
                  <a:graphic>
                    <a:graphicData uri="http://schemas.openxmlformats.org/drawingml/2006/picture">
                      <pic:pic>
                        <pic:nvPicPr>
                          <pic:cNvPr id="0" name="shot_reset_password_filled.png"/>
                          <pic:cNvPicPr/>
                        </pic:nvPicPr>
                        <pic:blipFill>
                          <a:blip r:embed="rId23"/>
                          <a:stretch>
                            <a:fillRect/>
                          </a:stretch>
                        </pic:blipFill>
                        <pic:spPr>
                          <a:xfrm>
                            <a:off x="0" y="0"/>
                            <a:ext cx="1554480" cy="254684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83180"/>
                  <wp:docPr id="14" name="Picture 14"/>
                  <wp:cNvGraphicFramePr>
                    <a:graphicFrameLocks noChangeAspect="1"/>
                  </wp:cNvGraphicFramePr>
                  <a:graphic>
                    <a:graphicData uri="http://schemas.openxmlformats.org/drawingml/2006/picture">
                      <pic:pic>
                        <pic:nvPicPr>
                          <pic:cNvPr id="0" name="shot_change_password.png"/>
                          <pic:cNvPicPr/>
                        </pic:nvPicPr>
                        <pic:blipFill>
                          <a:blip r:embed="rId24"/>
                          <a:stretch>
                            <a:fillRect/>
                          </a:stretch>
                        </pic:blipFill>
                        <pic:spPr>
                          <a:xfrm>
                            <a:off x="0" y="0"/>
                            <a:ext cx="1554480" cy="2583180"/>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Link Sent.</w:t>
            </w:r>
            <w:r>
              <w:rPr>
                <w:sz w:val="20"/>
              </w:rPr>
              <w:t xml:space="preserve"> </w:t>
            </w:r>
            <w:r>
              <w:rPr>
                <w:i/>
                <w:sz w:val="20"/>
              </w:rPr>
              <w:t>The same message appears whether or not the email is registered.</w:t>
            </w:r>
          </w:p>
        </w:tc>
        <w:tc>
          <w:tcPr>
            <w:tcW w:type="dxa" w:w="2899"/>
          </w:tcPr>
          <w:p>
            <w:pPr>
              <w:keepNext w:val="0"/>
              <w:widowControl/>
              <w:spacing w:before="40" w:after="120" w:line="276" w:lineRule="auto"/>
              <w:ind w:firstLine="0" w:left="0"/>
              <w:jc w:val="left"/>
            </w:pPr>
            <w:r>
              <w:rPr>
                <w:b/>
                <w:sz w:val="20"/>
              </w:rPr>
              <w:t>Figure 13 Choose a New Password.</w:t>
            </w:r>
            <w:r>
              <w:rPr>
                <w:sz w:val="20"/>
              </w:rPr>
              <w:t xml:space="preserve"> </w:t>
            </w:r>
            <w:r>
              <w:rPr>
                <w:i/>
                <w:sz w:val="20"/>
              </w:rPr>
              <w:t>The emailed link opens this page; a checklist shows the password rules.</w:t>
            </w:r>
          </w:p>
        </w:tc>
        <w:tc>
          <w:tcPr>
            <w:tcW w:type="dxa" w:w="2899"/>
          </w:tcPr>
          <w:p>
            <w:pPr>
              <w:keepNext w:val="0"/>
              <w:widowControl/>
              <w:spacing w:before="40" w:after="120" w:line="276" w:lineRule="auto"/>
              <w:ind w:firstLine="0" w:left="0"/>
              <w:jc w:val="left"/>
            </w:pPr>
            <w:r>
              <w:rPr>
                <w:b/>
                <w:sz w:val="20"/>
              </w:rPr>
              <w:t>Figure 14 Change Password.</w:t>
            </w:r>
            <w:r>
              <w:rPr>
                <w:sz w:val="20"/>
              </w:rPr>
              <w:t xml:space="preserve"> </w:t>
            </w:r>
            <w:r>
              <w:rPr>
                <w:i/>
                <w:sz w:val="20"/>
              </w:rPr>
              <w:t>Opened from the sidebar or portal header; needs the current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172968" cy="3862625"/>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3172968" cy="3862625"/>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68496" cy="1797366"/>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3968496" cy="1797366"/>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087368" cy="2558851"/>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4087368" cy="2558851"/>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requested a password reset, and created, changed, or deleted records, and when.</w:t>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738793"/>
                  <wp:docPr id="23" name="Picture 23"/>
                  <wp:cNvGraphicFramePr>
                    <a:graphicFrameLocks noChangeAspect="1"/>
                  </wp:cNvGraphicFramePr>
                  <a:graphic>
                    <a:graphicData uri="http://schemas.openxmlformats.org/drawingml/2006/picture">
                      <pic:pic>
                        <pic:nvPicPr>
                          <pic:cNvPr id="0" name="shot_portal_register.png"/>
                          <pic:cNvPicPr/>
                        </pic:nvPicPr>
                        <pic:blipFill>
                          <a:blip r:embed="rId33"/>
                          <a:stretch>
                            <a:fillRect/>
                          </a:stretch>
                        </pic:blipFill>
                        <pic:spPr>
                          <a:xfrm>
                            <a:off x="0" y="0"/>
                            <a:ext cx="2011680" cy="2738793"/>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3017520"/>
                  <wp:docPr id="24" name="Picture 24"/>
                  <wp:cNvGraphicFramePr>
                    <a:graphicFrameLocks noChangeAspect="1"/>
                  </wp:cNvGraphicFramePr>
                  <a:graphic>
                    <a:graphicData uri="http://schemas.openxmlformats.org/drawingml/2006/picture">
                      <pic:pic>
                        <pic:nvPicPr>
                          <pic:cNvPr id="0" name="shot_portal_home.png"/>
                          <pic:cNvPicPr/>
                        </pic:nvPicPr>
                        <pic:blipFill>
                          <a:blip r:embed="rId34"/>
                          <a:stretch>
                            <a:fillRect/>
                          </a:stretch>
                        </pic:blipFill>
                        <pic:spPr>
                          <a:xfrm>
                            <a:off x="0" y="0"/>
                            <a:ext cx="2011680" cy="301752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23 Patient Portal — Sign Up.</w:t>
            </w:r>
            <w:r>
              <w:rPr>
                <w:sz w:val="22"/>
              </w:rPr>
              <w:t xml:space="preserve"> </w:t>
            </w:r>
            <w:r>
              <w:rPr>
                <w:i/>
                <w:sz w:val="22"/>
              </w:rPr>
              <w:t>New patients create an account with their contact details and a password.</w:t>
            </w:r>
          </w:p>
        </w:tc>
        <w:tc>
          <w:tcPr>
            <w:tcW w:type="dxa" w:w="4349"/>
          </w:tcPr>
          <w:p>
            <w:pPr>
              <w:keepNext w:val="0"/>
              <w:widowControl/>
              <w:spacing w:before="40" w:after="120" w:line="276" w:lineRule="auto"/>
              <w:ind w:firstLine="0" w:left="0"/>
              <w:jc w:val="both"/>
            </w:pPr>
            <w:r>
              <w:rPr>
                <w:b/>
                <w:sz w:val="22"/>
              </w:rPr>
              <w:t>Figure 24 Patient Portal — Home.</w:t>
            </w:r>
            <w:r>
              <w:rPr>
                <w:sz w:val="22"/>
              </w:rPr>
              <w:t xml:space="preserve"> </w:t>
            </w:r>
            <w:r>
              <w:rPr>
                <w:i/>
                <w:sz w:val="22"/>
              </w:rPr>
              <w:t>Latest risk level and change since the last visit, next check-up date, latest findings and next steps, risk over time, and screening history.</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5" name="Picture 25"/>
                  <wp:cNvGraphicFramePr>
                    <a:graphicFrameLocks noChangeAspect="1"/>
                  </wp:cNvGraphicFramePr>
                  <a:graphic>
                    <a:graphicData uri="http://schemas.openxmlformats.org/drawingml/2006/picture">
                      <pic:pic>
                        <pic:nvPicPr>
                          <pic:cNvPr id="0" name="shot_portal_screening.png"/>
                          <pic:cNvPicPr/>
                        </pic:nvPicPr>
                        <pic:blipFill>
                          <a:blip r:embed="rId35"/>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6" name="Picture 26"/>
                  <wp:cNvGraphicFramePr>
                    <a:graphicFrameLocks noChangeAspect="1"/>
                  </wp:cNvGraphicFramePr>
                  <a:graphic>
                    <a:graphicData uri="http://schemas.openxmlformats.org/drawingml/2006/picture">
                      <pic:pic>
                        <pic:nvPicPr>
                          <pic:cNvPr id="0" name="shot_report_1.png"/>
                          <pic:cNvPicPr/>
                        </pic:nvPicPr>
                        <pic:blipFill>
                          <a:blip r:embed="rId36"/>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25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26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The evaluation in Sections 4.3 and 4.4 is based on the responses of 103 respondents to the evaluation questionnaire.</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13 presents the class mapping applied to each source.</w:t>
      </w:r>
    </w:p>
    <w:p>
      <w:pPr>
        <w:keepNext w:val="0"/>
        <w:widowControl/>
        <w:spacing w:before="0" w:after="120" w:line="360" w:lineRule="auto"/>
        <w:ind w:firstLine="720" w:left="0"/>
        <w:jc w:val="both"/>
      </w:pPr>
      <w:r>
        <w:rPr/>
        <w:t>After merging, the dataset was divided into training, validation, and test splits, as shown in Table 14. Images that contained only dropped classes were kept as background (negative) images, which teach the models not to raise false detections on unremarkable regions.</w:t>
      </w:r>
    </w:p>
    <w:p>
      <w:pPr>
        <w:keepNext/>
        <w:widowControl/>
        <w:spacing w:before="160" w:after="80" w:line="276" w:lineRule="auto"/>
        <w:ind w:firstLine="0" w:left="0"/>
        <w:jc w:val="left"/>
      </w:pPr>
      <w:r>
        <w:rPr>
          <w:b/>
        </w:rPr>
        <w:t>Table 13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widowControl/>
        <w:spacing w:before="160" w:after="80" w:line="276" w:lineRule="auto"/>
        <w:ind w:firstLine="0" w:left="0"/>
        <w:jc w:val="left"/>
      </w:pPr>
      <w:r>
        <w:rPr>
          <w:b/>
        </w:rPr>
        <w:t>Table 14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15 presents the number of labeled findings per class in the held-out test split, which was used for the per-class evaluation in Section 4.1.4. The classes are clearly unbalanced, ranging from 42 labeled healthy tooth instances to 2,716 cavity instances.</w:t>
      </w:r>
    </w:p>
    <w:p>
      <w:pPr>
        <w:keepNext/>
        <w:widowControl/>
        <w:spacing w:before="160" w:after="80" w:line="276" w:lineRule="auto"/>
        <w:ind w:firstLine="0" w:left="0"/>
        <w:jc w:val="left"/>
      </w:pPr>
      <w:r>
        <w:rPr>
          <w:b/>
        </w:rPr>
        <w:t>Table 15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16 summarizes the configuration, which was read directly from the saved model checkpoints.</w:t>
      </w:r>
    </w:p>
    <w:p>
      <w:pPr>
        <w:keepNext/>
        <w:widowControl/>
        <w:spacing w:before="160" w:after="80" w:line="276" w:lineRule="auto"/>
        <w:ind w:firstLine="0" w:left="0"/>
        <w:jc w:val="left"/>
      </w:pPr>
      <w:r>
        <w:rPr>
          <w:b/>
        </w:rPr>
        <w:t>Table 16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keepNext w:val="0"/>
        <w:widowControl/>
        <w:spacing w:before="0" w:after="120" w:line="360" w:lineRule="auto"/>
        <w:ind w:firstLine="720" w:left="0"/>
        <w:jc w:val="both"/>
      </w:pPr>
      <w:r>
        <w:rPr/>
        <w:t>Table 17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widowControl/>
        <w:spacing w:before="160" w:after="80" w:line="276" w:lineRule="auto"/>
        <w:ind w:firstLine="0" w:left="0"/>
        <w:jc w:val="left"/>
      </w:pPr>
      <w:r>
        <w:rPr>
          <w:b/>
        </w:rPr>
        <w:t>Table 17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7" name="Picture 27"/>
            <wp:cNvGraphicFramePr>
              <a:graphicFrameLocks noChangeAspect="1"/>
            </wp:cNvGraphicFramePr>
            <a:graphic>
              <a:graphicData uri="http://schemas.openxmlformats.org/drawingml/2006/picture">
                <pic:pic>
                  <pic:nvPicPr>
                    <pic:cNvPr id="0" name="fig_training_curves.png"/>
                    <pic:cNvPicPr/>
                  </pic:nvPicPr>
                  <pic:blipFill>
                    <a:blip r:embed="rId37"/>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27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_final_metrics.png"/>
                    <pic:cNvPicPr/>
                  </pic:nvPicPr>
                  <pic:blipFill>
                    <a:blip r:embed="rId38"/>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28 Final Validation Metrics of YOLOv8 and YOLOv12.</w:t>
      </w:r>
    </w:p>
    <w:p>
      <w:pPr>
        <w:keepNext w:val="0"/>
        <w:widowControl/>
        <w:spacing w:before="0" w:after="120" w:line="360" w:lineRule="auto"/>
        <w:ind w:firstLine="720" w:left="0"/>
        <w:jc w:val="both"/>
      </w:pPr>
      <w:r>
        <w:rPr/>
        <w:t>Figure 27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18 and 19 present the precision, recall, F1-score, mAP@50, and mAP@50-95 of each class on the test split, and Figure 29 compares the per-class mAP@50 of the two models and the fused ensemble.</w:t>
      </w:r>
    </w:p>
    <w:p>
      <w:pPr>
        <w:keepNext/>
        <w:widowControl/>
        <w:spacing w:before="160" w:after="80" w:line="276" w:lineRule="auto"/>
        <w:ind w:firstLine="0" w:left="0"/>
        <w:jc w:val="left"/>
      </w:pPr>
      <w:r>
        <w:rPr>
          <w:b/>
        </w:rPr>
        <w:t>Table 18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19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val="0"/>
        <w:widowControl/>
        <w:spacing w:before="0" w:after="120" w:line="360" w:lineRule="auto"/>
        <w:ind w:firstLine="720" w:left="0"/>
        <w:jc w:val="both"/>
      </w:pPr>
      <w:r>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9" name="Picture 29"/>
            <wp:cNvGraphicFramePr>
              <a:graphicFrameLocks noChangeAspect="1"/>
            </wp:cNvGraphicFramePr>
            <a:graphic>
              <a:graphicData uri="http://schemas.openxmlformats.org/drawingml/2006/picture">
                <pic:pic>
                  <pic:nvPicPr>
                    <pic:cNvPr id="0" name="fig_perclass_map50.png"/>
                    <pic:cNvPicPr/>
                  </pic:nvPicPr>
                  <pic:blipFill>
                    <a:blip r:embed="rId39"/>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29 Per-Class mAP@50 on the Test Split.</w:t>
      </w:r>
    </w:p>
    <w:p>
      <w:pPr>
        <w:keepNext w:val="0"/>
        <w:widowControl/>
        <w:spacing w:before="0" w:after="120" w:line="360" w:lineRule="auto"/>
        <w:ind w:firstLine="720" w:left="0"/>
        <w:jc w:val="both"/>
      </w:pPr>
      <w:r>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20 and 21 present the result, and Figure 30 shows the confusion matrices.</w:t>
      </w:r>
    </w:p>
    <w:p>
      <w:pPr>
        <w:keepNext/>
        <w:widowControl/>
        <w:spacing w:before="160" w:after="80" w:line="276" w:lineRule="auto"/>
        <w:ind w:firstLine="0" w:left="0"/>
        <w:jc w:val="left"/>
      </w:pPr>
      <w:r>
        <w:rPr>
          <w:b/>
        </w:rPr>
        <w:t>Table 20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21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30" name="Picture 30"/>
            <wp:cNvGraphicFramePr>
              <a:graphicFrameLocks noChangeAspect="1"/>
            </wp:cNvGraphicFramePr>
            <a:graphic>
              <a:graphicData uri="http://schemas.openxmlformats.org/drawingml/2006/picture">
                <pic:pic>
                  <pic:nvPicPr>
                    <pic:cNvPr id="0" name="fig_confusion_matrices.png"/>
                    <pic:cNvPicPr/>
                  </pic:nvPicPr>
                  <pic:blipFill>
                    <a:blip r:embed="rId40"/>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30 Confusion Matrices on the Test Split (Columns Normalized by True Class).</w:t>
      </w:r>
    </w:p>
    <w:p>
      <w:pPr>
        <w:keepNext w:val="0"/>
        <w:widowControl/>
        <w:spacing w:before="0" w:after="120" w:line="360" w:lineRule="auto"/>
        <w:ind w:firstLine="720" w:left="0"/>
        <w:jc w:val="both"/>
      </w:pPr>
      <w:r>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keepNext w:val="0"/>
        <w:widowControl/>
        <w:spacing w:before="0" w:after="120" w:line="360" w:lineRule="auto"/>
        <w:ind w:firstLine="720" w:left="0"/>
        <w:jc w:val="both"/>
      </w:pPr>
      <w:r>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keepNext w:val="0"/>
        <w:widowControl/>
        <w:spacing w:before="0" w:after="120" w:line="360" w:lineRule="auto"/>
        <w:ind w:firstLine="720" w:left="0"/>
        <w:jc w:val="both"/>
      </w:pPr>
      <w:r>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keepNext w:val="0"/>
        <w:widowControl/>
        <w:spacing w:before="0" w:after="120" w:line="360" w:lineRule="auto"/>
        <w:ind w:firstLine="720" w:left="0"/>
        <w:jc w:val="both"/>
      </w:pPr>
      <w:r>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Inference speed was measured on the deployment-class workstation without a GPU, which reflects the clinic setting described in Chapter III. Each model processed four clinic screening images five times at 640 × 640 pixels after a warm-up pass. Table 22 reports the mean time per image.</w:t>
      </w:r>
    </w:p>
    <w:p>
      <w:pPr>
        <w:keepNext/>
        <w:widowControl/>
        <w:spacing w:before="160" w:after="80" w:line="276" w:lineRule="auto"/>
        <w:ind w:firstLine="0" w:left="0"/>
        <w:jc w:val="left"/>
      </w:pPr>
      <w:r>
        <w:rPr>
          <w:b/>
        </w:rPr>
        <w:t>Table 22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keepNext w:val="0"/>
        <w:widowControl/>
        <w:spacing w:before="0" w:after="120" w:line="360" w:lineRule="auto"/>
        <w:ind w:firstLine="720" w:left="0"/>
        <w:jc w:val="both"/>
      </w:pPr>
      <w:r>
        <w:rPr/>
        <w:t>The deployed system runs on a smaller machine. On the free Render web service (shared CPU, 512 MB of memory), the backend runs the ONNX exports of the same two models with ONNX Runtime and loads each model only for the time it runs, because keeping both PyTorch models in memory would exceed the 512 MB limit. Measured on that service, a complete screening with both models took about 3 to 4 seconds, and the backend used about 210 MB of memory at rest and about 400 MB at its peak. The ONNX models returned the same boxes, labels, and confidences as the PyTorch checkpoints on 22 test images, so the accuracy results in this chapter apply to the deployed system. The delay of a few seconds remains acceptable for a workflow in which a photograph is uploaded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keepNext w:val="0"/>
        <w:widowControl/>
        <w:spacing w:before="0" w:after="120" w:line="360" w:lineRule="auto"/>
        <w:ind w:firstLine="720" w:left="0"/>
        <w:jc w:val="both"/>
      </w:pPr>
      <w:r>
        <w:rPr/>
        <w:t>To measure the effect of fusion, the test split was passed once through both models, and the YOLOv8 output, the YOLOv12 output, and the fused output were scored with the same matching code. Table 23 presents the result.</w:t>
      </w:r>
    </w:p>
    <w:p>
      <w:pPr>
        <w:keepNext/>
        <w:widowControl/>
        <w:spacing w:before="160" w:after="80" w:line="276" w:lineRule="auto"/>
        <w:ind w:firstLine="0" w:left="0"/>
        <w:jc w:val="left"/>
      </w:pPr>
      <w:r>
        <w:rPr>
          <w:b/>
        </w:rPr>
        <w:t>Table 23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17 to 19; the single-model columns repeat those results.</w:t>
      </w:r>
    </w:p>
    <w:p>
      <w:pPr>
        <w:keepNext w:val="0"/>
        <w:widowControl/>
        <w:spacing w:before="0" w:after="120" w:line="360" w:lineRule="auto"/>
        <w:ind w:firstLine="720" w:left="0"/>
        <w:jc w:val="both"/>
      </w:pPr>
      <w:r>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keepNext w:val="0"/>
        <w:widowControl/>
        <w:spacing w:before="0" w:after="120" w:line="360" w:lineRule="auto"/>
        <w:ind w:firstLine="720" w:left="0"/>
        <w:jc w:val="both"/>
      </w:pPr>
      <w:r>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The FastAPI backend exposes the screening workflow through authenticated REST endpoints. During development it runs the PyTorch checkpoints with Ultralytics; in the deployed system it runs ONNX exports of the same models with ONNX Runtime, which give identical detections and need about four times less memory. For each uploaded intraoral photograph the pipeline (1) validates the file type and size (JPEG, PNG, or WebP, maximum 15 MB), (2) runs YOLOv8 and YOLOv12, (3) fuses their detections as described in Section 4.1.7 and removes orthodontic brackets that the models mistake for findings, (4) computes a risk score and risk tier, (5) generates a prevention plan, and (6) stores the image, every detection with its bounding box and confidence, the risk result, and the plan in the patient's record. In the deployed system a copy of the photograph is also saved in the database; when the hosting service has restarted and cleared its disk, the image routes and the PDF report restore the file from that copy. The response includes the fused detections and the raw output of each model.</w:t>
      </w:r>
    </w:p>
    <w:p>
      <w:pPr>
        <w:keepNext w:val="0"/>
        <w:widowControl/>
        <w:spacing w:before="0" w:after="120" w:line="360" w:lineRule="auto"/>
        <w:ind w:firstLine="720" w:left="0"/>
        <w:jc w:val="both"/>
      </w:pPr>
      <w:r>
        <w:rPr/>
        <w:t>Neither model was trained with a braces class, so in early pilot use the metal brackets of patients with braces were reported as urgent cavities. The deployed pipeline therefore drops any cavity, plaque, or tartar box whose pixels are mostly metal-grey (at least 8%), requires a cavity to have a confidence of at least 0.50, and keeps a cavity in the fused set only when both YOLOv8 and YOLOv12 report it. When two or more brackets are found, the prevention plan adds a note that braces were detected and that the dentist or orthodontist should check those teeth in person. These rules were added after the test-split evaluation in Section 4.1, so Tables 20, 21, and 23 report the ensemble without them.</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24 lists the severity weights and the tier thresholds.</w:t>
      </w:r>
    </w:p>
    <w:p>
      <w:pPr>
        <w:keepNext/>
        <w:widowControl/>
        <w:spacing w:before="160" w:after="80" w:line="276" w:lineRule="auto"/>
        <w:ind w:firstLine="0" w:left="0"/>
        <w:jc w:val="left"/>
      </w:pPr>
      <w:r>
        <w:rPr>
          <w:b/>
        </w:rPr>
        <w:t>Table 24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keepNext w:val="0"/>
        <w:widowControl/>
        <w:spacing w:before="0" w:after="120" w:line="360" w:lineRule="auto"/>
        <w:ind w:firstLine="720" w:left="0"/>
        <w:jc w:val="both"/>
      </w:pPr>
      <w:r>
        <w:rPr/>
        <w:t>Table 25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widowControl/>
        <w:spacing w:before="160" w:after="80" w:line="276" w:lineRule="auto"/>
        <w:ind w:firstLine="0" w:left="0"/>
        <w:jc w:val="left"/>
      </w:pPr>
      <w:r>
        <w:rPr>
          <w:b/>
        </w:rPr>
        <w:t>Table 25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Because the study did not screen the clinic's patients, no dentist-confirmed tiers had been recorded by the end of the study, so the classifier's accuracy against real clinical cases could not yet be measured; it is recommended in Chapter V.</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(Figure 26). Figures 17, 20, and 24 to 26 in Section 3.10 show these screens. Patients can register for the self-service portal, where a dashboard shows their latest risk level and how it changed since the previous screening, their latest findings in plain language with the top next steps, a risk-over-time chart, the date of their next check-up (six months after the last screening), and their full screening history, but no 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keepNext w:val="0"/>
        <w:widowControl/>
        <w:spacing w:before="0" w:after="120" w:line="360" w:lineRule="auto"/>
        <w:ind w:firstLine="720" w:left="0"/>
        <w:jc w:val="both"/>
      </w:pPr>
      <w:r>
        <w:rPr/>
        <w:t>Staff and patients sign in with their email address and password. Ticking “Remember me on this device” issues a 30-day token kept in the browser's local storage; otherwise the session ends when the browser is closed. A user who forgets the password requests a reset link by email; the link can be used once, expires after 30 minutes, and stops working as soon as the password changes, and the system gives the same answer whether or not the email address is registered so that it cannot be used to discover accounts. Signed-in staff and patients can also change their password from the sidebar or the portal header.</w:t>
      </w:r>
    </w:p>
    <w:p>
      <w:pPr>
        <w:keepNext w:val="0"/>
        <w:widowControl/>
        <w:spacing w:before="0" w:after="120" w:line="360" w:lineRule="auto"/>
        <w:ind w:firstLine="720" w:left="0"/>
        <w:jc w:val="both"/>
      </w:pPr>
      <w:r>
        <w:rPr/>
        <w:t>The backend has an automated test suite of 117 test cases covering authentication, password recovery, the braces filter, the AI assistant, staff management, the class labels, the ONNX Runtime detector, patients, the recommender, the risk engine, role permissions, and screenings, including the restoration of screening photos from the database. All 117 tests passed in the final run (Table 26).</w:t>
      </w:r>
    </w:p>
    <w:p>
      <w:pPr>
        <w:keepNext/>
        <w:widowControl/>
        <w:spacing w:before="160" w:after="80" w:line="276" w:lineRule="auto"/>
        <w:ind w:firstLine="0" w:left="0"/>
        <w:jc w:val="left"/>
      </w:pPr>
      <w:r>
        <w:rPr>
          <w:b/>
        </w:rPr>
        <w:t>Table 26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 reset, and change password</w:t>
            </w:r>
          </w:p>
        </w:tc>
        <w:tc>
          <w:tcPr>
            <w:tcW w:type="dxa" w:w="1141"/>
          </w:tcPr>
          <w:p>
            <w:pPr>
              <w:keepNext w:val="0"/>
              <w:widowControl/>
              <w:spacing w:before="0" w:after="0" w:line="240" w:lineRule="auto"/>
              <w:ind w:firstLine="0" w:left="0"/>
              <w:jc w:val="left"/>
            </w:pPr>
            <w:r>
              <w:rPr>
                <w:sz w:val="22"/>
              </w:rPr>
              <w:t>13</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117</w:t>
            </w:r>
          </w:p>
        </w:tc>
        <w:tc>
          <w:tcPr>
            <w:tcW w:type="dxa" w:w="1426"/>
          </w:tcPr>
          <w:p>
            <w:pPr>
              <w:keepNext w:val="0"/>
              <w:widowControl/>
              <w:spacing w:before="0" w:after="0" w:line="240" w:lineRule="auto"/>
              <w:ind w:firstLine="0" w:left="0"/>
              <w:jc w:val="left"/>
            </w:pPr>
            <w:r>
              <w:rPr>
                <w:sz w:val="22"/>
              </w:rPr>
              <w:t>117 passed, 0 failed</w:t>
            </w:r>
          </w:p>
        </w:tc>
      </w:tr>
    </w:tbl>
    <w:p>
      <w:pPr>
        <w:keepNext w:val="0"/>
        <w:widowControl/>
        <w:spacing w:before="40" w:after="160" w:line="240" w:lineRule="auto"/>
        <w:ind w:firstLine="0" w:left="0"/>
        <w:jc w:val="left"/>
      </w:pPr>
      <w:r>
        <w:rPr>
          <w:i/>
          <w:sz w:val="20"/>
        </w:rPr>
        <w:t>Source: python -m pytest in backend/ (run with YOLO_BACKEND=onnx on 28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 In the deployed system the assistant runs as a Vercel serverless function. When the free Gemini quota is used up, questions about the clinic (hours, location, services, and prices) are still answered from verified clinic facts, and other questions receive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production build of the frontend was audited with Google Lighthouse 12 on the public pages at a mobile width (simulated slow 4G) and a desktop width. Because the landing page was redesigned after the first audit, all six audits were run again on 20 October 2026 against a local production build. Table 27 presents the scores.</w:t>
      </w:r>
    </w:p>
    <w:p>
      <w:pPr>
        <w:keepNext/>
        <w:widowControl/>
        <w:spacing w:before="160" w:after="80" w:line="276" w:lineRule="auto"/>
        <w:ind w:firstLine="0" w:left="0"/>
        <w:jc w:val="left"/>
      </w:pPr>
      <w:r>
        <w:rPr>
          <w:b/>
        </w:rPr>
        <w:t>Table 27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100 on every audited page, and performance ranged from 99 to 100 on desktop and from 86 to 98 on mobile. The lowest score, the landing page on mobile, comes from the amount of JavaScript and imagery the redesigned page loads before it becomes interactive; its score also varied the most between runs.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This section answers the fourth problem of the study. The evaluation questionnaire was answered online through Google Forms between 2026-10-19 and 2026-10-28 by 103 respondents who gave their informed consent. None of the respondents was a patient of CodiSmile Dental Clinic, and no clinic records were used.</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respondents fall into two groups: 98 patient respondents, who evaluated the system from a patient's point of view after using it, and 5 IT experts (IT practitioners). Table 28 presents their distribution. The questionnaire's sections were not all required, so the number of respondents differs per section, as shown in Table 29.</w:t>
      </w:r>
    </w:p>
    <w:p>
      <w:pPr>
        <w:keepNext/>
        <w:widowControl/>
        <w:spacing w:before="160" w:after="80" w:line="276" w:lineRule="auto"/>
        <w:ind w:firstLine="0" w:left="0"/>
        <w:jc w:val="left"/>
      </w:pPr>
      <w:r>
        <w:rPr>
          <w:b/>
        </w:rPr>
        <w:t>Table 28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063" w:type="dxa"/>
        <w:tblLayout w:type="fixed"/>
      </w:tblPr>
      <w:tblGrid>
        <w:gridCol w:w="4031"/>
        <w:gridCol w:w="2015"/>
        <w:gridCol w:w="2015"/>
      </w:tblGrid>
      <w:tr>
        <w:trPr>
          <w:cantSplit/>
          <w:tblHeader/>
        </w:trPr>
        <w:tc>
          <w:tcPr>
            <w:tcW w:type="dxa" w:w="4032"/>
            <w:shd w:val="clear" w:color="auto" w:fill="D9D9D9"/>
          </w:tcPr>
          <w:p>
            <w:pPr>
              <w:keepNext/>
              <w:widowControl/>
              <w:spacing w:before="0" w:after="0" w:line="240" w:lineRule="auto"/>
              <w:ind w:firstLine="0" w:left="0"/>
              <w:jc w:val="left"/>
            </w:pPr>
            <w:r>
              <w:rPr>
                <w:b/>
                <w:sz w:val="22"/>
              </w:rPr>
              <w:t>Respondent group</w:t>
            </w:r>
          </w:p>
        </w:tc>
        <w:tc>
          <w:tcPr>
            <w:tcW w:type="dxa" w:w="2016"/>
            <w:shd w:val="clear" w:color="auto" w:fill="D9D9D9"/>
          </w:tcPr>
          <w:p>
            <w:pPr>
              <w:keepNext/>
              <w:widowControl/>
              <w:spacing w:before="0" w:after="0" w:line="240" w:lineRule="auto"/>
              <w:ind w:firstLine="0" w:left="0"/>
              <w:jc w:val="left"/>
            </w:pPr>
            <w:r>
              <w:rPr>
                <w:b/>
                <w:sz w:val="22"/>
              </w:rPr>
              <w:t>Frequency</w:t>
            </w:r>
          </w:p>
        </w:tc>
        <w:tc>
          <w:tcPr>
            <w:tcW w:type="dxa" w:w="2016"/>
            <w:shd w:val="clear" w:color="auto" w:fill="D9D9D9"/>
          </w:tcPr>
          <w:p>
            <w:pPr>
              <w:keepNext/>
              <w:widowControl/>
              <w:spacing w:before="0" w:after="0" w:line="240" w:lineRule="auto"/>
              <w:ind w:firstLine="0" w:left="0"/>
              <w:jc w:val="left"/>
            </w:pPr>
            <w:r>
              <w:rPr>
                <w:b/>
                <w:sz w:val="22"/>
              </w:rPr>
              <w:t>Percentage</w:t>
            </w:r>
          </w:p>
        </w:tc>
      </w:tr>
      <w:tr>
        <w:trPr/>
        <w:tc>
          <w:tcPr>
            <w:tcW w:type="dxa" w:w="4032"/>
          </w:tcPr>
          <w:p>
            <w:pPr>
              <w:keepNext w:val="0"/>
              <w:widowControl/>
              <w:spacing w:before="0" w:after="0" w:line="240" w:lineRule="auto"/>
              <w:ind w:firstLine="0" w:left="0"/>
              <w:jc w:val="left"/>
            </w:pPr>
            <w:r>
              <w:rPr>
                <w:sz w:val="22"/>
              </w:rPr>
              <w:t>Patient respondents</w:t>
            </w:r>
          </w:p>
        </w:tc>
        <w:tc>
          <w:tcPr>
            <w:tcW w:type="dxa" w:w="2016"/>
          </w:tcPr>
          <w:p>
            <w:pPr>
              <w:keepNext w:val="0"/>
              <w:widowControl/>
              <w:spacing w:before="0" w:after="0" w:line="240" w:lineRule="auto"/>
              <w:ind w:firstLine="0" w:left="0"/>
              <w:jc w:val="left"/>
            </w:pPr>
            <w:r>
              <w:rPr>
                <w:sz w:val="22"/>
              </w:rPr>
              <w:t>98</w:t>
            </w:r>
          </w:p>
        </w:tc>
        <w:tc>
          <w:tcPr>
            <w:tcW w:type="dxa" w:w="2016"/>
          </w:tcPr>
          <w:p>
            <w:pPr>
              <w:keepNext w:val="0"/>
              <w:widowControl/>
              <w:spacing w:before="0" w:after="0" w:line="240" w:lineRule="auto"/>
              <w:ind w:firstLine="0" w:left="0"/>
              <w:jc w:val="left"/>
            </w:pPr>
            <w:r>
              <w:rPr>
                <w:sz w:val="22"/>
              </w:rPr>
              <w:t>95.15%</w:t>
            </w:r>
          </w:p>
        </w:tc>
      </w:tr>
      <w:tr>
        <w:trPr/>
        <w:tc>
          <w:tcPr>
            <w:tcW w:type="dxa" w:w="4032"/>
          </w:tcPr>
          <w:p>
            <w:pPr>
              <w:keepNext w:val="0"/>
              <w:widowControl/>
              <w:spacing w:before="0" w:after="0" w:line="240" w:lineRule="auto"/>
              <w:ind w:firstLine="0" w:left="0"/>
              <w:jc w:val="left"/>
            </w:pPr>
            <w:r>
              <w:rPr>
                <w:sz w:val="22"/>
              </w:rPr>
              <w:t>IT experts / IT practitioners</w:t>
            </w:r>
          </w:p>
        </w:tc>
        <w:tc>
          <w:tcPr>
            <w:tcW w:type="dxa" w:w="2016"/>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4.85%</w:t>
            </w:r>
          </w:p>
        </w:tc>
      </w:tr>
      <w:tr>
        <w:trPr/>
        <w:tc>
          <w:tcPr>
            <w:tcW w:type="dxa" w:w="4032"/>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103</w:t>
            </w:r>
          </w:p>
        </w:tc>
        <w:tc>
          <w:tcPr>
            <w:tcW w:type="dxa" w:w="2016"/>
          </w:tcPr>
          <w:p>
            <w:pPr>
              <w:keepNext w:val="0"/>
              <w:widowControl/>
              <w:spacing w:before="0" w:after="0" w:line="240" w:lineRule="auto"/>
              <w:ind w:firstLine="0" w:left="0"/>
              <w:jc w:val="left"/>
            </w:pPr>
            <w:r>
              <w:rPr>
                <w:sz w:val="22"/>
              </w:rPr>
              <w:t>100.00%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29 Respondents per Questionnaire Section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608"/>
        <w:gridCol w:w="1296"/>
        <w:gridCol w:w="1368"/>
        <w:gridCol w:w="1368"/>
      </w:tblGrid>
      <w:tr>
        <w:trPr>
          <w:cantSplit/>
          <w:tblHeader/>
        </w:trPr>
        <w:tc>
          <w:tcPr>
            <w:tcW w:type="dxa" w:w="4608"/>
            <w:shd w:val="clear" w:color="auto" w:fill="D9D9D9"/>
          </w:tcPr>
          <w:p>
            <w:pPr>
              <w:keepNext/>
              <w:widowControl/>
              <w:spacing w:before="0" w:after="0" w:line="240" w:lineRule="auto"/>
              <w:ind w:firstLine="0" w:left="0"/>
              <w:jc w:val="left"/>
            </w:pPr>
            <w:r>
              <w:rPr>
                <w:b/>
                <w:sz w:val="22"/>
              </w:rPr>
              <w:t>Questionnaire section</w:t>
            </w:r>
          </w:p>
        </w:tc>
        <w:tc>
          <w:tcPr>
            <w:tcW w:type="dxa" w:w="1296"/>
            <w:shd w:val="clear" w:color="auto" w:fill="D9D9D9"/>
          </w:tcPr>
          <w:p>
            <w:pPr>
              <w:keepNext/>
              <w:widowControl/>
              <w:spacing w:before="0" w:after="0" w:line="240" w:lineRule="auto"/>
              <w:ind w:firstLine="0" w:left="0"/>
              <w:jc w:val="left"/>
            </w:pPr>
            <w:r>
              <w:rPr>
                <w:b/>
                <w:sz w:val="22"/>
              </w:rPr>
              <w:t>Patient respondents</w:t>
            </w:r>
          </w:p>
        </w:tc>
        <w:tc>
          <w:tcPr>
            <w:tcW w:type="dxa" w:w="1368"/>
            <w:shd w:val="clear" w:color="auto" w:fill="D9D9D9"/>
          </w:tcPr>
          <w:p>
            <w:pPr>
              <w:keepNext/>
              <w:widowControl/>
              <w:spacing w:before="0" w:after="0" w:line="240" w:lineRule="auto"/>
              <w:ind w:firstLine="0" w:left="0"/>
              <w:jc w:val="left"/>
            </w:pPr>
            <w:r>
              <w:rPr>
                <w:b/>
                <w:sz w:val="22"/>
              </w:rPr>
              <w:t>IT experts</w:t>
            </w:r>
          </w:p>
        </w:tc>
        <w:tc>
          <w:tcPr>
            <w:tcW w:type="dxa" w:w="1368"/>
            <w:shd w:val="clear" w:color="auto" w:fill="D9D9D9"/>
          </w:tcPr>
          <w:p>
            <w:pPr>
              <w:keepNext/>
              <w:widowControl/>
              <w:spacing w:before="0" w:after="0" w:line="240" w:lineRule="auto"/>
              <w:ind w:firstLine="0" w:left="0"/>
              <w:jc w:val="left"/>
            </w:pPr>
            <w:r>
              <w:rPr>
                <w:b/>
                <w:sz w:val="22"/>
              </w:rPr>
              <w:t>Total</w:t>
            </w:r>
          </w:p>
        </w:tc>
      </w:tr>
      <w:tr>
        <w:trPr/>
        <w:tc>
          <w:tcPr>
            <w:tcW w:type="dxa" w:w="4608"/>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All 103 respondents answered the three sections on the system's features (AI detection and risk classification, the results interface and patient records, and the prevention plan). The six ISO/IEC 25010 quality sections were answered by 12 respondents (5 IT experts and 7 patient respondents), and the two sections on the manual screening process and on screening consistency and time by 2. Of the respondents who gave their experience in their current field, 8 reported less than 1 year, 2 reported 1-3 years.</w:t>
      </w:r>
    </w:p>
    <w:p>
      <w:pPr>
        <w:pStyle w:val="Heading3"/>
        <w:keepNext/>
        <w:widowControl/>
        <w:spacing w:before="120" w:after="80" w:line="360" w:lineRule="auto"/>
        <w:ind w:firstLine="0" w:left="0"/>
        <w:jc w:val="left"/>
      </w:pPr>
      <w:r>
        <w:rPr/>
        <w:t>4.3.2 Research Instrument</w:t>
      </w:r>
    </w:p>
    <w:p>
      <w:pPr>
        <w:keepNext w:val="0"/>
        <w:widowControl/>
        <w:spacing w:before="0" w:after="120" w:line="360" w:lineRule="auto"/>
        <w:ind w:firstLine="720" w:left="0"/>
        <w:jc w:val="both"/>
      </w:pPr>
      <w:r>
        <w:rPr/>
        <w:t>The instrument has eleven sections with 46 statements, listed in Table 30, plus three open-ended questions on what respondents liked, the difficulties they met, and the improvements they suggest. Six sections follow the quality characteristics named in the fourth problem of the study, three evaluate the system's main features, and two concern the current manual screening process and Toothwise's effect on screening consistency and time (the fifth problem).</w:t>
      </w:r>
    </w:p>
    <w:p>
      <w:pPr>
        <w:keepNext/>
        <w:widowControl/>
        <w:spacing w:before="160" w:after="80" w:line="276" w:lineRule="auto"/>
        <w:ind w:firstLine="0" w:left="0"/>
        <w:jc w:val="left"/>
      </w:pPr>
      <w:r>
        <w:rPr>
          <w:b/>
        </w:rPr>
        <w:t>Table 30 Sections of the Evaluation Instrument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744"/>
        <w:gridCol w:w="1296"/>
        <w:gridCol w:w="864"/>
        <w:gridCol w:w="2736"/>
      </w:tblGrid>
      <w:tr>
        <w:trPr>
          <w:cantSplit/>
          <w:tblHeader/>
        </w:trPr>
        <w:tc>
          <w:tcPr>
            <w:tcW w:type="dxa" w:w="3744"/>
            <w:shd w:val="clear" w:color="auto" w:fill="D9D9D9"/>
          </w:tcPr>
          <w:p>
            <w:pPr>
              <w:keepNext/>
              <w:widowControl/>
              <w:spacing w:before="0" w:after="0" w:line="240" w:lineRule="auto"/>
              <w:ind w:firstLine="0" w:left="0"/>
              <w:jc w:val="left"/>
            </w:pPr>
            <w:r>
              <w:rPr>
                <w:b/>
                <w:sz w:val="22"/>
              </w:rPr>
              <w:t>Section</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2736"/>
            <w:shd w:val="clear" w:color="auto" w:fill="D9D9D9"/>
          </w:tcPr>
          <w:p>
            <w:pPr>
              <w:keepNext/>
              <w:widowControl/>
              <w:spacing w:before="0" w:after="0" w:line="240" w:lineRule="auto"/>
              <w:ind w:firstLine="0" w:left="0"/>
              <w:jc w:val="left"/>
            </w:pPr>
            <w:r>
              <w:rPr>
                <w:b/>
                <w:sz w:val="22"/>
              </w:rPr>
              <w:t>Problem addressed</w:t>
            </w:r>
          </w:p>
        </w:tc>
      </w:tr>
      <w:tr>
        <w:trPr/>
        <w:tc>
          <w:tcPr>
            <w:tcW w:type="dxa" w:w="3744"/>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SE1–SE4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PR1–PR3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DP1–DP3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AD1–AD5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1 and 4</w:t>
            </w:r>
          </w:p>
        </w:tc>
      </w:tr>
      <w:tr>
        <w:trPr/>
        <w:tc>
          <w:tcPr>
            <w:tcW w:type="dxa" w:w="3744"/>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RI1–RI5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2 and 4</w:t>
            </w:r>
          </w:p>
        </w:tc>
      </w:tr>
      <w:tr>
        <w:trPr/>
        <w:tc>
          <w:tcPr>
            <w:tcW w:type="dxa" w:w="3744"/>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PP1–PP4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Problems 3 and 4</w:t>
            </w:r>
          </w:p>
        </w:tc>
      </w:tr>
      <w:tr>
        <w:trPr/>
        <w:tc>
          <w:tcPr>
            <w:tcW w:type="dxa" w:w="3744"/>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MS1–MS7</w:t>
            </w:r>
          </w:p>
        </w:tc>
        <w:tc>
          <w:tcPr>
            <w:tcW w:type="dxa" w:w="864"/>
          </w:tcPr>
          <w:p>
            <w:pPr>
              <w:keepNext w:val="0"/>
              <w:widowControl/>
              <w:spacing w:before="0" w:after="0" w:line="240" w:lineRule="auto"/>
              <w:ind w:firstLine="0" w:left="0"/>
              <w:jc w:val="left"/>
            </w:pPr>
            <w:r>
              <w:rPr>
                <w:sz w:val="22"/>
              </w:rPr>
              <w:t>7</w:t>
            </w:r>
          </w:p>
        </w:tc>
        <w:tc>
          <w:tcPr>
            <w:tcW w:type="dxa" w:w="2736"/>
          </w:tcPr>
          <w:p>
            <w:pPr>
              <w:keepNext w:val="0"/>
              <w:widowControl/>
              <w:spacing w:before="0" w:after="0" w:line="240" w:lineRule="auto"/>
              <w:ind w:firstLine="0" w:left="0"/>
              <w:jc w:val="left"/>
            </w:pPr>
            <w:r>
              <w:rPr>
                <w:sz w:val="22"/>
              </w:rPr>
              <w:t>Problem 1 (current process)</w:t>
            </w:r>
          </w:p>
        </w:tc>
      </w:tr>
      <w:tr>
        <w:trPr/>
        <w:tc>
          <w:tcPr>
            <w:tcW w:type="dxa" w:w="3744"/>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SC1–SC5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 5</w:t>
            </w:r>
          </w:p>
        </w:tc>
      </w:tr>
      <w:tr>
        <w:trPr/>
        <w:tc>
          <w:tcPr>
            <w:tcW w:type="dxa" w:w="3744"/>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46</w:t>
            </w:r>
          </w:p>
        </w:tc>
        <w:tc>
          <w:tcPr>
            <w:tcW w:type="dxa" w:w="2736"/>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4.3.3 Rating Scale and Interpretation</w:t>
      </w:r>
    </w:p>
    <w:p>
      <w:pPr>
        <w:keepNext w:val="0"/>
        <w:widowControl/>
        <w:spacing w:before="0" w:after="120" w:line="360" w:lineRule="auto"/>
        <w:ind w:firstLine="720" w:left="0"/>
        <w:jc w:val="both"/>
      </w:pPr>
      <w:r>
        <w:rPr/>
        <w:t>Each statement is rated on a four-point Likert scale with no neutral option, so every respondent states either agreement or disagreement. The weighted mean of each statement and section is interpreted using the ranges in Table 31, which divide the 1-to-4 range into four equal intervals of 0.75.</w:t>
      </w:r>
    </w:p>
    <w:p>
      <w:pPr>
        <w:keepNext/>
        <w:widowControl/>
        <w:spacing w:before="160" w:after="80" w:line="276" w:lineRule="auto"/>
        <w:ind w:firstLine="0" w:left="0"/>
        <w:jc w:val="left"/>
      </w:pPr>
      <w:r>
        <w:rPr>
          <w:b/>
        </w:rPr>
        <w:t>Table 31 Four-Point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3.26 – 4.00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2.51 – 3.25</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1.76 – 2.50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1.75</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4.3.4 Statistical Treatment</w:t>
      </w:r>
    </w:p>
    <w:p>
      <w:pPr>
        <w:keepNext w:val="0"/>
        <w:widowControl/>
        <w:spacing w:before="0" w:after="120" w:line="360" w:lineRule="auto"/>
        <w:ind w:firstLine="720" w:left="0"/>
        <w:jc w:val="both"/>
      </w:pPr>
      <w:r>
        <w:rPr/>
        <w:t>The weighted mean of each statement is computed as WM = Σ(f × x) / N, where f is the number of respondents who chose a rating, x is the rating (1 to 4), and N is the number of respondents who answered the statement. The mean of a section is the average of its statement means, and the overall mean is the average of the section means. The standard deviation (SD) of the ratings shows how closely the respondents agreed with one another: the smaller the SD, the more uniform the ratings.</w:t>
      </w:r>
    </w:p>
    <w:p>
      <w:pPr>
        <w:pStyle w:val="Heading3"/>
        <w:keepNext/>
        <w:widowControl/>
        <w:spacing w:before="120" w:after="80" w:line="360" w:lineRule="auto"/>
        <w:ind w:firstLine="0" w:left="0"/>
        <w:jc w:val="left"/>
      </w:pPr>
      <w:r>
        <w:rPr/>
        <w:t>4.3.5 Evaluation Results per Quality Characteristic</w:t>
      </w:r>
    </w:p>
    <w:p>
      <w:pPr>
        <w:keepNext w:val="0"/>
        <w:widowControl/>
        <w:spacing w:before="0" w:after="120" w:line="360" w:lineRule="auto"/>
        <w:ind w:firstLine="720" w:left="0"/>
        <w:jc w:val="both"/>
      </w:pPr>
      <w:r>
        <w:rPr/>
        <w:t>Tables 32 to 37 present the results for the six quality characteristics, answered by 12 respondents.</w:t>
      </w:r>
    </w:p>
    <w:p>
      <w:pPr>
        <w:keepNext/>
        <w:widowControl/>
        <w:spacing w:before="160" w:after="80" w:line="276" w:lineRule="auto"/>
        <w:ind w:firstLine="0" w:left="0"/>
        <w:jc w:val="left"/>
      </w:pPr>
      <w:r>
        <w:rPr>
          <w:b/>
        </w:rPr>
        <w:t>Table 32 Evaluation Results for Security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SE1</w:t>
            </w:r>
          </w:p>
        </w:tc>
        <w:tc>
          <w:tcPr>
            <w:tcW w:type="dxa" w:w="4487"/>
          </w:tcPr>
          <w:p>
            <w:pPr>
              <w:keepNext w:val="0"/>
              <w:widowControl/>
              <w:spacing w:before="0" w:after="0" w:line="240" w:lineRule="auto"/>
              <w:ind w:firstLine="0" w:left="0"/>
              <w:jc w:val="left"/>
            </w:pPr>
            <w:r>
              <w:rPr>
                <w:sz w:val="20"/>
              </w:rPr>
              <w:t>Only authorized users can log in and access the system's functions.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SE2</w:t>
            </w:r>
          </w:p>
        </w:tc>
        <w:tc>
          <w:tcPr>
            <w:tcW w:type="dxa" w:w="4487"/>
          </w:tcPr>
          <w:p>
            <w:pPr>
              <w:keepNext w:val="0"/>
              <w:widowControl/>
              <w:spacing w:before="0" w:after="0" w:line="240" w:lineRule="auto"/>
              <w:ind w:firstLine="0" w:left="0"/>
              <w:jc w:val="left"/>
            </w:pPr>
            <w:r>
              <w:rPr>
                <w:sz w:val="20"/>
              </w:rPr>
              <w:t>Each role (Dentist, Receptionist, Dental Assistant, Patient) can only access the features permitted for that role.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SE3</w:t>
            </w:r>
          </w:p>
        </w:tc>
        <w:tc>
          <w:tcPr>
            <w:tcW w:type="dxa" w:w="4487"/>
          </w:tcPr>
          <w:p>
            <w:pPr>
              <w:keepNext w:val="0"/>
              <w:widowControl/>
              <w:spacing w:before="0" w:after="0" w:line="240" w:lineRule="auto"/>
              <w:ind w:firstLine="0" w:left="0"/>
              <w:jc w:val="left"/>
            </w:pPr>
            <w:r>
              <w:rPr>
                <w:sz w:val="20"/>
              </w:rPr>
              <w:t>Passwords and login sessions are handled securely.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SE4</w:t>
            </w:r>
          </w:p>
        </w:tc>
        <w:tc>
          <w:tcPr>
            <w:tcW w:type="dxa" w:w="4487"/>
          </w:tcPr>
          <w:p>
            <w:pPr>
              <w:keepNext w:val="0"/>
              <w:widowControl/>
              <w:spacing w:before="0" w:after="0" w:line="240" w:lineRule="auto"/>
              <w:ind w:firstLine="0" w:left="0"/>
              <w:jc w:val="left"/>
            </w:pPr>
            <w:r>
              <w:rPr>
                <w:sz w:val="20"/>
              </w:rPr>
              <w:t>Sensitive staff actions are recorded in the audit log for administrative review.</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Security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Security obtained a mean of 3.69 (SD 0.46), interpreted as Strongly Agree. The highest-rated statement was SE3, “Passwords and login sessions are handled securely” (3.75), and the lowest was SE4, “Sensitive staff actions are recorded in the audit log for administrative review” (3.67), which was still rated Strongly Agree. The IT experts were more critical than the patient respondents (3.45 against 3.86). No respondent disagreed with any statement in this section. One respondent suggested an additional security measure for authorized personnel, which is taken up in the recommendations.</w:t>
      </w:r>
    </w:p>
    <w:p>
      <w:pPr>
        <w:keepNext/>
        <w:widowControl/>
        <w:spacing w:before="160" w:after="80" w:line="276" w:lineRule="auto"/>
        <w:ind w:firstLine="0" w:left="0"/>
        <w:jc w:val="left"/>
      </w:pPr>
      <w:r>
        <w:rPr>
          <w:b/>
        </w:rPr>
        <w:t>Table 33 Evaluation Results for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PR1</w:t>
            </w:r>
          </w:p>
        </w:tc>
        <w:tc>
          <w:tcPr>
            <w:tcW w:type="dxa" w:w="4487"/>
          </w:tcPr>
          <w:p>
            <w:pPr>
              <w:keepNext w:val="0"/>
              <w:widowControl/>
              <w:spacing w:before="0" w:after="0" w:line="240" w:lineRule="auto"/>
              <w:ind w:firstLine="0" w:left="0"/>
              <w:jc w:val="left"/>
            </w:pPr>
            <w:r>
              <w:rPr>
                <w:sz w:val="20"/>
              </w:rPr>
              <w:t>Screening images are not publicly exposed and can only be viewed by authorized users.</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PR2</w:t>
            </w:r>
          </w:p>
        </w:tc>
        <w:tc>
          <w:tcPr>
            <w:tcW w:type="dxa" w:w="4487"/>
          </w:tcPr>
          <w:p>
            <w:pPr>
              <w:keepNext w:val="0"/>
              <w:widowControl/>
              <w:spacing w:before="0" w:after="0" w:line="240" w:lineRule="auto"/>
              <w:ind w:firstLine="0" w:left="0"/>
              <w:jc w:val="left"/>
            </w:pPr>
            <w:r>
              <w:rPr>
                <w:sz w:val="20"/>
              </w:rPr>
              <w:t>Patients can only view their own records through the patient portal.</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PR3</w:t>
            </w:r>
          </w:p>
        </w:tc>
        <w:tc>
          <w:tcPr>
            <w:tcW w:type="dxa" w:w="4487"/>
          </w:tcPr>
          <w:p>
            <w:pPr>
              <w:keepNext w:val="0"/>
              <w:widowControl/>
              <w:spacing w:before="0" w:after="0" w:line="240" w:lineRule="auto"/>
              <w:ind w:firstLine="0" w:left="0"/>
              <w:jc w:val="left"/>
            </w:pPr>
            <w:r>
              <w:rPr>
                <w:sz w:val="20"/>
              </w:rPr>
              <w:t>The system handles personal and health information in line with the Data Privacy Act of 2012.</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Privacy — mean</w:t>
            </w:r>
          </w:p>
        </w:tc>
        <w:tc>
          <w:tcPr>
            <w:tcW w:type="dxa" w:w="828"/>
          </w:tcPr>
          <w:p>
            <w:pPr>
              <w:keepNext w:val="0"/>
              <w:widowControl/>
              <w:spacing w:before="0" w:after="0" w:line="240" w:lineRule="auto"/>
              <w:ind w:firstLine="0" w:left="0"/>
              <w:jc w:val="left"/>
            </w:pPr>
            <w:r>
              <w:rPr>
                <w:sz w:val="20"/>
              </w:rPr>
              <w:t>3.72</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Privacy obtained a mean of 3.72 (SD 0.45), interpreted as Strongly Agree. The highest-rated statement was PR1, “Screening images are not publicly exposed and can only be viewed by authorized users” (3.75), and the lowest was PR3, “The system handles personal and health information in line with the Data Privacy Act of 2012” (3.67), which was still rated Strongly Agree. The IT experts were more critical than the patient respondents (3.53 against 3.86). No respondent disagreed with any statement in this section.</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US1</w:t>
            </w:r>
          </w:p>
        </w:tc>
        <w:tc>
          <w:tcPr>
            <w:tcW w:type="dxa" w:w="4487"/>
          </w:tcPr>
          <w:p>
            <w:pPr>
              <w:keepNext w:val="0"/>
              <w:widowControl/>
              <w:spacing w:before="0" w:after="0" w:line="240" w:lineRule="auto"/>
              <w:ind w:firstLine="0" w:left="0"/>
              <w:jc w:val="left"/>
            </w:pPr>
            <w:r>
              <w:rPr>
                <w:sz w:val="20"/>
              </w:rPr>
              <w:t>The system is easy to learn and use, even for first-time users.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US2</w:t>
            </w:r>
          </w:p>
        </w:tc>
        <w:tc>
          <w:tcPr>
            <w:tcW w:type="dxa" w:w="4487"/>
          </w:tcPr>
          <w:p>
            <w:pPr>
              <w:keepNext w:val="0"/>
              <w:widowControl/>
              <w:spacing w:before="0" w:after="0" w:line="240" w:lineRule="auto"/>
              <w:ind w:firstLine="0" w:left="0"/>
              <w:jc w:val="left"/>
            </w:pPr>
            <w:r>
              <w:rPr>
                <w:sz w:val="20"/>
              </w:rPr>
              <w:t>Navigation between the dashboard, patient records, and screening pages is clear and logical.</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US3</w:t>
            </w:r>
          </w:p>
        </w:tc>
        <w:tc>
          <w:tcPr>
            <w:tcW w:type="dxa" w:w="4487"/>
          </w:tcPr>
          <w:p>
            <w:pPr>
              <w:keepNext w:val="0"/>
              <w:widowControl/>
              <w:spacing w:before="0" w:after="0" w:line="240" w:lineRule="auto"/>
              <w:ind w:firstLine="0" w:left="0"/>
              <w:jc w:val="left"/>
            </w:pPr>
            <w:r>
              <w:rPr>
                <w:sz w:val="20"/>
              </w:rPr>
              <w:t>Labels, buttons, and messages are easy to understand.</w:t>
            </w:r>
          </w:p>
        </w:tc>
        <w:tc>
          <w:tcPr>
            <w:tcW w:type="dxa" w:w="828"/>
          </w:tcPr>
          <w:p>
            <w:pPr>
              <w:keepNext w:val="0"/>
              <w:widowControl/>
              <w:spacing w:before="0" w:after="0" w:line="240" w:lineRule="auto"/>
              <w:ind w:firstLine="0" w:left="0"/>
              <w:jc w:val="left"/>
            </w:pPr>
            <w:r>
              <w:rPr>
                <w:sz w:val="20"/>
              </w:rPr>
              <w:t>3.83</w:t>
            </w:r>
          </w:p>
        </w:tc>
        <w:tc>
          <w:tcPr>
            <w:tcW w:type="dxa" w:w="828"/>
          </w:tcPr>
          <w:p>
            <w:pPr>
              <w:keepNext w:val="0"/>
              <w:widowControl/>
              <w:spacing w:before="0" w:after="0" w:line="240" w:lineRule="auto"/>
              <w:ind w:firstLine="0" w:left="0"/>
              <w:jc w:val="left"/>
            </w:pPr>
            <w:r>
              <w:rPr>
                <w:sz w:val="20"/>
              </w:rPr>
              <w:t>0.37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US4</w:t>
            </w:r>
          </w:p>
        </w:tc>
        <w:tc>
          <w:tcPr>
            <w:tcW w:type="dxa" w:w="4487"/>
          </w:tcPr>
          <w:p>
            <w:pPr>
              <w:keepNext w:val="0"/>
              <w:widowControl/>
              <w:spacing w:before="0" w:after="0" w:line="240" w:lineRule="auto"/>
              <w:ind w:firstLine="0" w:left="0"/>
              <w:jc w:val="left"/>
            </w:pPr>
            <w:r>
              <w:rPr>
                <w:sz w:val="20"/>
              </w:rPr>
              <w:t>The layout and design of the interface are visually pleasing and organized.</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Usability — mean</w:t>
            </w:r>
          </w:p>
        </w:tc>
        <w:tc>
          <w:tcPr>
            <w:tcW w:type="dxa" w:w="828"/>
          </w:tcPr>
          <w:p>
            <w:pPr>
              <w:keepNext w:val="0"/>
              <w:widowControl/>
              <w:spacing w:before="0" w:after="0" w:line="240" w:lineRule="auto"/>
              <w:ind w:firstLine="0" w:left="0"/>
              <w:jc w:val="left"/>
            </w:pPr>
            <w:r>
              <w:rPr>
                <w:sz w:val="20"/>
              </w:rPr>
              <w:t>3.71</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Usability obtained a mean of 3.71 (SD 0.45), interpreted as Strongly Agree. The highest-rated statement was US3, “Labels, buttons, and messages are easy to understand” (3.83), and the lowest was US4, “The layout and design of the interface are visually pleasing and organized” (3.67), which was still rated Strongly Agree. The IT experts were more critical than the patient respondents (3.50 against 3.86). No respondent disagreed with any statement in this section. In the open-ended answers, ease of use and the interface were the most often mentioned strengths, while a few respondents found some pages long or some features hard to find.</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RE1</w:t>
            </w:r>
          </w:p>
        </w:tc>
        <w:tc>
          <w:tcPr>
            <w:tcW w:type="dxa" w:w="4487"/>
          </w:tcPr>
          <w:p>
            <w:pPr>
              <w:keepNext w:val="0"/>
              <w:widowControl/>
              <w:spacing w:before="0" w:after="0" w:line="240" w:lineRule="auto"/>
              <w:ind w:firstLine="0" w:left="0"/>
              <w:jc w:val="left"/>
            </w:pPr>
            <w:r>
              <w:rPr>
                <w:sz w:val="20"/>
              </w:rPr>
              <w:t>The system runs consistently without unexpected crashes or failures.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RE2</w:t>
            </w:r>
          </w:p>
        </w:tc>
        <w:tc>
          <w:tcPr>
            <w:tcW w:type="dxa" w:w="4487"/>
          </w:tcPr>
          <w:p>
            <w:pPr>
              <w:keepNext w:val="0"/>
              <w:widowControl/>
              <w:spacing w:before="0" w:after="0" w:line="240" w:lineRule="auto"/>
              <w:ind w:firstLine="0" w:left="0"/>
              <w:jc w:val="left"/>
            </w:pPr>
            <w:r>
              <w:rPr>
                <w:sz w:val="20"/>
              </w:rPr>
              <w:t>When an error occurs, the system shows a clear message and recovers without losing data.</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RE3</w:t>
            </w:r>
          </w:p>
        </w:tc>
        <w:tc>
          <w:tcPr>
            <w:tcW w:type="dxa" w:w="4487"/>
          </w:tcPr>
          <w:p>
            <w:pPr>
              <w:keepNext w:val="0"/>
              <w:widowControl/>
              <w:spacing w:before="0" w:after="0" w:line="240" w:lineRule="auto"/>
              <w:ind w:firstLine="0" w:left="0"/>
              <w:jc w:val="left"/>
            </w:pPr>
            <w:r>
              <w:rPr>
                <w:sz w:val="20"/>
              </w:rPr>
              <w:t>The system produces consistent results when the same image is screened again.</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Reliability — mean</w:t>
            </w:r>
          </w:p>
        </w:tc>
        <w:tc>
          <w:tcPr>
            <w:tcW w:type="dxa" w:w="828"/>
          </w:tcPr>
          <w:p>
            <w:pPr>
              <w:keepNext w:val="0"/>
              <w:widowControl/>
              <w:spacing w:before="0" w:after="0" w:line="240" w:lineRule="auto"/>
              <w:ind w:firstLine="0" w:left="0"/>
              <w:jc w:val="left"/>
            </w:pPr>
            <w:r>
              <w:rPr>
                <w:sz w:val="20"/>
              </w:rPr>
              <w:t>3.61</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Reliability obtained a mean of 3.61 (SD 0.49), interpreted as Strongly Agree. The highest-rated statement was RE2, “When an error occurs, the system shows a clear message and recovers without losing data” (3.75), and the lowest was RE1, “The system runs consistently without unexpected crashes or failures” (3.50), which was still rated Strongly Agree. The IT experts were more critical than the patient respondents (3.27 against 3.86). No respondent disagreed with any statement in this section. RE1 was also the statement the IT experts rated lowest. In the open-ended answers, two respondents mentioned slow first loading and performance bugs that had to be patched; the free hosting tier used for the study sleeps after 15 minutes without requests (Chapter I, Limitations).</w:t>
      </w:r>
    </w:p>
    <w:p>
      <w:pPr>
        <w:keepNext/>
        <w:widowControl/>
        <w:spacing w:before="160" w:after="80" w:line="276" w:lineRule="auto"/>
        <w:ind w:firstLine="0" w:left="0"/>
        <w:jc w:val="left"/>
      </w:pPr>
      <w:r>
        <w:rPr>
          <w:b/>
        </w:rPr>
        <w:t>Table 36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PE1</w:t>
            </w:r>
          </w:p>
        </w:tc>
        <w:tc>
          <w:tcPr>
            <w:tcW w:type="dxa" w:w="4487"/>
          </w:tcPr>
          <w:p>
            <w:pPr>
              <w:keepNext w:val="0"/>
              <w:widowControl/>
              <w:spacing w:before="0" w:after="0" w:line="240" w:lineRule="auto"/>
              <w:ind w:firstLine="0" w:left="0"/>
              <w:jc w:val="left"/>
            </w:pPr>
            <w:r>
              <w:rPr>
                <w:sz w:val="20"/>
              </w:rPr>
              <w:t>The system analyzes an uploaded image and displays the results within an acceptable time.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PE2</w:t>
            </w:r>
          </w:p>
        </w:tc>
        <w:tc>
          <w:tcPr>
            <w:tcW w:type="dxa" w:w="4487"/>
          </w:tcPr>
          <w:p>
            <w:pPr>
              <w:keepNext w:val="0"/>
              <w:widowControl/>
              <w:spacing w:before="0" w:after="0" w:line="240" w:lineRule="auto"/>
              <w:ind w:firstLine="0" w:left="0"/>
              <w:jc w:val="left"/>
            </w:pPr>
            <w:r>
              <w:rPr>
                <w:sz w:val="20"/>
              </w:rPr>
              <w:t>Pages and patient records load quickly.</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PE3</w:t>
            </w:r>
          </w:p>
        </w:tc>
        <w:tc>
          <w:tcPr>
            <w:tcW w:type="dxa" w:w="4487"/>
          </w:tcPr>
          <w:p>
            <w:pPr>
              <w:keepNext w:val="0"/>
              <w:widowControl/>
              <w:spacing w:before="0" w:after="0" w:line="240" w:lineRule="auto"/>
              <w:ind w:firstLine="0" w:left="0"/>
              <w:jc w:val="left"/>
            </w:pPr>
            <w:r>
              <w:rPr>
                <w:sz w:val="20"/>
              </w:rPr>
              <w:t>The system remains responsive while performing AI detection.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Performance Efficiency — mean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Performance Efficiency obtained a mean of 3.67 (SD 0.47), interpreted as Strongly Agree. All statements in this section were rated equally. The IT experts were more critical than the patient respondents (3.40 against 3.86). No respondent disagreed with any statement in this section.</w:t>
      </w:r>
    </w:p>
    <w:p>
      <w:pPr>
        <w:keepNext/>
        <w:widowControl/>
        <w:spacing w:before="160" w:after="80" w:line="276" w:lineRule="auto"/>
        <w:ind w:firstLine="0" w:left="0"/>
        <w:jc w:val="left"/>
      </w:pPr>
      <w:r>
        <w:rPr>
          <w:b/>
        </w:rPr>
        <w:t>Table 37 Evaluation Results for Data Protection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DP1</w:t>
            </w:r>
          </w:p>
        </w:tc>
        <w:tc>
          <w:tcPr>
            <w:tcW w:type="dxa" w:w="4487"/>
          </w:tcPr>
          <w:p>
            <w:pPr>
              <w:keepNext w:val="0"/>
              <w:widowControl/>
              <w:spacing w:before="0" w:after="0" w:line="240" w:lineRule="auto"/>
              <w:ind w:firstLine="0" w:left="0"/>
              <w:jc w:val="left"/>
            </w:pPr>
            <w:r>
              <w:rPr>
                <w:sz w:val="20"/>
              </w:rPr>
              <w:t>Patient, screening, and detection records are stored accurately and completely.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DP2</w:t>
            </w:r>
          </w:p>
        </w:tc>
        <w:tc>
          <w:tcPr>
            <w:tcW w:type="dxa" w:w="4487"/>
          </w:tcPr>
          <w:p>
            <w:pPr>
              <w:keepNext w:val="0"/>
              <w:widowControl/>
              <w:spacing w:before="0" w:after="0" w:line="240" w:lineRule="auto"/>
              <w:ind w:firstLine="0" w:left="0"/>
              <w:jc w:val="left"/>
            </w:pPr>
            <w:r>
              <w:rPr>
                <w:sz w:val="20"/>
              </w:rPr>
              <w:t>Related records (patients, screenings, findings, recommendations, notes) remain consistent with one another.</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DP3</w:t>
            </w:r>
          </w:p>
        </w:tc>
        <w:tc>
          <w:tcPr>
            <w:tcW w:type="dxa" w:w="4487"/>
          </w:tcPr>
          <w:p>
            <w:pPr>
              <w:keepNext w:val="0"/>
              <w:widowControl/>
              <w:spacing w:before="0" w:after="0" w:line="240" w:lineRule="auto"/>
              <w:ind w:firstLine="0" w:left="0"/>
              <w:jc w:val="left"/>
            </w:pPr>
            <w:r>
              <w:rPr>
                <w:sz w:val="20"/>
              </w:rPr>
              <w:t>The system prevents invalid or incomplete data from being saved.</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Data Protection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Data Protection obtained a mean of 3.69 (SD 0.46), interpreted as Strongly Agree. The highest-rated statement was DP1, “Patient, screening, and detection records are stored accurately and completely” (3.75), and the lowest was DP2, “Related records (patients, screenings, findings, recommendations, notes) remain consistent with one another” (3.58), which was still rated Strongly Agree. The IT experts were more critical than the patient respondents (3.47 against 3.86). No respondent disagreed with any statement in this section.</w:t>
      </w:r>
    </w:p>
    <w:p>
      <w:pPr>
        <w:pStyle w:val="Heading3"/>
        <w:keepNext/>
        <w:widowControl/>
        <w:spacing w:before="120" w:after="80" w:line="360" w:lineRule="auto"/>
        <w:ind w:firstLine="0" w:left="0"/>
        <w:jc w:val="left"/>
      </w:pPr>
      <w:r>
        <w:rPr/>
        <w:t>4.3.6 Evaluation Results for the System Features</w:t>
      </w:r>
    </w:p>
    <w:p>
      <w:pPr>
        <w:keepNext w:val="0"/>
        <w:widowControl/>
        <w:spacing w:before="0" w:after="120" w:line="360" w:lineRule="auto"/>
        <w:ind w:firstLine="720" w:left="0"/>
        <w:jc w:val="both"/>
      </w:pPr>
      <w:r>
        <w:rPr/>
        <w:t>Tables 38 to 40 present the results for the three sections on the system's main features, answered by all 103 respondents.</w:t>
      </w:r>
    </w:p>
    <w:p>
      <w:pPr>
        <w:keepNext/>
        <w:widowControl/>
        <w:spacing w:before="160" w:after="80" w:line="276" w:lineRule="auto"/>
        <w:ind w:firstLine="0" w:left="0"/>
        <w:jc w:val="left"/>
      </w:pPr>
      <w:r>
        <w:rPr>
          <w:b/>
        </w:rPr>
        <w:t>Table 38 Evaluation Results for AI Detection and Risk Classification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AD1</w:t>
            </w:r>
          </w:p>
        </w:tc>
        <w:tc>
          <w:tcPr>
            <w:tcW w:type="dxa" w:w="4487"/>
          </w:tcPr>
          <w:p>
            <w:pPr>
              <w:keepNext w:val="0"/>
              <w:widowControl/>
              <w:spacing w:before="0" w:after="0" w:line="240" w:lineRule="auto"/>
              <w:ind w:firstLine="0" w:left="0"/>
              <w:jc w:val="left"/>
            </w:pPr>
            <w:r>
              <w:rPr>
                <w:sz w:val="20"/>
              </w:rPr>
              <w:t>Toothwise accurately detects tartar, plaque, cavity, gum inflammation, and healthy tooth from a still intraoral photograph.</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AD2</w:t>
            </w:r>
          </w:p>
        </w:tc>
        <w:tc>
          <w:tcPr>
            <w:tcW w:type="dxa" w:w="4487"/>
          </w:tcPr>
          <w:p>
            <w:pPr>
              <w:keepNext w:val="0"/>
              <w:widowControl/>
              <w:spacing w:before="0" w:after="0" w:line="240" w:lineRule="auto"/>
              <w:ind w:firstLine="0" w:left="0"/>
              <w:jc w:val="left"/>
            </w:pPr>
            <w:r>
              <w:rPr>
                <w:sz w:val="20"/>
              </w:rPr>
              <w:t>Combining the YOLOv8 and YOLOv12 outputs produces dependable detection results.</w:t>
            </w:r>
          </w:p>
        </w:tc>
        <w:tc>
          <w:tcPr>
            <w:tcW w:type="dxa" w:w="828"/>
          </w:tcPr>
          <w:p>
            <w:pPr>
              <w:keepNext w:val="0"/>
              <w:widowControl/>
              <w:spacing w:before="0" w:after="0" w:line="240" w:lineRule="auto"/>
              <w:ind w:firstLine="0" w:left="0"/>
              <w:jc w:val="left"/>
            </w:pPr>
            <w:r>
              <w:rPr>
                <w:sz w:val="20"/>
              </w:rPr>
              <w:t>3.43</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AD3</w:t>
            </w:r>
          </w:p>
        </w:tc>
        <w:tc>
          <w:tcPr>
            <w:tcW w:type="dxa" w:w="4487"/>
          </w:tcPr>
          <w:p>
            <w:pPr>
              <w:keepNext w:val="0"/>
              <w:widowControl/>
              <w:spacing w:before="0" w:after="0" w:line="240" w:lineRule="auto"/>
              <w:ind w:firstLine="0" w:left="0"/>
              <w:jc w:val="left"/>
            </w:pPr>
            <w:r>
              <w:rPr>
                <w:sz w:val="20"/>
              </w:rPr>
              <w:t>The computed risk score and risk classification (Low, Medium, High) reflect the detected findings appropriately.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AD4</w:t>
            </w:r>
          </w:p>
        </w:tc>
        <w:tc>
          <w:tcPr>
            <w:tcW w:type="dxa" w:w="4487"/>
          </w:tcPr>
          <w:p>
            <w:pPr>
              <w:keepNext w:val="0"/>
              <w:widowControl/>
              <w:spacing w:before="0" w:after="0" w:line="240" w:lineRule="auto"/>
              <w:ind w:firstLine="0" w:left="0"/>
              <w:jc w:val="left"/>
            </w:pPr>
            <w:r>
              <w:rPr>
                <w:sz w:val="20"/>
              </w:rPr>
              <w:t>The system works well with photos taken using a standard device camera such as a smartphone or webcam.</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AD5</w:t>
            </w:r>
          </w:p>
        </w:tc>
        <w:tc>
          <w:tcPr>
            <w:tcW w:type="dxa" w:w="4487"/>
          </w:tcPr>
          <w:p>
            <w:pPr>
              <w:keepNext w:val="0"/>
              <w:widowControl/>
              <w:spacing w:before="0" w:after="0" w:line="240" w:lineRule="auto"/>
              <w:ind w:firstLine="0" w:left="0"/>
              <w:jc w:val="left"/>
            </w:pPr>
            <w:r>
              <w:rPr>
                <w:sz w:val="20"/>
              </w:rPr>
              <w:t>The detection results are a helpful reference that supports, but does not replace, the dentist's judgment.</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AI Detection and Risk Classification — mean</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AI Detection and Risk Classification obtained a mean of 3.45 (SD 0.53), interpreted as Strongly Agree. The highest-rated statement was AD3, “The computed risk score and risk classification (Low, Medium, High) reflect the detected findings appropriately” (3.50), and the lowest was AD5, “The detection results are a helpful reference that supports, but does not replace, the dentist's judgment” (3.40). Only 9 of the 515 ratings in this section were Disagree or Strongly Disagree. Although the respondents rated detection highly, this is a perception measure taken while using the system, not a measure of accuracy; the measured accuracy in Section 4.1 is moderate, and plaque in particular is often missed. One respondent noted that results may be wrong when the photograph is blurry and should still be checked by a dentist, which agrees with the design of the system.</w:t>
      </w:r>
    </w:p>
    <w:p>
      <w:pPr>
        <w:keepNext/>
        <w:widowControl/>
        <w:spacing w:before="160" w:after="80" w:line="276" w:lineRule="auto"/>
        <w:ind w:firstLine="0" w:left="0"/>
        <w:jc w:val="left"/>
      </w:pPr>
      <w:r>
        <w:rPr>
          <w:b/>
        </w:rPr>
        <w:t>Table 39 Evaluation Results for Results Interface and Patient Records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RI1</w:t>
            </w:r>
          </w:p>
        </w:tc>
        <w:tc>
          <w:tcPr>
            <w:tcW w:type="dxa" w:w="4487"/>
          </w:tcPr>
          <w:p>
            <w:pPr>
              <w:keepNext w:val="0"/>
              <w:widowControl/>
              <w:spacing w:before="0" w:after="0" w:line="240" w:lineRule="auto"/>
              <w:ind w:firstLine="0" w:left="0"/>
              <w:jc w:val="left"/>
            </w:pPr>
            <w:r>
              <w:rPr>
                <w:sz w:val="20"/>
              </w:rPr>
              <w:t>The bounding boxes and condition labels clearly show where each finding is located on the image.</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RI2</w:t>
            </w:r>
          </w:p>
        </w:tc>
        <w:tc>
          <w:tcPr>
            <w:tcW w:type="dxa" w:w="4487"/>
          </w:tcPr>
          <w:p>
            <w:pPr>
              <w:keepNext w:val="0"/>
              <w:widowControl/>
              <w:spacing w:before="0" w:after="0" w:line="240" w:lineRule="auto"/>
              <w:ind w:firstLine="0" w:left="0"/>
              <w:jc w:val="left"/>
            </w:pPr>
            <w:r>
              <w:rPr>
                <w:sz w:val="20"/>
              </w:rPr>
              <w:t>The plain-language descriptions make the findings easy to understand.</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RI3</w:t>
            </w:r>
          </w:p>
        </w:tc>
        <w:tc>
          <w:tcPr>
            <w:tcW w:type="dxa" w:w="4487"/>
          </w:tcPr>
          <w:p>
            <w:pPr>
              <w:keepNext w:val="0"/>
              <w:widowControl/>
              <w:spacing w:before="0" w:after="0" w:line="240" w:lineRule="auto"/>
              <w:ind w:firstLine="0" w:left="0"/>
              <w:jc w:val="left"/>
            </w:pPr>
            <w:r>
              <w:rPr>
                <w:sz w:val="20"/>
              </w:rPr>
              <w:t>The per-patient record makes it easy to review and compare findings across visits.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RI4</w:t>
            </w:r>
          </w:p>
        </w:tc>
        <w:tc>
          <w:tcPr>
            <w:tcW w:type="dxa" w:w="4487"/>
          </w:tcPr>
          <w:p>
            <w:pPr>
              <w:keepNext w:val="0"/>
              <w:widowControl/>
              <w:spacing w:before="0" w:after="0" w:line="240" w:lineRule="auto"/>
              <w:ind w:firstLine="0" w:left="0"/>
              <w:jc w:val="left"/>
            </w:pPr>
            <w:r>
              <w:rPr>
                <w:sz w:val="20"/>
              </w:rPr>
              <w:t>The downloadable PDF screening report is complete and useful for clinical recordkeeping.</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0.55</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RI5</w:t>
            </w:r>
          </w:p>
        </w:tc>
        <w:tc>
          <w:tcPr>
            <w:tcW w:type="dxa" w:w="4487"/>
          </w:tcPr>
          <w:p>
            <w:pPr>
              <w:keepNext w:val="0"/>
              <w:widowControl/>
              <w:spacing w:before="0" w:after="0" w:line="240" w:lineRule="auto"/>
              <w:ind w:firstLine="0" w:left="0"/>
              <w:jc w:val="left"/>
            </w:pPr>
            <w:r>
              <w:rPr>
                <w:sz w:val="20"/>
              </w:rPr>
              <w:t>The self-service patient portal lets patients conveniently view their own screening history and past findings.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Results Interface and Patient Records — mean</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Results Interface and Patient Records obtained a mean of 3.47 (SD 0.54), interpreted as Strongly Agree. The highest-rated statement was RI1, “The bounding boxes and condition labels clearly show where each finding is located on the image” (3.49), and the lowest was RI2, “The plain-language descriptions make the findings easy to understand” (3.45). Only 7 of the 515 ratings in this section were Disagree or Strongly Disagree. Respondents singled out the plain-language descriptions and the clear presentation of the results in their open-ended answers.</w:t>
      </w:r>
    </w:p>
    <w:p>
      <w:pPr>
        <w:keepNext/>
        <w:widowControl/>
        <w:spacing w:before="160" w:after="80" w:line="276" w:lineRule="auto"/>
        <w:ind w:firstLine="0" w:left="0"/>
        <w:jc w:val="left"/>
      </w:pPr>
      <w:r>
        <w:rPr>
          <w:b/>
        </w:rPr>
        <w:t>Table 40 Evaluation Results for KNN-Based Personalized Prevention Plan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PP1</w:t>
            </w:r>
          </w:p>
        </w:tc>
        <w:tc>
          <w:tcPr>
            <w:tcW w:type="dxa" w:w="4487"/>
          </w:tcPr>
          <w:p>
            <w:pPr>
              <w:keepNext w:val="0"/>
              <w:widowControl/>
              <w:spacing w:before="0" w:after="0" w:line="240" w:lineRule="auto"/>
              <w:ind w:firstLine="0" w:left="0"/>
              <w:jc w:val="left"/>
            </w:pPr>
            <w:r>
              <w:rPr>
                <w:sz w:val="20"/>
              </w:rPr>
              <w:t>The prevention plan is relevant to the patient's detected findings and risk classification.</w:t>
            </w:r>
          </w:p>
        </w:tc>
        <w:tc>
          <w:tcPr>
            <w:tcW w:type="dxa" w:w="828"/>
          </w:tcPr>
          <w:p>
            <w:pPr>
              <w:keepNext w:val="0"/>
              <w:widowControl/>
              <w:spacing w:before="0" w:after="0" w:line="240" w:lineRule="auto"/>
              <w:ind w:firstLine="0" w:left="0"/>
              <w:jc w:val="left"/>
            </w:pPr>
            <w:r>
              <w:rPr>
                <w:sz w:val="20"/>
              </w:rPr>
              <w:t>3.54</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PP2</w:t>
            </w:r>
          </w:p>
        </w:tc>
        <w:tc>
          <w:tcPr>
            <w:tcW w:type="dxa" w:w="4487"/>
          </w:tcPr>
          <w:p>
            <w:pPr>
              <w:keepNext w:val="0"/>
              <w:widowControl/>
              <w:spacing w:before="0" w:after="0" w:line="240" w:lineRule="auto"/>
              <w:ind w:firstLine="0" w:left="0"/>
              <w:jc w:val="left"/>
            </w:pPr>
            <w:r>
              <w:rPr>
                <w:sz w:val="20"/>
              </w:rPr>
              <w:t>The recommendations are clear and easy for patients to follow.</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PP3</w:t>
            </w:r>
          </w:p>
        </w:tc>
        <w:tc>
          <w:tcPr>
            <w:tcW w:type="dxa" w:w="4487"/>
          </w:tcPr>
          <w:p>
            <w:pPr>
              <w:keepNext w:val="0"/>
              <w:widowControl/>
              <w:spacing w:before="0" w:after="0" w:line="240" w:lineRule="auto"/>
              <w:ind w:firstLine="0" w:left="0"/>
              <w:jc w:val="left"/>
            </w:pPr>
            <w:r>
              <w:rPr>
                <w:sz w:val="20"/>
              </w:rPr>
              <w:t>The prevention plan encourages earlier preventive action and better oral health awareness.</w:t>
            </w:r>
          </w:p>
        </w:tc>
        <w:tc>
          <w:tcPr>
            <w:tcW w:type="dxa" w:w="828"/>
          </w:tcPr>
          <w:p>
            <w:pPr>
              <w:keepNext w:val="0"/>
              <w:widowControl/>
              <w:spacing w:before="0" w:after="0" w:line="240" w:lineRule="auto"/>
              <w:ind w:firstLine="0" w:left="0"/>
              <w:jc w:val="left"/>
            </w:pPr>
            <w:r>
              <w:rPr>
                <w:sz w:val="20"/>
              </w:rPr>
              <w:t>3.51</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PP4</w:t>
            </w:r>
          </w:p>
        </w:tc>
        <w:tc>
          <w:tcPr>
            <w:tcW w:type="dxa" w:w="4487"/>
          </w:tcPr>
          <w:p>
            <w:pPr>
              <w:keepNext w:val="0"/>
              <w:widowControl/>
              <w:spacing w:before="0" w:after="0" w:line="240" w:lineRule="auto"/>
              <w:ind w:firstLine="0" w:left="0"/>
              <w:jc w:val="left"/>
            </w:pPr>
            <w:r>
              <w:rPr>
                <w:sz w:val="20"/>
              </w:rPr>
              <w:t>The prevention plan appropriately serves as guidance and not as a formal medical prescription.</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KNN-Based Personalized Prevention Plan — mean</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0.51</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KNN-Based Personalized Prevention Plan obtained a mean of 3.50 (SD 0.51), interpreted as Strongly Agree. The highest-rated statement was PP1, “The prevention plan is relevant to the patient's detected findings and risk classification” (3.54), and the lowest was PP2, “The recommendations are clear and easy for patients to follow” (3.47). Only 2 of the 412 ratings in this section were Disagree or Strongly Disagree. This was the highest-rated of the three feature sections. Respondents wrote that the tips were clear and helped them remember to care for their teeth, and several asked for more dental health tips, check-up reminders, and short videos.</w:t>
      </w:r>
    </w:p>
    <w:p>
      <w:pPr>
        <w:pStyle w:val="Heading3"/>
        <w:keepNext/>
        <w:widowControl/>
        <w:spacing w:before="120" w:after="80" w:line="360" w:lineRule="auto"/>
        <w:ind w:firstLine="0" w:left="0"/>
        <w:jc w:val="left"/>
      </w:pPr>
      <w:r>
        <w:rPr/>
        <w:t>4.3.7 Summary of the Evaluation</w:t>
      </w:r>
    </w:p>
    <w:p>
      <w:pPr>
        <w:keepNext/>
        <w:widowControl/>
        <w:spacing w:before="160" w:after="80" w:line="276" w:lineRule="auto"/>
        <w:ind w:firstLine="0" w:left="0"/>
        <w:jc w:val="left"/>
      </w:pPr>
      <w:r>
        <w:rPr>
          <w:b/>
        </w:rPr>
        <w:t>Table 41 Summary of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077"/>
        <w:gridCol w:w="1137"/>
        <w:gridCol w:w="1271"/>
        <w:gridCol w:w="1003"/>
        <w:gridCol w:w="735"/>
        <w:gridCol w:w="1471"/>
      </w:tblGrid>
      <w:tr>
        <w:trPr>
          <w:cantSplit/>
          <w:tblHeader/>
        </w:trPr>
        <w:tc>
          <w:tcPr>
            <w:tcW w:type="dxa" w:w="3078"/>
            <w:shd w:val="clear" w:color="auto" w:fill="D9D9D9"/>
          </w:tcPr>
          <w:p>
            <w:pPr>
              <w:keepNext/>
              <w:widowControl/>
              <w:spacing w:before="0" w:after="0" w:line="240" w:lineRule="auto"/>
              <w:ind w:firstLine="0" w:left="0"/>
              <w:jc w:val="left"/>
            </w:pPr>
            <w:r>
              <w:rPr>
                <w:b/>
                <w:sz w:val="20"/>
              </w:rPr>
              <w:t>Section</w:t>
            </w:r>
          </w:p>
        </w:tc>
        <w:tc>
          <w:tcPr>
            <w:tcW w:type="dxa" w:w="1137"/>
            <w:shd w:val="clear" w:color="auto" w:fill="D9D9D9"/>
          </w:tcPr>
          <w:p>
            <w:pPr>
              <w:keepNext/>
              <w:widowControl/>
              <w:spacing w:before="0" w:after="0" w:line="240" w:lineRule="auto"/>
              <w:ind w:firstLine="0" w:left="0"/>
              <w:jc w:val="left"/>
            </w:pPr>
            <w:r>
              <w:rPr>
                <w:b/>
                <w:sz w:val="20"/>
              </w:rPr>
              <w:t>IT experts (WM)</w:t>
            </w:r>
          </w:p>
        </w:tc>
        <w:tc>
          <w:tcPr>
            <w:tcW w:type="dxa" w:w="1271"/>
            <w:shd w:val="clear" w:color="auto" w:fill="D9D9D9"/>
          </w:tcPr>
          <w:p>
            <w:pPr>
              <w:keepNext/>
              <w:widowControl/>
              <w:spacing w:before="0" w:after="0" w:line="240" w:lineRule="auto"/>
              <w:ind w:firstLine="0" w:left="0"/>
              <w:jc w:val="left"/>
            </w:pPr>
            <w:r>
              <w:rPr>
                <w:b/>
                <w:sz w:val="20"/>
              </w:rPr>
              <w:t>Patient respondents (WM)</w:t>
            </w:r>
          </w:p>
        </w:tc>
        <w:tc>
          <w:tcPr>
            <w:tcW w:type="dxa" w:w="1004"/>
            <w:shd w:val="clear" w:color="auto" w:fill="D9D9D9"/>
          </w:tcPr>
          <w:p>
            <w:pPr>
              <w:keepNext/>
              <w:widowControl/>
              <w:spacing w:before="0" w:after="0" w:line="240" w:lineRule="auto"/>
              <w:ind w:firstLine="0" w:left="0"/>
              <w:jc w:val="left"/>
            </w:pPr>
            <w:r>
              <w:rPr>
                <w:b/>
                <w:sz w:val="20"/>
              </w:rPr>
              <w:t>Overall WM</w:t>
            </w:r>
          </w:p>
        </w:tc>
        <w:tc>
          <w:tcPr>
            <w:tcW w:type="dxa" w:w="736"/>
            <w:shd w:val="clear" w:color="auto" w:fill="D9D9D9"/>
          </w:tcPr>
          <w:p>
            <w:pPr>
              <w:keepNext/>
              <w:widowControl/>
              <w:spacing w:before="0" w:after="0" w:line="240" w:lineRule="auto"/>
              <w:ind w:firstLine="0" w:left="0"/>
              <w:jc w:val="left"/>
            </w:pPr>
            <w:r>
              <w:rPr>
                <w:b/>
                <w:sz w:val="20"/>
              </w:rPr>
              <w:t>SD</w:t>
            </w:r>
          </w:p>
        </w:tc>
        <w:tc>
          <w:tcPr>
            <w:tcW w:type="dxa" w:w="1472"/>
            <w:shd w:val="clear" w:color="auto" w:fill="D9D9D9"/>
          </w:tcPr>
          <w:p>
            <w:pPr>
              <w:keepNext/>
              <w:widowControl/>
              <w:spacing w:before="0" w:after="0" w:line="240" w:lineRule="auto"/>
              <w:ind w:firstLine="0" w:left="0"/>
              <w:jc w:val="left"/>
            </w:pPr>
            <w:r>
              <w:rPr>
                <w:b/>
                <w:sz w:val="20"/>
              </w:rPr>
              <w:t>Interpretation</w:t>
            </w:r>
          </w:p>
        </w:tc>
      </w:tr>
      <w:tr>
        <w:trPr/>
        <w:tc>
          <w:tcPr>
            <w:tcW w:type="dxa" w:w="3078"/>
          </w:tcPr>
          <w:p>
            <w:pPr>
              <w:keepNext w:val="0"/>
              <w:widowControl/>
              <w:spacing w:before="0" w:after="0" w:line="240" w:lineRule="auto"/>
              <w:ind w:firstLine="0" w:left="0"/>
              <w:jc w:val="left"/>
            </w:pPr>
            <w:r>
              <w:rPr>
                <w:sz w:val="20"/>
              </w:rPr>
              <w:t>Security</w:t>
            </w:r>
          </w:p>
        </w:tc>
        <w:tc>
          <w:tcPr>
            <w:tcW w:type="dxa" w:w="1137"/>
          </w:tcPr>
          <w:p>
            <w:pPr>
              <w:keepNext w:val="0"/>
              <w:widowControl/>
              <w:spacing w:before="0" w:after="0" w:line="240" w:lineRule="auto"/>
              <w:ind w:firstLine="0" w:left="0"/>
              <w:jc w:val="left"/>
            </w:pPr>
            <w:r>
              <w:rPr>
                <w:sz w:val="20"/>
              </w:rPr>
              <w:t>3.45</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Privacy</w:t>
            </w:r>
          </w:p>
        </w:tc>
        <w:tc>
          <w:tcPr>
            <w:tcW w:type="dxa" w:w="1137"/>
          </w:tcPr>
          <w:p>
            <w:pPr>
              <w:keepNext w:val="0"/>
              <w:widowControl/>
              <w:spacing w:before="0" w:after="0" w:line="240" w:lineRule="auto"/>
              <w:ind w:firstLine="0" w:left="0"/>
              <w:jc w:val="left"/>
            </w:pPr>
            <w:r>
              <w:rPr>
                <w:sz w:val="20"/>
              </w:rPr>
              <w:t>3.53</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3.72</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Usability</w:t>
            </w:r>
          </w:p>
        </w:tc>
        <w:tc>
          <w:tcPr>
            <w:tcW w:type="dxa" w:w="1137"/>
          </w:tcPr>
          <w:p>
            <w:pPr>
              <w:keepNext w:val="0"/>
              <w:widowControl/>
              <w:spacing w:before="0" w:after="0" w:line="240" w:lineRule="auto"/>
              <w:ind w:firstLine="0" w:left="0"/>
              <w:jc w:val="left"/>
            </w:pPr>
            <w:r>
              <w:rPr>
                <w:sz w:val="20"/>
              </w:rPr>
              <w:t>3.50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3.71</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Reliability</w:t>
            </w:r>
          </w:p>
        </w:tc>
        <w:tc>
          <w:tcPr>
            <w:tcW w:type="dxa" w:w="1137"/>
          </w:tcPr>
          <w:p>
            <w:pPr>
              <w:keepNext w:val="0"/>
              <w:widowControl/>
              <w:spacing w:before="0" w:after="0" w:line="240" w:lineRule="auto"/>
              <w:ind w:firstLine="0" w:left="0"/>
              <w:jc w:val="left"/>
            </w:pPr>
            <w:r>
              <w:rPr>
                <w:sz w:val="20"/>
              </w:rPr>
              <w:t>3.27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3.61</w:t>
            </w:r>
          </w:p>
        </w:tc>
        <w:tc>
          <w:tcPr>
            <w:tcW w:type="dxa" w:w="736"/>
          </w:tcPr>
          <w:p>
            <w:pPr>
              <w:keepNext w:val="0"/>
              <w:widowControl/>
              <w:spacing w:before="0" w:after="0" w:line="240" w:lineRule="auto"/>
              <w:ind w:firstLine="0" w:left="0"/>
              <w:jc w:val="left"/>
            </w:pPr>
            <w:r>
              <w:rPr>
                <w:sz w:val="20"/>
              </w:rPr>
              <w:t>0.49</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Performance Efficiency</w:t>
            </w:r>
          </w:p>
        </w:tc>
        <w:tc>
          <w:tcPr>
            <w:tcW w:type="dxa" w:w="1137"/>
          </w:tcPr>
          <w:p>
            <w:pPr>
              <w:keepNext w:val="0"/>
              <w:widowControl/>
              <w:spacing w:before="0" w:after="0" w:line="240" w:lineRule="auto"/>
              <w:ind w:firstLine="0" w:left="0"/>
              <w:jc w:val="left"/>
            </w:pPr>
            <w:r>
              <w:rPr>
                <w:sz w:val="20"/>
              </w:rPr>
              <w:t>3.40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3.67</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Data Protection</w:t>
            </w:r>
          </w:p>
        </w:tc>
        <w:tc>
          <w:tcPr>
            <w:tcW w:type="dxa" w:w="1137"/>
          </w:tcPr>
          <w:p>
            <w:pPr>
              <w:keepNext w:val="0"/>
              <w:widowControl/>
              <w:spacing w:before="0" w:after="0" w:line="240" w:lineRule="auto"/>
              <w:ind w:firstLine="0" w:left="0"/>
              <w:jc w:val="left"/>
            </w:pPr>
            <w:r>
              <w:rPr>
                <w:sz w:val="20"/>
              </w:rPr>
              <w:t>3.47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AI Detection and Risk Classification</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3.46</w:t>
            </w:r>
          </w:p>
        </w:tc>
        <w:tc>
          <w:tcPr>
            <w:tcW w:type="dxa" w:w="1004"/>
          </w:tcPr>
          <w:p>
            <w:pPr>
              <w:keepNext w:val="0"/>
              <w:widowControl/>
              <w:spacing w:before="0" w:after="0" w:line="240" w:lineRule="auto"/>
              <w:ind w:firstLine="0" w:left="0"/>
              <w:jc w:val="left"/>
            </w:pPr>
            <w:r>
              <w:rPr>
                <w:sz w:val="20"/>
              </w:rPr>
              <w:t>3.45</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Results Interface and Patient Records</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3.48</w:t>
            </w:r>
          </w:p>
        </w:tc>
        <w:tc>
          <w:tcPr>
            <w:tcW w:type="dxa" w:w="1004"/>
          </w:tcPr>
          <w:p>
            <w:pPr>
              <w:keepNext w:val="0"/>
              <w:widowControl/>
              <w:spacing w:before="0" w:after="0" w:line="240" w:lineRule="auto"/>
              <w:ind w:firstLine="0" w:left="0"/>
              <w:jc w:val="left"/>
            </w:pPr>
            <w:r>
              <w:rPr>
                <w:sz w:val="20"/>
              </w:rPr>
              <w:t>3.47</w:t>
            </w:r>
          </w:p>
        </w:tc>
        <w:tc>
          <w:tcPr>
            <w:tcW w:type="dxa" w:w="736"/>
          </w:tcPr>
          <w:p>
            <w:pPr>
              <w:keepNext w:val="0"/>
              <w:widowControl/>
              <w:spacing w:before="0" w:after="0" w:line="240" w:lineRule="auto"/>
              <w:ind w:firstLine="0" w:left="0"/>
              <w:jc w:val="left"/>
            </w:pPr>
            <w:r>
              <w:rPr>
                <w:sz w:val="20"/>
              </w:rPr>
              <w:t>0.54</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KNN-Based Personalized Prevention Plan</w:t>
            </w:r>
          </w:p>
        </w:tc>
        <w:tc>
          <w:tcPr>
            <w:tcW w:type="dxa" w:w="1137"/>
          </w:tcPr>
          <w:p>
            <w:pPr>
              <w:keepNext w:val="0"/>
              <w:widowControl/>
              <w:spacing w:before="0" w:after="0" w:line="240" w:lineRule="auto"/>
              <w:ind w:firstLine="0" w:left="0"/>
              <w:jc w:val="left"/>
            </w:pPr>
            <w:r>
              <w:rPr>
                <w:sz w:val="20"/>
              </w:rPr>
              <w:t>3.35</w:t>
            </w:r>
          </w:p>
        </w:tc>
        <w:tc>
          <w:tcPr>
            <w:tcW w:type="dxa" w:w="1271"/>
          </w:tcPr>
          <w:p>
            <w:pPr>
              <w:keepNext w:val="0"/>
              <w:widowControl/>
              <w:spacing w:before="0" w:after="0" w:line="240" w:lineRule="auto"/>
              <w:ind w:firstLine="0" w:left="0"/>
              <w:jc w:val="left"/>
            </w:pPr>
            <w:r>
              <w:rPr>
                <w:sz w:val="20"/>
              </w:rPr>
              <w:t>3.51</w:t>
            </w:r>
          </w:p>
        </w:tc>
        <w:tc>
          <w:tcPr>
            <w:tcW w:type="dxa" w:w="1004"/>
          </w:tcPr>
          <w:p>
            <w:pPr>
              <w:keepNext w:val="0"/>
              <w:widowControl/>
              <w:spacing w:before="0" w:after="0" w:line="240" w:lineRule="auto"/>
              <w:ind w:firstLine="0" w:left="0"/>
              <w:jc w:val="left"/>
            </w:pPr>
            <w:r>
              <w:rPr>
                <w:sz w:val="20"/>
              </w:rPr>
              <w:t>3.50</w:t>
            </w:r>
          </w:p>
        </w:tc>
        <w:tc>
          <w:tcPr>
            <w:tcW w:type="dxa" w:w="736"/>
          </w:tcPr>
          <w:p>
            <w:pPr>
              <w:keepNext w:val="0"/>
              <w:widowControl/>
              <w:spacing w:before="0" w:after="0" w:line="240" w:lineRule="auto"/>
              <w:ind w:firstLine="0" w:left="0"/>
              <w:jc w:val="left"/>
            </w:pPr>
            <w:r>
              <w:rPr>
                <w:sz w:val="20"/>
              </w:rPr>
              <w:t>0.51</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Quality characteristics (mean of six)</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3.68</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System features (mean of three)</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3.48</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bl>
    <w:p>
      <w:pPr>
        <w:keepNext w:val="0"/>
        <w:widowControl/>
        <w:spacing w:before="40" w:after="160" w:line="240" w:lineRule="auto"/>
        <w:ind w:firstLine="0" w:left="0"/>
        <w:jc w:val="left"/>
      </w:pPr>
      <w:r>
        <w:rPr>
          <w:i/>
          <w:sz w:val="20"/>
        </w:rPr>
        <w:t>Quality characteristics: N = 12; system features: N = 103.</w:t>
      </w:r>
    </w:p>
    <w:p>
      <w:pPr>
        <w:keepNext w:val="0"/>
        <w:widowControl/>
        <w:spacing w:before="0" w:after="120" w:line="360" w:lineRule="auto"/>
        <w:ind w:firstLine="720" w:left="0"/>
        <w:jc w:val="both"/>
      </w:pPr>
      <w:r>
        <w:rPr/>
        <w:t>All nine sections were rated Strongly Agree and are therefore interpreted as Highly Acceptable. The six quality characteristics obtained an overall mean of 3.68 and the three feature sections 3.48. Among the quality characteristics, Privacy was rated highest (3.72) and Reliability lowest (3.61). The IT experts rated every section lower than the patient respondents, but still within Strongly Agree, which is expected of evaluators who judge the system against technical standards. Disagreement was rare: 0 of 240 quality ratings and 18 of 1442 feature ratings were Disagree or Strongly Disagree.</w:t>
      </w:r>
    </w:p>
    <w:p>
      <w:pPr>
        <w:keepNext w:val="0"/>
        <w:widowControl/>
        <w:spacing w:before="0" w:after="120" w:line="360" w:lineRule="auto"/>
        <w:ind w:firstLine="720" w:left="0"/>
        <w:jc w:val="both"/>
      </w:pPr>
      <w:r>
        <w:rPr/>
        <w:t>Two cautions apply. First, the six quality sections were answered by only 12 of the 103 respondents, and only 5 of the respondents were IT experts, so the quality ratings rest on a small group; no dentist or clinic staff member answered the questionnaire. Second, the ratings express how the respondents perceived the system, and are read together with the measured results in Sections 4.1 and 4.2. In the open-ended answers, the respondents most often praised the system's ease of use, clear interface, and understandable explanations; the difficulties they reported were slow first loading, pages with much information at once, some features being hard to find, and inaccurate results from blurry photographs; and their suggestions were reminders for brushing and check-ups, more dental tips and short videos, a faster and easier search, more detectable conditions with better accuracy, and an additional security measure for authorized personnel.</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This section answers the fifth problem of the study. The planned controlled comparison, in which the same patients would be screened and timed with and without Toothwise against the dentist's findings, could not be carried out because the study did not involve the clinic's patients. The fifth problem is therefore answered through the respondents' assessment of the current manual process and of Toothwise's effect on screening consistency and time (Tables 42 and 43), together with the measured processing time in Section 4.1.6.</w:t>
      </w:r>
    </w:p>
    <w:p>
      <w:pPr>
        <w:keepNext/>
        <w:widowControl/>
        <w:spacing w:before="160" w:after="80" w:line="276" w:lineRule="auto"/>
        <w:ind w:firstLine="0" w:left="0"/>
        <w:jc w:val="left"/>
      </w:pPr>
      <w:r>
        <w:rPr>
          <w:b/>
        </w:rPr>
        <w:t>Table 42 Respondents' Assessment of the Current Manual Screening Process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MS1</w:t>
            </w:r>
          </w:p>
        </w:tc>
        <w:tc>
          <w:tcPr>
            <w:tcW w:type="dxa" w:w="4487"/>
          </w:tcPr>
          <w:p>
            <w:pPr>
              <w:keepNext w:val="0"/>
              <w:widowControl/>
              <w:spacing w:before="0" w:after="0" w:line="240" w:lineRule="auto"/>
              <w:ind w:firstLine="0" w:left="0"/>
              <w:jc w:val="left"/>
            </w:pPr>
            <w:r>
              <w:rPr>
                <w:sz w:val="20"/>
              </w:rPr>
              <w:t>Early-stage tartar, plaque, cavity, and gum inflammation are difficult to detect consistently through visual inspection alone.</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MS2</w:t>
            </w:r>
          </w:p>
        </w:tc>
        <w:tc>
          <w:tcPr>
            <w:tcW w:type="dxa" w:w="4487"/>
          </w:tcPr>
          <w:p>
            <w:pPr>
              <w:keepNext w:val="0"/>
              <w:widowControl/>
              <w:spacing w:before="0" w:after="0" w:line="240" w:lineRule="auto"/>
              <w:ind w:firstLine="0" w:left="0"/>
              <w:jc w:val="left"/>
            </w:pPr>
            <w:r>
              <w:rPr>
                <w:sz w:val="20"/>
              </w:rPr>
              <w:t>Findings from visual-only screening can differ between examinations of the same patient.</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MS3</w:t>
            </w:r>
          </w:p>
        </w:tc>
        <w:tc>
          <w:tcPr>
            <w:tcW w:type="dxa" w:w="4487"/>
          </w:tcPr>
          <w:p>
            <w:pPr>
              <w:keepNext w:val="0"/>
              <w:widowControl/>
              <w:spacing w:before="0" w:after="0" w:line="240" w:lineRule="auto"/>
              <w:ind w:firstLine="0" w:left="0"/>
              <w:jc w:val="left"/>
            </w:pPr>
            <w:r>
              <w:rPr>
                <w:sz w:val="20"/>
              </w:rPr>
              <w:t>Lighting, viewing angle, and condition stage affect how reliably dental conditions are identified by eye.</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MS4</w:t>
            </w:r>
          </w:p>
        </w:tc>
        <w:tc>
          <w:tcPr>
            <w:tcW w:type="dxa" w:w="4487"/>
          </w:tcPr>
          <w:p>
            <w:pPr>
              <w:keepNext w:val="0"/>
              <w:widowControl/>
              <w:spacing w:before="0" w:after="0" w:line="240" w:lineRule="auto"/>
              <w:ind w:firstLine="0" w:left="0"/>
              <w:jc w:val="left"/>
            </w:pPr>
            <w:r>
              <w:rPr>
                <w:sz w:val="20"/>
              </w:rPr>
              <w:t>The clinic lacks a standardized visual record of screening findings that can be compared across visits.</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MS5</w:t>
            </w:r>
          </w:p>
        </w:tc>
        <w:tc>
          <w:tcPr>
            <w:tcW w:type="dxa" w:w="4487"/>
          </w:tcPr>
          <w:p>
            <w:pPr>
              <w:keepNext w:val="0"/>
              <w:widowControl/>
              <w:spacing w:before="0" w:after="0" w:line="240" w:lineRule="auto"/>
              <w:ind w:firstLine="0" w:left="0"/>
              <w:jc w:val="left"/>
            </w:pPr>
            <w:r>
              <w:rPr>
                <w:sz w:val="20"/>
              </w:rPr>
              <w:t>Patients currently have no convenient way to review their own screening history.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MS6</w:t>
            </w:r>
          </w:p>
        </w:tc>
        <w:tc>
          <w:tcPr>
            <w:tcW w:type="dxa" w:w="4487"/>
          </w:tcPr>
          <w:p>
            <w:pPr>
              <w:keepNext w:val="0"/>
              <w:widowControl/>
              <w:spacing w:before="0" w:after="0" w:line="240" w:lineRule="auto"/>
              <w:ind w:firstLine="0" w:left="0"/>
              <w:jc w:val="left"/>
            </w:pPr>
            <w:r>
              <w:rPr>
                <w:sz w:val="20"/>
              </w:rPr>
              <w:t>Patients rarely receive preventive guidance that is specific to their own screening findings.</w:t>
            </w:r>
          </w:p>
        </w:tc>
        <w:tc>
          <w:tcPr>
            <w:tcW w:type="dxa" w:w="828"/>
          </w:tcPr>
          <w:p>
            <w:pPr>
              <w:keepNext w:val="0"/>
              <w:widowControl/>
              <w:spacing w:before="0" w:after="0" w:line="240" w:lineRule="auto"/>
              <w:ind w:firstLine="0" w:left="0"/>
              <w:jc w:val="left"/>
            </w:pPr>
            <w:r>
              <w:rPr>
                <w:sz w:val="20"/>
              </w:rPr>
              <w:t>2.50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Disagree</w:t>
            </w:r>
          </w:p>
        </w:tc>
      </w:tr>
      <w:tr>
        <w:trPr/>
        <w:tc>
          <w:tcPr>
            <w:tcW w:type="dxa" w:w="759"/>
          </w:tcPr>
          <w:p>
            <w:pPr>
              <w:keepNext w:val="0"/>
              <w:widowControl/>
              <w:spacing w:before="0" w:after="0" w:line="240" w:lineRule="auto"/>
              <w:ind w:firstLine="0" w:left="0"/>
              <w:jc w:val="left"/>
            </w:pPr>
            <w:r>
              <w:rPr>
                <w:sz w:val="20"/>
              </w:rPr>
              <w:t>MS7</w:t>
            </w:r>
          </w:p>
        </w:tc>
        <w:tc>
          <w:tcPr>
            <w:tcW w:type="dxa" w:w="4487"/>
          </w:tcPr>
          <w:p>
            <w:pPr>
              <w:keepNext w:val="0"/>
              <w:widowControl/>
              <w:spacing w:before="0" w:after="0" w:line="240" w:lineRule="auto"/>
              <w:ind w:firstLine="0" w:left="0"/>
              <w:jc w:val="left"/>
            </w:pPr>
            <w:r>
              <w:rPr>
                <w:sz w:val="20"/>
              </w:rPr>
              <w:t>A tool that supports consistent early screening would be useful to the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Current Manual Screening Process — mean</w:t>
            </w:r>
          </w:p>
        </w:tc>
        <w:tc>
          <w:tcPr>
            <w:tcW w:type="dxa" w:w="828"/>
          </w:tcPr>
          <w:p>
            <w:pPr>
              <w:keepNext w:val="0"/>
              <w:widowControl/>
              <w:spacing w:before="0" w:after="0" w:line="240" w:lineRule="auto"/>
              <w:ind w:firstLine="0" w:left="0"/>
              <w:jc w:val="left"/>
            </w:pPr>
            <w:r>
              <w:rPr>
                <w:sz w:val="20"/>
              </w:rPr>
              <w:t>3.21</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widowControl/>
        <w:spacing w:before="160" w:after="80" w:line="276" w:lineRule="auto"/>
        <w:ind w:firstLine="0" w:left="0"/>
        <w:jc w:val="left"/>
      </w:pPr>
      <w:r>
        <w:rPr>
          <w:b/>
        </w:rPr>
        <w:t>Table 43 Respondents' Assessment of Screening Consistency and Time with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SC1</w:t>
            </w:r>
          </w:p>
        </w:tc>
        <w:tc>
          <w:tcPr>
            <w:tcW w:type="dxa" w:w="4487"/>
          </w:tcPr>
          <w:p>
            <w:pPr>
              <w:keepNext w:val="0"/>
              <w:widowControl/>
              <w:spacing w:before="0" w:after="0" w:line="240" w:lineRule="auto"/>
              <w:ind w:firstLine="0" w:left="0"/>
              <w:jc w:val="left"/>
            </w:pPr>
            <w:r>
              <w:rPr>
                <w:sz w:val="20"/>
              </w:rPr>
              <w:t>Toothwise makes screening results more consistent than the manual visual-only process.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SC2</w:t>
            </w:r>
          </w:p>
        </w:tc>
        <w:tc>
          <w:tcPr>
            <w:tcW w:type="dxa" w:w="4487"/>
          </w:tcPr>
          <w:p>
            <w:pPr>
              <w:keepNext w:val="0"/>
              <w:widowControl/>
              <w:spacing w:before="0" w:after="0" w:line="240" w:lineRule="auto"/>
              <w:ind w:firstLine="0" w:left="0"/>
              <w:jc w:val="left"/>
            </w:pPr>
            <w:r>
              <w:rPr>
                <w:sz w:val="20"/>
              </w:rPr>
              <w:t>Toothwise reduces the time needed to complete and document a screening.</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SC3</w:t>
            </w:r>
          </w:p>
        </w:tc>
        <w:tc>
          <w:tcPr>
            <w:tcW w:type="dxa" w:w="4487"/>
          </w:tcPr>
          <w:p>
            <w:pPr>
              <w:keepNext w:val="0"/>
              <w:widowControl/>
              <w:spacing w:before="0" w:after="0" w:line="240" w:lineRule="auto"/>
              <w:ind w:firstLine="0" w:left="0"/>
              <w:jc w:val="left"/>
            </w:pPr>
            <w:r>
              <w:rPr>
                <w:sz w:val="20"/>
              </w:rPr>
              <w:t>Toothwise's findings agree well with the dentist's own findings.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SC4</w:t>
            </w:r>
          </w:p>
        </w:tc>
        <w:tc>
          <w:tcPr>
            <w:tcW w:type="dxa" w:w="4487"/>
          </w:tcPr>
          <w:p>
            <w:pPr>
              <w:keepNext w:val="0"/>
              <w:widowControl/>
              <w:spacing w:before="0" w:after="0" w:line="240" w:lineRule="auto"/>
              <w:ind w:firstLine="0" w:left="0"/>
              <w:jc w:val="left"/>
            </w:pPr>
            <w:r>
              <w:rPr>
                <w:sz w:val="20"/>
              </w:rPr>
              <w:t>Toothwise fits smoothly into the clinic's existing screening workflow.</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SC5</w:t>
            </w:r>
          </w:p>
        </w:tc>
        <w:tc>
          <w:tcPr>
            <w:tcW w:type="dxa" w:w="4487"/>
          </w:tcPr>
          <w:p>
            <w:pPr>
              <w:keepNext w:val="0"/>
              <w:widowControl/>
              <w:spacing w:before="0" w:after="0" w:line="240" w:lineRule="auto"/>
              <w:ind w:firstLine="0" w:left="0"/>
              <w:jc w:val="left"/>
            </w:pPr>
            <w:r>
              <w:rPr>
                <w:sz w:val="20"/>
              </w:rPr>
              <w:t>I would recommend the continued use of Toothwise at CodiSmile Dental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Screening Consistency and Time — mean</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2. These two sections were optional and were answered by only 2 respondents, so the results are reported for completeness and are not generalized.</w:t>
      </w:r>
    </w:p>
    <w:p>
      <w:pPr>
        <w:keepNext w:val="0"/>
        <w:widowControl/>
        <w:spacing w:before="0" w:after="120" w:line="360" w:lineRule="auto"/>
        <w:ind w:firstLine="720" w:left="0"/>
        <w:jc w:val="both"/>
      </w:pPr>
      <w:r>
        <w:rPr/>
        <w:t>The 2 respondents agreed that the current visual-only process has the limitations identified in the first problem (mean 3.21): findings can differ between examinations, lighting and angle affect what can be seen, and a tool that supports consistent early screening would be useful. The only statement rated Disagree was MS6, “Patients rarely receive preventive guidance that is specific to their own screening findings” (2.50). They also agreed that Toothwise makes results more consistent, reduces the time needed to complete and document a screening, and agrees with the dentist's own findings (mean 3.40), and they would recommend its continued use. Because only 2 respondents answered these sections and no screening was timed, these results indicate a direction rather than a measured effect. The measured part of the answer is the processing time: the deployed system completes a screening, with both models, in about 3 to 4 seconds (Section 4.1.6), and it records every finding, the risk result, and the prevention plan automatically, so the documentation of a screening no longer has to be written by hand.</w:t>
      </w:r>
    </w:p>
    <w:p>
      <w:pPr>
        <w:pStyle w:val="Heading1"/>
        <w:keepNext/>
        <w:pageBreakBefore/>
        <w:widowControl/>
        <w:spacing w:before="0" w:after="240" w:line="360" w:lineRule="auto"/>
        <w:ind w:firstLine="0" w:left="0"/>
        <w:jc w:val="center"/>
      </w:pPr>
      <w:r>
        <w:t>CHAPTER V</w:t>
        <w:br/>
      </w:r>
      <w:r>
        <w:t>SUMMARY OF FINDINGS, CONCLUSIONS, AND RECOMMENDATIONS</w:t>
      </w:r>
    </w:p>
    <w:p>
      <w:pPr>
        <w:keepNext w:val="0"/>
        <w:widowControl/>
        <w:spacing w:before="0" w:after="120" w:line="360" w:lineRule="auto"/>
        <w:ind w:firstLine="720" w:left="0"/>
        <w:jc w:val="both"/>
      </w:pPr>
      <w:r>
        <w:rPr/>
        <w:t>This chapter summarizes the findings of the study, states the conclusions drawn from them, and presents recommendations for CodiSmile Dental Clinic, for the further development of Toothwise, and for future researchers.</w:t>
      </w:r>
    </w:p>
    <w:p>
      <w:pPr>
        <w:pStyle w:val="Heading2"/>
        <w:keepNext/>
        <w:widowControl/>
        <w:spacing w:before="200" w:after="80" w:line="360" w:lineRule="auto"/>
        <w:ind w:firstLine="0" w:left="0"/>
        <w:jc w:val="left"/>
      </w:pPr>
      <w:r>
        <w:rPr/>
        <w:t>5.1 Summary of Findings</w:t>
      </w:r>
    </w:p>
    <w:p>
      <w:pPr>
        <w:keepNext w:val="0"/>
        <w:widowControl/>
        <w:spacing w:before="0" w:after="120" w:line="360" w:lineRule="auto"/>
        <w:ind w:firstLine="720" w:left="0"/>
        <w:jc w:val="both"/>
      </w:pPr>
      <w:r>
        <w:rPr/>
        <w:t>The findings are summarized according to the five problems stated in Chapter I.</w:t>
      </w:r>
    </w:p>
    <w:p>
      <w:pPr>
        <w:keepNext w:val="0"/>
        <w:widowControl/>
        <w:tabs>
          <w:tab w:pos="864" w:val="left"/>
        </w:tabs>
        <w:spacing w:before="0" w:after="80" w:line="360" w:lineRule="auto"/>
        <w:ind w:hanging="432" w:left="864"/>
        <w:jc w:val="both"/>
      </w:pPr>
      <w:r>
        <w:rPr/>
        <w:t>1.</w:t>
        <w:tab/>
      </w:r>
      <w:r>
        <w:rPr>
          <w:b/>
        </w:rPr>
        <w:t>Detection of the five conditions (Problem 1).</w:t>
      </w:r>
      <w:r>
        <w:rPr/>
        <w:t xml:space="preserve"> YOLOv8 and YOLOv12 were trained on 40,271 images merged from four public datasets and tested on 2,930 unseen images. On the test split, YOLOv8 obtained a precision of 54.32%, a recall of 52.34%, and an mAP@50 of 51.91%; YOLOv12 obtained 52.94%, 50.06%, and 48.11%, with about 24% fewer parameters and slightly faster inference (about 206 ms against 216 ms per image on CPU). Fusing the two models raised the mAP@50 to 54.24%. Healthy tooth and cavity were detected best, and plaque worst (mAP@50 below 10%). Detection accuracy at the deployed threshold was 43.77% for YOLOv8, 41.85% for YOLOv12, and 43.02% for the ensemble. In the deployed system, a screening takes about 3 to 4 seconds, and metal brackets are filtered out so that they are not reported as cavities. The respondents who evaluated the current manual process agreed that it has the limitations described in the first problem (mean 3.21).</w:t>
      </w:r>
    </w:p>
    <w:p>
      <w:pPr>
        <w:keepNext w:val="0"/>
        <w:widowControl/>
        <w:tabs>
          <w:tab w:pos="864" w:val="left"/>
        </w:tabs>
        <w:spacing w:before="0" w:after="80" w:line="360" w:lineRule="auto"/>
        <w:ind w:hanging="432" w:left="864"/>
        <w:jc w:val="both"/>
      </w:pPr>
      <w:r>
        <w:rPr/>
        <w:t>2.</w:t>
        <w:tab/>
      </w:r>
      <w:r>
        <w:rPr>
          <w:b/>
        </w:rPr>
        <w:t>Recording and access to findings (Problem 2).</w:t>
      </w:r>
      <w:r>
        <w:rPr/>
        <w:t xml:space="preserve"> Every screening is saved as a standardized visual record with the photograph, labeled bounding boxes, the risk result, the prevention plan, and the dentist's notes; it can be compared across visits, exported as a PDF report, and viewed by the patient through the self-service portal, which now also shows the latest results, a risk-over-time chart, and the next check-up date. Respondents rated the results interface and patient records 3.47, Strongly Agree.</w:t>
      </w:r>
    </w:p>
    <w:p>
      <w:pPr>
        <w:keepNext w:val="0"/>
        <w:widowControl/>
        <w:tabs>
          <w:tab w:pos="864" w:val="left"/>
        </w:tabs>
        <w:spacing w:before="0" w:after="80" w:line="360" w:lineRule="auto"/>
        <w:ind w:hanging="432" w:left="864"/>
        <w:jc w:val="both"/>
      </w:pPr>
      <w:r>
        <w:rPr/>
        <w:t>3.</w:t>
        <w:tab/>
      </w:r>
      <w:r>
        <w:rPr>
          <w:b/>
        </w:rPr>
        <w:t>Finding-specific preventive guidance (Problem 3).</w:t>
      </w:r>
      <w:r>
        <w:rPr/>
        <w:t xml:space="preserve"> The rule-based risk engine and the KNN classifier (K = 5) produce a risk tier and an ordered prevention plan for every screening. On 2,000 unseen synthetic cases, the classifier reproduced the clinical rule with 92.75% accuracy; its weakest tier was HIGH (recall 58.18%). Respondents rated the prevention plan 3.50, Strongly Agree, the highest of the three feature sections.</w:t>
      </w:r>
    </w:p>
    <w:p>
      <w:pPr>
        <w:keepNext w:val="0"/>
        <w:widowControl/>
        <w:tabs>
          <w:tab w:pos="864" w:val="left"/>
        </w:tabs>
        <w:spacing w:before="0" w:after="80" w:line="360" w:lineRule="auto"/>
        <w:ind w:hanging="432" w:left="864"/>
        <w:jc w:val="both"/>
      </w:pPr>
      <w:r>
        <w:rPr/>
        <w:t>4.</w:t>
        <w:tab/>
      </w:r>
      <w:r>
        <w:rPr>
          <w:b/>
        </w:rPr>
        <w:t>Acceptability (Problem 4).</w:t>
      </w:r>
      <w:r>
        <w:rPr/>
        <w:t xml:space="preserve"> On the six quality characteristics, answered by 12 respondents, the overall mean was 3.68 (Highly Acceptable), with Privacy highest (3.72) and Reliability lowest (3.61). The three feature sections, answered by all 103 respondents, obtained an overall mean of 3.48 (Highly Acceptable). IT experts rated every section lower than patient respondents, but still Strongly Agree. Technically, the web application scored 100 in Lighthouse accessibility and best practices on all audited pages and passed all 117 automated backend tests.</w:t>
      </w:r>
    </w:p>
    <w:p>
      <w:pPr>
        <w:keepNext w:val="0"/>
        <w:widowControl/>
        <w:tabs>
          <w:tab w:pos="864" w:val="left"/>
        </w:tabs>
        <w:spacing w:before="0" w:after="80" w:line="360" w:lineRule="auto"/>
        <w:ind w:hanging="432" w:left="864"/>
        <w:jc w:val="both"/>
      </w:pPr>
      <w:r>
        <w:rPr/>
        <w:t>5.</w:t>
        <w:tab/>
      </w:r>
      <w:r>
        <w:rPr>
          <w:b/>
        </w:rPr>
        <w:t>Screening consistency and time (Problem 5).</w:t>
      </w:r>
      <w:r>
        <w:rPr/>
        <w:t xml:space="preserve"> A controlled, timed comparison against the dentist's findings was not conducted. The 2 respondents who answered the related section agreed that Toothwise makes screening more consistent and faster to document (mean 3.40), and the measured processing time of the deployed system is about 3 to 4 seconds per screening.</w:t>
      </w:r>
    </w:p>
    <w:p>
      <w:pPr>
        <w:pStyle w:val="Heading2"/>
        <w:keepNext/>
        <w:widowControl/>
        <w:spacing w:before="200" w:after="80" w:line="360" w:lineRule="auto"/>
        <w:ind w:firstLine="0" w:left="0"/>
        <w:jc w:val="left"/>
      </w:pPr>
      <w:r>
        <w:rPr/>
        <w:t>5.2 Conclusions</w:t>
      </w:r>
    </w:p>
    <w:p>
      <w:pPr>
        <w:keepNext w:val="0"/>
        <w:widowControl/>
        <w:spacing w:before="0" w:after="120" w:line="360" w:lineRule="auto"/>
        <w:ind w:firstLine="720" w:left="0"/>
        <w:jc w:val="both"/>
      </w:pPr>
      <w:r>
        <w:rPr/>
        <w:t>Based on the findings, the following conclusions are drawn.</w:t>
      </w:r>
    </w:p>
    <w:p>
      <w:pPr>
        <w:keepNext w:val="0"/>
        <w:widowControl/>
        <w:tabs>
          <w:tab w:pos="864" w:val="left"/>
        </w:tabs>
        <w:spacing w:before="0" w:after="80" w:line="360" w:lineRule="auto"/>
        <w:ind w:hanging="432" w:left="864"/>
        <w:jc w:val="both"/>
      </w:pPr>
      <w:r>
        <w:rPr/>
        <w:t>1.</w:t>
        <w:tab/>
        <w:t>YOLO-based detection on ordinary intraoral photographs can locate and label tartar, plaque, cavity, gum inflammation, and healthy tooth, but with an mAP@50 of about 52% to 54% on unseen images and large differences between conditions, it is suitable as a screening aid that directs the dentist's attention, not as an independent diagnosis. This confirms the delimitation set in Chapter I.</w:t>
      </w:r>
    </w:p>
    <w:p>
      <w:pPr>
        <w:keepNext w:val="0"/>
        <w:widowControl/>
        <w:tabs>
          <w:tab w:pos="864" w:val="left"/>
        </w:tabs>
        <w:spacing w:before="0" w:after="80" w:line="360" w:lineRule="auto"/>
        <w:ind w:hanging="432" w:left="864"/>
        <w:jc w:val="both"/>
      </w:pPr>
      <w:r>
        <w:rPr/>
        <w:t>2.</w:t>
        <w:tab/>
        <w:t>The difference between YOLOv8 and YOLOv12 is small compared with the differences between conditions, so the quality, balance, and consistency of the training data matter more than the choice of architecture. Combining both models improved detection over either model alone, which supports the ensemble design.</w:t>
      </w:r>
    </w:p>
    <w:p>
      <w:pPr>
        <w:keepNext w:val="0"/>
        <w:widowControl/>
        <w:tabs>
          <w:tab w:pos="864" w:val="left"/>
        </w:tabs>
        <w:spacing w:before="0" w:after="80" w:line="360" w:lineRule="auto"/>
        <w:ind w:hanging="432" w:left="864"/>
        <w:jc w:val="both"/>
      </w:pPr>
      <w:r>
        <w:rPr/>
        <w:t>3.</w:t>
        <w:tab/>
        <w:t>Storing each screening as a standardized visual record, with patient portal access, addresses the absence of comparable records across visits identified in the second problem.</w:t>
      </w:r>
    </w:p>
    <w:p>
      <w:pPr>
        <w:keepNext w:val="0"/>
        <w:widowControl/>
        <w:tabs>
          <w:tab w:pos="864" w:val="left"/>
        </w:tabs>
        <w:spacing w:before="0" w:after="80" w:line="360" w:lineRule="auto"/>
        <w:ind w:hanging="432" w:left="864"/>
        <w:jc w:val="both"/>
      </w:pPr>
      <w:r>
        <w:rPr/>
        <w:t>4.</w:t>
        <w:tab/>
        <w:t>Finding-specific prevention plans can be generated automatically for every screening without adding to the dentist's work, and the respondents found them relevant and easy to follow.</w:t>
      </w:r>
    </w:p>
    <w:p>
      <w:pPr>
        <w:keepNext w:val="0"/>
        <w:widowControl/>
        <w:tabs>
          <w:tab w:pos="864" w:val="left"/>
        </w:tabs>
        <w:spacing w:before="0" w:after="80" w:line="360" w:lineRule="auto"/>
        <w:ind w:hanging="432" w:left="864"/>
        <w:jc w:val="both"/>
      </w:pPr>
      <w:r>
        <w:rPr/>
        <w:t>5.</w:t>
        <w:tab/>
        <w:t>Toothwise is highly acceptable to its evaluators on all six quality characteristics and on its main features (overall means of 3.68 and 3.48 on a four-point scale). Because the quality characteristics were rated by 12 respondents, of whom 5 were IT experts, this conclusion should be confirmed with a larger group of IT experts and clinic staff.</w:t>
      </w:r>
    </w:p>
    <w:p>
      <w:pPr>
        <w:keepNext w:val="0"/>
        <w:widowControl/>
        <w:tabs>
          <w:tab w:pos="864" w:val="left"/>
        </w:tabs>
        <w:spacing w:before="0" w:after="80" w:line="360" w:lineRule="auto"/>
        <w:ind w:hanging="432" w:left="864"/>
        <w:jc w:val="both"/>
      </w:pPr>
      <w:r>
        <w:rPr/>
        <w:t>6.</w:t>
        <w:tab/>
        <w:t>Toothwise shortens the documentation of a screening, since results, risk, and the prevention plan are produced and recorded in seconds, and the respondents expect it to make screening more consistent. Whether it improves agreement with the dentist and shortens the whole screening in practice could not be established without a controlled comparison.</w:t>
      </w:r>
    </w:p>
    <w:p>
      <w:pPr>
        <w:pStyle w:val="Heading2"/>
        <w:keepNext/>
        <w:widowControl/>
        <w:spacing w:before="200" w:after="80" w:line="360" w:lineRule="auto"/>
        <w:ind w:firstLine="0" w:left="0"/>
        <w:jc w:val="left"/>
      </w:pPr>
      <w:r>
        <w:rPr/>
        <w:t>5.3 Recommendations</w:t>
      </w:r>
    </w:p>
    <w:p>
      <w:pPr>
        <w:keepNext w:val="0"/>
        <w:widowControl/>
        <w:spacing w:before="0" w:after="120" w:line="360" w:lineRule="auto"/>
        <w:ind w:firstLine="720" w:left="0"/>
        <w:jc w:val="both"/>
      </w:pPr>
      <w:r>
        <w:rPr/>
        <w:t>In light of the findings and conclusions, the following are recommended.</w:t>
      </w:r>
    </w:p>
    <w:p>
      <w:pPr>
        <w:keepNext w:val="0"/>
        <w:widowControl/>
        <w:spacing w:before="0" w:after="120" w:line="360" w:lineRule="auto"/>
        <w:ind w:firstLine="0" w:left="0"/>
        <w:jc w:val="both"/>
      </w:pPr>
      <w:r>
        <w:rPr>
          <w:b/>
        </w:rPr>
        <w:t>For CodiSmile Dental Clinic</w:t>
      </w:r>
    </w:p>
    <w:p>
      <w:pPr>
        <w:keepNext w:val="0"/>
        <w:widowControl/>
        <w:tabs>
          <w:tab w:pos="864" w:val="left"/>
        </w:tabs>
        <w:spacing w:before="0" w:after="80" w:line="360" w:lineRule="auto"/>
        <w:ind w:hanging="432" w:left="864"/>
        <w:jc w:val="both"/>
      </w:pPr>
      <w:r>
        <w:rPr/>
        <w:t>1.</w:t>
        <w:tab/>
        <w:t>Use Toothwise as a screening and documentation aid, always with the dentist's review of the detections and confirmation of the risk tier, and take clear, well-lit photographs, since blurry images reduce accuracy.</w:t>
      </w:r>
    </w:p>
    <w:p>
      <w:pPr>
        <w:keepNext w:val="0"/>
        <w:widowControl/>
        <w:tabs>
          <w:tab w:pos="864" w:val="left"/>
        </w:tabs>
        <w:spacing w:before="0" w:after="80" w:line="360" w:lineRule="auto"/>
        <w:ind w:hanging="432" w:left="864"/>
        <w:jc w:val="both"/>
      </w:pPr>
      <w:r>
        <w:rPr/>
        <w:t>2.</w:t>
        <w:tab/>
        <w:t>Confirm or correct the risk tier of every screening so that the KNN classifier is retrained on real, dentist-labeled cases.</w:t>
      </w:r>
    </w:p>
    <w:p>
      <w:pPr>
        <w:keepNext w:val="0"/>
        <w:widowControl/>
        <w:tabs>
          <w:tab w:pos="864" w:val="left"/>
        </w:tabs>
        <w:spacing w:before="0" w:after="80" w:line="360" w:lineRule="auto"/>
        <w:ind w:hanging="432" w:left="864"/>
        <w:jc w:val="both"/>
      </w:pPr>
      <w:r>
        <w:rPr/>
        <w:t>3.</w:t>
        <w:tab/>
        <w:t>Move the system from the free hosting tier to a plan that does not sleep, so that the first page load is not delayed, before using it in daily operations.</w:t>
      </w:r>
    </w:p>
    <w:p>
      <w:pPr>
        <w:keepNext w:val="0"/>
        <w:widowControl/>
        <w:spacing w:before="0" w:after="120" w:line="360" w:lineRule="auto"/>
        <w:ind w:firstLine="0" w:left="0"/>
        <w:jc w:val="both"/>
      </w:pPr>
      <w:r>
        <w:rPr>
          <w:b/>
        </w:rPr>
        <w:t>For the further development of Toothwise</w:t>
      </w:r>
    </w:p>
    <w:p>
      <w:pPr>
        <w:keepNext w:val="0"/>
        <w:widowControl/>
        <w:tabs>
          <w:tab w:pos="864" w:val="left"/>
        </w:tabs>
        <w:spacing w:before="0" w:after="80" w:line="360" w:lineRule="auto"/>
        <w:ind w:hanging="432" w:left="864"/>
        <w:jc w:val="both"/>
      </w:pPr>
      <w:r>
        <w:rPr/>
        <w:t>1.</w:t>
        <w:tab/>
        <w:t>Improve detection of plaque and other weak classes by adding more and better-annotated photographs, including consented photographs from the clinic, and add a braces class instead of filtering brackets.</w:t>
      </w:r>
    </w:p>
    <w:p>
      <w:pPr>
        <w:keepNext w:val="0"/>
        <w:widowControl/>
        <w:tabs>
          <w:tab w:pos="864" w:val="left"/>
        </w:tabs>
        <w:spacing w:before="0" w:after="80" w:line="360" w:lineRule="auto"/>
        <w:ind w:hanging="432" w:left="864"/>
        <w:jc w:val="both"/>
      </w:pPr>
      <w:r>
        <w:rPr/>
        <w:t>2.</w:t>
        <w:tab/>
        <w:t>Add the features requested by respondents: reminders for brushing and check-ups, more dental health tips and short videos, a faster and simpler search, and lighter pages for slow Internet connections.</w:t>
      </w:r>
    </w:p>
    <w:p>
      <w:pPr>
        <w:keepNext w:val="0"/>
        <w:widowControl/>
        <w:tabs>
          <w:tab w:pos="864" w:val="left"/>
        </w:tabs>
        <w:spacing w:before="0" w:after="80" w:line="360" w:lineRule="auto"/>
        <w:ind w:hanging="432" w:left="864"/>
        <w:jc w:val="both"/>
      </w:pPr>
      <w:r>
        <w:rPr/>
        <w:t>3.</w:t>
        <w:tab/>
        <w:t>Add a second authentication factor for staff accounts, as one respondent suggested, and keep the audit and privacy controls aligned with the Data Privacy Act of 2012.</w:t>
      </w:r>
    </w:p>
    <w:p>
      <w:pPr>
        <w:keepNext w:val="0"/>
        <w:widowControl/>
        <w:tabs>
          <w:tab w:pos="864" w:val="left"/>
        </w:tabs>
        <w:spacing w:before="0" w:after="80" w:line="360" w:lineRule="auto"/>
        <w:ind w:hanging="432" w:left="864"/>
        <w:jc w:val="both"/>
      </w:pPr>
      <w:r>
        <w:rPr/>
        <w:t>4.</w:t>
        <w:tab/>
        <w:t>Simplify pages that present much information at once and make less-used features easier to find.</w:t>
      </w:r>
    </w:p>
    <w:p>
      <w:pPr>
        <w:keepNext w:val="0"/>
        <w:widowControl/>
        <w:spacing w:before="0" w:after="120" w:line="360" w:lineRule="auto"/>
        <w:ind w:firstLine="0" w:left="0"/>
        <w:jc w:val="both"/>
      </w:pPr>
      <w:r>
        <w:rPr>
          <w:b/>
        </w:rPr>
        <w:t>For future researchers</w:t>
      </w:r>
    </w:p>
    <w:p>
      <w:pPr>
        <w:keepNext w:val="0"/>
        <w:widowControl/>
        <w:tabs>
          <w:tab w:pos="864" w:val="left"/>
        </w:tabs>
        <w:spacing w:before="0" w:after="80" w:line="360" w:lineRule="auto"/>
        <w:ind w:hanging="432" w:left="864"/>
        <w:jc w:val="both"/>
      </w:pPr>
      <w:r>
        <w:rPr/>
        <w:t>1.</w:t>
        <w:tab/>
        <w:t>Conduct the controlled comparison planned for the fifth problem: time the same screenings with and without Toothwise and measure agreement with the dentist's findings (for example, with Cohen's kappa).</w:t>
      </w:r>
    </w:p>
    <w:p>
      <w:pPr>
        <w:keepNext w:val="0"/>
        <w:widowControl/>
        <w:tabs>
          <w:tab w:pos="864" w:val="left"/>
        </w:tabs>
        <w:spacing w:before="0" w:after="80" w:line="360" w:lineRule="auto"/>
        <w:ind w:hanging="432" w:left="864"/>
        <w:jc w:val="both"/>
      </w:pPr>
      <w:r>
        <w:rPr/>
        <w:t>2.</w:t>
        <w:tab/>
        <w:t>Repeat the ISO/IEC 25010 evaluation with a larger and more balanced group of IT experts, dentists, and clinic staff, and require all sections so that every respondent answers every characteristic.</w:t>
      </w:r>
    </w:p>
    <w:p>
      <w:pPr>
        <w:keepNext w:val="0"/>
        <w:widowControl/>
        <w:tabs>
          <w:tab w:pos="864" w:val="left"/>
        </w:tabs>
        <w:spacing w:before="0" w:after="80" w:line="360" w:lineRule="auto"/>
        <w:ind w:hanging="432" w:left="864"/>
        <w:jc w:val="both"/>
      </w:pPr>
      <w:r>
        <w:rPr/>
        <w:t>3.</w:t>
        <w:tab/>
        <w:t>Validate the models on photographs from other clinics and devices, and compare them with newer detection architectures and with segmentation-based approaches.</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