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September 2026</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4</w:t>
      </w:r>
    </w:p>
    <w:p>
      <w:pPr>
        <w:keepNext w:val="0"/>
        <w:widowControl/>
        <w:tabs>
          <w:tab w:pos="8669" w:val="right" w:leader="dot"/>
        </w:tabs>
        <w:spacing w:before="0" w:after="60" w:line="276" w:lineRule="auto"/>
        <w:ind w:firstLine="0" w:left="216"/>
        <w:jc w:val="left"/>
      </w:pPr>
      <w:r>
        <w:rPr/>
        <w:t>1.2 Statement of the Problem</w:t>
        <w:tab/>
        <w:t>7</w:t>
      </w:r>
    </w:p>
    <w:p>
      <w:pPr>
        <w:keepNext w:val="0"/>
        <w:widowControl/>
        <w:tabs>
          <w:tab w:pos="8669" w:val="right" w:leader="dot"/>
        </w:tabs>
        <w:spacing w:before="0" w:after="60" w:line="276" w:lineRule="auto"/>
        <w:ind w:firstLine="0" w:left="216"/>
        <w:jc w:val="left"/>
      </w:pPr>
      <w:r>
        <w:rPr/>
        <w:t>1.3 Objectives of the Study</w:t>
        <w:tab/>
        <w:t>8</w:t>
      </w:r>
    </w:p>
    <w:p>
      <w:pPr>
        <w:keepNext w:val="0"/>
        <w:widowControl/>
        <w:tabs>
          <w:tab w:pos="8669" w:val="right" w:leader="dot"/>
        </w:tabs>
        <w:spacing w:before="0" w:after="60" w:line="276" w:lineRule="auto"/>
        <w:ind w:firstLine="0" w:left="720"/>
        <w:jc w:val="left"/>
      </w:pPr>
      <w:r>
        <w:rPr/>
        <w:t>1.3.1 General Objective</w:t>
        <w:tab/>
        <w:t>8</w:t>
      </w:r>
    </w:p>
    <w:p>
      <w:pPr>
        <w:keepNext w:val="0"/>
        <w:widowControl/>
        <w:tabs>
          <w:tab w:pos="8669" w:val="right" w:leader="dot"/>
        </w:tabs>
        <w:spacing w:before="0" w:after="60" w:line="276" w:lineRule="auto"/>
        <w:ind w:firstLine="0" w:left="720"/>
        <w:jc w:val="left"/>
      </w:pPr>
      <w:r>
        <w:rPr/>
        <w:t>1.3.2 Specific Objectives</w:t>
        <w:tab/>
        <w:t>9</w:t>
      </w:r>
    </w:p>
    <w:p>
      <w:pPr>
        <w:keepNext w:val="0"/>
        <w:widowControl/>
        <w:tabs>
          <w:tab w:pos="8669" w:val="right" w:leader="dot"/>
        </w:tabs>
        <w:spacing w:before="0" w:after="60" w:line="276" w:lineRule="auto"/>
        <w:ind w:firstLine="0" w:left="216"/>
        <w:jc w:val="left"/>
      </w:pPr>
      <w:r>
        <w:rPr/>
        <w:t>1.4 Scope, Delimitation and Limitation of the Study</w:t>
        <w:tab/>
        <w:t>9</w:t>
      </w:r>
    </w:p>
    <w:p>
      <w:pPr>
        <w:keepNext w:val="0"/>
        <w:widowControl/>
        <w:tabs>
          <w:tab w:pos="8669" w:val="right" w:leader="dot"/>
        </w:tabs>
        <w:spacing w:before="0" w:after="60" w:line="276" w:lineRule="auto"/>
        <w:ind w:firstLine="0" w:left="216"/>
        <w:jc w:val="left"/>
      </w:pPr>
      <w:r>
        <w:rPr/>
        <w:t>1.5 Significance of the Study</w:t>
        <w:tab/>
        <w:t>11</w:t>
      </w:r>
    </w:p>
    <w:p>
      <w:pPr>
        <w:keepNext w:val="0"/>
        <w:widowControl/>
        <w:tabs>
          <w:tab w:pos="8669" w:val="right" w:leader="dot"/>
        </w:tabs>
        <w:spacing w:before="0" w:after="60" w:line="276" w:lineRule="auto"/>
        <w:ind w:firstLine="0" w:left="216"/>
        <w:jc w:val="left"/>
      </w:pPr>
      <w:r>
        <w:rPr/>
        <w:t>1.6 Definition of Terms</w:t>
        <w:tab/>
        <w:t>13</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15</w:t>
      </w:r>
    </w:p>
    <w:p>
      <w:pPr>
        <w:keepNext w:val="0"/>
        <w:widowControl/>
        <w:tabs>
          <w:tab w:pos="8669" w:val="right" w:leader="dot"/>
        </w:tabs>
        <w:spacing w:before="0" w:after="60" w:line="276" w:lineRule="auto"/>
        <w:ind w:firstLine="0" w:left="216"/>
        <w:jc w:val="left"/>
      </w:pPr>
      <w:r>
        <w:rPr/>
        <w:t>2.2 Related Studies</w:t>
        <w:tab/>
        <w:t>19</w:t>
      </w:r>
    </w:p>
    <w:p>
      <w:pPr>
        <w:keepNext w:val="0"/>
        <w:widowControl/>
        <w:tabs>
          <w:tab w:pos="8669" w:val="right" w:leader="dot"/>
        </w:tabs>
        <w:spacing w:before="0" w:after="60" w:line="276" w:lineRule="auto"/>
        <w:ind w:firstLine="0" w:left="216"/>
        <w:jc w:val="left"/>
      </w:pPr>
      <w:r>
        <w:rPr/>
        <w:t>2.3 Synthesis</w:t>
        <w:tab/>
        <w:t>23</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25</w:t>
      </w:r>
    </w:p>
    <w:p>
      <w:pPr>
        <w:keepNext w:val="0"/>
        <w:widowControl/>
        <w:tabs>
          <w:tab w:pos="8669" w:val="right" w:leader="dot"/>
        </w:tabs>
        <w:spacing w:before="0" w:after="60" w:line="276" w:lineRule="auto"/>
        <w:ind w:firstLine="0" w:left="216"/>
        <w:jc w:val="left"/>
      </w:pPr>
      <w:r>
        <w:rPr/>
        <w:t>3.2 Project Planning</w:t>
        <w:tab/>
        <w:t>26</w:t>
      </w:r>
    </w:p>
    <w:p>
      <w:pPr>
        <w:keepNext w:val="0"/>
        <w:widowControl/>
        <w:tabs>
          <w:tab w:pos="8669" w:val="right" w:leader="dot"/>
        </w:tabs>
        <w:spacing w:before="0" w:after="60" w:line="276" w:lineRule="auto"/>
        <w:ind w:firstLine="0" w:left="216"/>
        <w:jc w:val="left"/>
      </w:pPr>
      <w:r>
        <w:rPr/>
        <w:t>3.3 Roles and Responsibilities of the Five-Member Development Team</w:t>
        <w:tab/>
        <w:t>28</w:t>
      </w:r>
    </w:p>
    <w:p>
      <w:pPr>
        <w:keepNext w:val="0"/>
        <w:widowControl/>
        <w:tabs>
          <w:tab w:pos="8669" w:val="right" w:leader="dot"/>
        </w:tabs>
        <w:spacing w:before="0" w:after="60" w:line="276" w:lineRule="auto"/>
        <w:ind w:firstLine="0" w:left="216"/>
        <w:jc w:val="left"/>
      </w:pPr>
      <w:r>
        <w:rPr/>
        <w:t>3.4 Requirements Analysis</w:t>
        <w:tab/>
        <w:t>30</w:t>
      </w:r>
    </w:p>
    <w:p>
      <w:pPr>
        <w:keepNext w:val="0"/>
        <w:widowControl/>
        <w:tabs>
          <w:tab w:pos="8669" w:val="right" w:leader="dot"/>
        </w:tabs>
        <w:spacing w:before="0" w:after="60" w:line="276" w:lineRule="auto"/>
        <w:ind w:firstLine="0" w:left="216"/>
        <w:jc w:val="left"/>
      </w:pPr>
      <w:r>
        <w:rPr/>
        <w:t>3.5 System Design</w:t>
        <w:tab/>
        <w:t>32</w:t>
      </w:r>
    </w:p>
    <w:p>
      <w:pPr>
        <w:keepNext w:val="0"/>
        <w:widowControl/>
        <w:tabs>
          <w:tab w:pos="8669" w:val="right" w:leader="dot"/>
        </w:tabs>
        <w:spacing w:before="0" w:after="60" w:line="276" w:lineRule="auto"/>
        <w:ind w:firstLine="0" w:left="720"/>
        <w:jc w:val="left"/>
      </w:pPr>
      <w:r>
        <w:rPr/>
        <w:t>3.5.1 Use Case Diagram</w:t>
        <w:tab/>
        <w:t>32</w:t>
      </w:r>
    </w:p>
    <w:p>
      <w:pPr>
        <w:keepNext w:val="0"/>
        <w:widowControl/>
        <w:tabs>
          <w:tab w:pos="8669" w:val="right" w:leader="dot"/>
        </w:tabs>
        <w:spacing w:before="0" w:after="60" w:line="276" w:lineRule="auto"/>
        <w:ind w:firstLine="0" w:left="720"/>
        <w:jc w:val="left"/>
      </w:pPr>
      <w:r>
        <w:rPr/>
        <w:t>3.5.2 Entity Relationship Diagram (ERD)</w:t>
        <w:tab/>
        <w:t>32</w:t>
      </w:r>
    </w:p>
    <w:p>
      <w:pPr>
        <w:keepNext w:val="0"/>
        <w:widowControl/>
        <w:tabs>
          <w:tab w:pos="8669" w:val="right" w:leader="dot"/>
        </w:tabs>
        <w:spacing w:before="0" w:after="60" w:line="276" w:lineRule="auto"/>
        <w:ind w:firstLine="0" w:left="720"/>
        <w:jc w:val="left"/>
      </w:pPr>
      <w:r>
        <w:rPr/>
        <w:t>3.5.3 Data Flow Diagram Level 0</w:t>
        <w:tab/>
        <w:t>36</w:t>
      </w:r>
    </w:p>
    <w:p>
      <w:pPr>
        <w:keepNext w:val="0"/>
        <w:widowControl/>
        <w:tabs>
          <w:tab w:pos="8669" w:val="right" w:leader="dot"/>
        </w:tabs>
        <w:spacing w:before="0" w:after="60" w:line="276" w:lineRule="auto"/>
        <w:ind w:firstLine="0" w:left="720"/>
        <w:jc w:val="left"/>
      </w:pPr>
      <w:r>
        <w:rPr/>
        <w:t>3.5.4 Data Flow Diagram Level 1</w:t>
        <w:tab/>
        <w:t>36</w:t>
      </w:r>
    </w:p>
    <w:p>
      <w:pPr>
        <w:keepNext w:val="0"/>
        <w:widowControl/>
        <w:tabs>
          <w:tab w:pos="8669" w:val="right" w:leader="dot"/>
        </w:tabs>
        <w:spacing w:before="0" w:after="60" w:line="276" w:lineRule="auto"/>
        <w:ind w:firstLine="0" w:left="720"/>
        <w:jc w:val="left"/>
      </w:pPr>
      <w:r>
        <w:rPr/>
        <w:t>3.5.5 Gantt Chart</w:t>
        <w:tab/>
        <w:t>40</w:t>
      </w:r>
    </w:p>
    <w:p>
      <w:pPr>
        <w:keepNext w:val="0"/>
        <w:widowControl/>
        <w:tabs>
          <w:tab w:pos="8669" w:val="right" w:leader="dot"/>
        </w:tabs>
        <w:spacing w:before="0" w:after="60" w:line="276" w:lineRule="auto"/>
        <w:ind w:firstLine="0" w:left="216"/>
        <w:jc w:val="left"/>
      </w:pPr>
      <w:r>
        <w:rPr/>
        <w:t>3.6 Software Specifications</w:t>
        <w:tab/>
        <w:t>41</w:t>
      </w:r>
    </w:p>
    <w:p>
      <w:pPr>
        <w:keepNext w:val="0"/>
        <w:widowControl/>
        <w:tabs>
          <w:tab w:pos="8669" w:val="right" w:leader="dot"/>
        </w:tabs>
        <w:spacing w:before="0" w:after="60" w:line="276" w:lineRule="auto"/>
        <w:ind w:firstLine="0" w:left="216"/>
        <w:jc w:val="left"/>
      </w:pPr>
      <w:r>
        <w:rPr/>
        <w:t>3.7 Hardware Specifications</w:t>
        <w:tab/>
        <w:t>44</w:t>
      </w:r>
    </w:p>
    <w:p>
      <w:pPr>
        <w:keepNext w:val="0"/>
        <w:widowControl/>
        <w:tabs>
          <w:tab w:pos="8669" w:val="right" w:leader="dot"/>
        </w:tabs>
        <w:spacing w:before="0" w:after="60" w:line="276" w:lineRule="auto"/>
        <w:ind w:firstLine="0" w:left="216"/>
        <w:jc w:val="left"/>
      </w:pPr>
      <w:r>
        <w:rPr/>
        <w:t>3.8 System Development</w:t>
        <w:tab/>
        <w:t>45</w:t>
      </w:r>
    </w:p>
    <w:p>
      <w:pPr>
        <w:keepNext w:val="0"/>
        <w:widowControl/>
        <w:tabs>
          <w:tab w:pos="8669" w:val="right" w:leader="dot"/>
        </w:tabs>
        <w:spacing w:before="0" w:after="60" w:line="276" w:lineRule="auto"/>
        <w:ind w:firstLine="0" w:left="216"/>
        <w:jc w:val="left"/>
      </w:pPr>
      <w:r>
        <w:rPr/>
        <w:t>3.9 System Testing</w:t>
        <w:tab/>
        <w:t>47</w:t>
      </w:r>
    </w:p>
    <w:p>
      <w:pPr>
        <w:keepNext w:val="0"/>
        <w:widowControl/>
        <w:tabs>
          <w:tab w:pos="8669" w:val="right" w:leader="dot"/>
        </w:tabs>
        <w:spacing w:before="0" w:after="60" w:line="276" w:lineRule="auto"/>
        <w:ind w:firstLine="0" w:left="216"/>
        <w:jc w:val="left"/>
      </w:pPr>
      <w:r>
        <w:rPr/>
        <w:t>3.10 Full Current System Screenshots</w:t>
        <w:tab/>
        <w:t>48</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56</w:t>
      </w:r>
    </w:p>
    <w:p>
      <w:pPr>
        <w:keepNext w:val="0"/>
        <w:widowControl/>
        <w:tabs>
          <w:tab w:pos="8669" w:val="right" w:leader="dot"/>
        </w:tabs>
        <w:spacing w:before="0" w:after="60" w:line="276" w:lineRule="auto"/>
        <w:ind w:firstLine="0" w:left="216"/>
        <w:jc w:val="left"/>
      </w:pPr>
      <w:r>
        <w:rPr/>
        <w:t>4.2 Specialization and Technical Results</w:t>
        <w:tab/>
        <w:t>67</w:t>
      </w:r>
    </w:p>
    <w:p>
      <w:pPr>
        <w:keepNext w:val="0"/>
        <w:widowControl/>
        <w:tabs>
          <w:tab w:pos="8669" w:val="right" w:leader="dot"/>
        </w:tabs>
        <w:spacing w:before="0" w:after="60" w:line="276" w:lineRule="auto"/>
        <w:ind w:firstLine="0" w:left="216"/>
        <w:jc w:val="left"/>
      </w:pPr>
      <w:r>
        <w:rPr/>
        <w:t>4.3 Software Quality Evaluation Based on ISO/IEC 25010</w:t>
        <w:tab/>
        <w:t>73</w:t>
      </w:r>
    </w:p>
    <w:p>
      <w:pPr>
        <w:keepNext w:val="0"/>
        <w:widowControl/>
        <w:tabs>
          <w:tab w:pos="8669" w:val="right" w:leader="dot"/>
        </w:tabs>
        <w:spacing w:before="0" w:after="60" w:line="276" w:lineRule="auto"/>
        <w:ind w:firstLine="0" w:left="216"/>
        <w:jc w:val="left"/>
      </w:pPr>
      <w:r>
        <w:rPr/>
        <w:t>4.4 Screening Consistency and Screening Time</w:t>
        <w:tab/>
        <w:t>83</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86</w:t>
      </w:r>
    </w:p>
    <w:p>
      <w:pPr>
        <w:keepNext w:val="0"/>
        <w:widowControl/>
        <w:tabs>
          <w:tab w:pos="8669" w:val="right" w:leader="dot"/>
        </w:tabs>
        <w:spacing w:before="0" w:after="60" w:line="276" w:lineRule="auto"/>
        <w:ind w:firstLine="0" w:left="216"/>
        <w:jc w:val="left"/>
      </w:pPr>
      <w:r>
        <w:rPr/>
        <w:t>5.2 Conclusions</w:t>
        <w:tab/>
        <w:t>87</w:t>
      </w:r>
    </w:p>
    <w:p>
      <w:pPr>
        <w:keepNext w:val="0"/>
        <w:widowControl/>
        <w:tabs>
          <w:tab w:pos="8669" w:val="right" w:leader="dot"/>
        </w:tabs>
        <w:spacing w:before="0" w:after="60" w:line="276" w:lineRule="auto"/>
        <w:ind w:firstLine="0" w:left="216"/>
        <w:jc w:val="left"/>
      </w:pPr>
      <w:r>
        <w:rPr/>
        <w:t>5.3 Recommendations</w:t>
        <w:tab/>
        <w:t>88</w:t>
      </w:r>
    </w:p>
    <w:p>
      <w:pPr>
        <w:keepNext w:val="0"/>
        <w:widowControl/>
        <w:tabs>
          <w:tab w:pos="8669" w:val="right" w:leader="dot"/>
        </w:tabs>
        <w:spacing w:before="0" w:after="60" w:line="276" w:lineRule="auto"/>
        <w:ind w:firstLine="0" w:left="216"/>
        <w:jc w:val="left"/>
      </w:pPr>
      <w:r>
        <w:rPr/>
        <w:t>References</w:t>
        <w:tab/>
        <w:t>91</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What is the difference on the use of Toothwise to improve screening consistency and reduce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measure changes in screening consistency and time with Toothwise versus the manual process, using the dentist's findings as the reference.</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(117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can request a password reset link by email and set a new password,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password reset links are single-use, expire after 30 minutes, and the response is the same whether or not the email exists.</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5883289"/>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937760" cy="5883289"/>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emails password reset links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009359"/>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937760" cy="6009359"/>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Email</w:t>
            </w:r>
          </w:p>
        </w:tc>
        <w:tc>
          <w:tcPr>
            <w:tcW w:type="dxa" w:w="2736"/>
          </w:tcPr>
          <w:p>
            <w:pPr>
              <w:keepNext w:val="0"/>
              <w:widowControl/>
              <w:spacing w:before="0" w:after="0" w:line="240" w:lineRule="auto"/>
              <w:ind w:firstLine="0" w:left="0"/>
              <w:jc w:val="left"/>
            </w:pPr>
            <w:r>
              <w:rPr>
                <w:sz w:val="22"/>
              </w:rPr>
              <w:t>SMTP (Python smtplib)</w:t>
            </w:r>
          </w:p>
        </w:tc>
        <w:tc>
          <w:tcPr>
            <w:tcW w:type="dxa" w:w="3600"/>
          </w:tcPr>
          <w:p>
            <w:pPr>
              <w:keepNext w:val="0"/>
              <w:widowControl/>
              <w:spacing w:before="0" w:after="0" w:line="240" w:lineRule="auto"/>
              <w:ind w:firstLine="0" w:left="0"/>
              <w:jc w:val="left"/>
            </w:pPr>
            <w:r>
              <w:rPr>
                <w:sz w:val="22"/>
              </w:rPr>
              <w:t>Sends password reset links; without an SMTP server the link is written to the server log for testing.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117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294376" cy="3314485"/>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294376" cy="3314485"/>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859388"/>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554480" cy="2859388"/>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116340"/>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554480" cy="2116340"/>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317841"/>
                  <wp:docPr id="11" name="Picture 11"/>
                  <wp:cNvGraphicFramePr>
                    <a:graphicFrameLocks noChangeAspect="1"/>
                  </wp:cNvGraphicFramePr>
                  <a:graphic>
                    <a:graphicData uri="http://schemas.openxmlformats.org/drawingml/2006/picture">
                      <pic:pic>
                        <pic:nvPicPr>
                          <pic:cNvPr id="0" name="shot_forgot_password.png"/>
                          <pic:cNvPicPr/>
                        </pic:nvPicPr>
                        <pic:blipFill>
                          <a:blip r:embed="rId21"/>
                          <a:stretch>
                            <a:fillRect/>
                          </a:stretch>
                        </pic:blipFill>
                        <pic:spPr>
                          <a:xfrm>
                            <a:off x="0" y="0"/>
                            <a:ext cx="1554480" cy="2317841"/>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Forgot Password.</w:t>
            </w:r>
            <w:r>
              <w:rPr>
                <w:sz w:val="20"/>
              </w:rPr>
              <w:t xml:space="preserve"> </w:t>
            </w:r>
            <w:r>
              <w:rPr>
                <w:i/>
                <w:sz w:val="20"/>
              </w:rPr>
              <w:t>Users enter their email to receive a reset link.</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761341"/>
                  <wp:docPr id="12" name="Picture 12"/>
                  <wp:cNvGraphicFramePr>
                    <a:graphicFrameLocks noChangeAspect="1"/>
                  </wp:cNvGraphicFramePr>
                  <a:graphic>
                    <a:graphicData uri="http://schemas.openxmlformats.org/drawingml/2006/picture">
                      <pic:pic>
                        <pic:nvPicPr>
                          <pic:cNvPr id="0" name="shot_forgot_password_sent.png"/>
                          <pic:cNvPicPr/>
                        </pic:nvPicPr>
                        <pic:blipFill>
                          <a:blip r:embed="rId22"/>
                          <a:stretch>
                            <a:fillRect/>
                          </a:stretch>
                        </pic:blipFill>
                        <pic:spPr>
                          <a:xfrm>
                            <a:off x="0" y="0"/>
                            <a:ext cx="1554480" cy="2761341"/>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46849"/>
                  <wp:docPr id="13" name="Picture 13"/>
                  <wp:cNvGraphicFramePr>
                    <a:graphicFrameLocks noChangeAspect="1"/>
                  </wp:cNvGraphicFramePr>
                  <a:graphic>
                    <a:graphicData uri="http://schemas.openxmlformats.org/drawingml/2006/picture">
                      <pic:pic>
                        <pic:nvPicPr>
                          <pic:cNvPr id="0" name="shot_reset_password_filled.png"/>
                          <pic:cNvPicPr/>
                        </pic:nvPicPr>
                        <pic:blipFill>
                          <a:blip r:embed="rId23"/>
                          <a:stretch>
                            <a:fillRect/>
                          </a:stretch>
                        </pic:blipFill>
                        <pic:spPr>
                          <a:xfrm>
                            <a:off x="0" y="0"/>
                            <a:ext cx="1554480" cy="254684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83180"/>
                  <wp:docPr id="14" name="Picture 14"/>
                  <wp:cNvGraphicFramePr>
                    <a:graphicFrameLocks noChangeAspect="1"/>
                  </wp:cNvGraphicFramePr>
                  <a:graphic>
                    <a:graphicData uri="http://schemas.openxmlformats.org/drawingml/2006/picture">
                      <pic:pic>
                        <pic:nvPicPr>
                          <pic:cNvPr id="0" name="shot_change_password.png"/>
                          <pic:cNvPicPr/>
                        </pic:nvPicPr>
                        <pic:blipFill>
                          <a:blip r:embed="rId24"/>
                          <a:stretch>
                            <a:fillRect/>
                          </a:stretch>
                        </pic:blipFill>
                        <pic:spPr>
                          <a:xfrm>
                            <a:off x="0" y="0"/>
                            <a:ext cx="1554480" cy="2583180"/>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Link Sent.</w:t>
            </w:r>
            <w:r>
              <w:rPr>
                <w:sz w:val="20"/>
              </w:rPr>
              <w:t xml:space="preserve"> </w:t>
            </w:r>
            <w:r>
              <w:rPr>
                <w:i/>
                <w:sz w:val="20"/>
              </w:rPr>
              <w:t>The same message appears whether or not the email is registered.</w:t>
            </w:r>
          </w:p>
        </w:tc>
        <w:tc>
          <w:tcPr>
            <w:tcW w:type="dxa" w:w="2899"/>
          </w:tcPr>
          <w:p>
            <w:pPr>
              <w:keepNext w:val="0"/>
              <w:widowControl/>
              <w:spacing w:before="40" w:after="120" w:line="276" w:lineRule="auto"/>
              <w:ind w:firstLine="0" w:left="0"/>
              <w:jc w:val="left"/>
            </w:pPr>
            <w:r>
              <w:rPr>
                <w:b/>
                <w:sz w:val="20"/>
              </w:rPr>
              <w:t>Figure 13 Choose a New Password.</w:t>
            </w:r>
            <w:r>
              <w:rPr>
                <w:sz w:val="20"/>
              </w:rPr>
              <w:t xml:space="preserve"> </w:t>
            </w:r>
            <w:r>
              <w:rPr>
                <w:i/>
                <w:sz w:val="20"/>
              </w:rPr>
              <w:t>The emailed link opens this page; a checklist shows the password rules.</w:t>
            </w:r>
          </w:p>
        </w:tc>
        <w:tc>
          <w:tcPr>
            <w:tcW w:type="dxa" w:w="2899"/>
          </w:tcPr>
          <w:p>
            <w:pPr>
              <w:keepNext w:val="0"/>
              <w:widowControl/>
              <w:spacing w:before="40" w:after="120" w:line="276" w:lineRule="auto"/>
              <w:ind w:firstLine="0" w:left="0"/>
              <w:jc w:val="left"/>
            </w:pPr>
            <w:r>
              <w:rPr>
                <w:b/>
                <w:sz w:val="20"/>
              </w:rPr>
              <w:t>Figure 14 Change Password.</w:t>
            </w:r>
            <w:r>
              <w:rPr>
                <w:sz w:val="20"/>
              </w:rPr>
              <w:t xml:space="preserve"> </w:t>
            </w:r>
            <w:r>
              <w:rPr>
                <w:i/>
                <w:sz w:val="20"/>
              </w:rPr>
              <w:t>Opened from the sidebar or portal header; needs the current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172968" cy="3862625"/>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3172968" cy="3862625"/>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68496" cy="1797366"/>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3968496" cy="1797366"/>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087368" cy="2558851"/>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4087368" cy="2558851"/>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requested a password reset, and created, changed, or deleted records, and when.</w:t>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23" name="Picture 23"/>
                  <wp:cNvGraphicFramePr>
                    <a:graphicFrameLocks noChangeAspect="1"/>
                  </wp:cNvGraphicFramePr>
                  <a:graphic>
                    <a:graphicData uri="http://schemas.openxmlformats.org/drawingml/2006/picture">
                      <pic:pic>
                        <pic:nvPicPr>
                          <pic:cNvPr id="0" name="shot_portal_register.png"/>
                          <pic:cNvPicPr/>
                        </pic:nvPicPr>
                        <pic:blipFill>
                          <a:blip r:embed="rId33"/>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3017520"/>
                  <wp:docPr id="24" name="Picture 24"/>
                  <wp:cNvGraphicFramePr>
                    <a:graphicFrameLocks noChangeAspect="1"/>
                  </wp:cNvGraphicFramePr>
                  <a:graphic>
                    <a:graphicData uri="http://schemas.openxmlformats.org/drawingml/2006/picture">
                      <pic:pic>
                        <pic:nvPicPr>
                          <pic:cNvPr id="0" name="shot_portal_home.png"/>
                          <pic:cNvPicPr/>
                        </pic:nvPicPr>
                        <pic:blipFill>
                          <a:blip r:embed="rId34"/>
                          <a:stretch>
                            <a:fillRect/>
                          </a:stretch>
                        </pic:blipFill>
                        <pic:spPr>
                          <a:xfrm>
                            <a:off x="0" y="0"/>
                            <a:ext cx="2011680" cy="301752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23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24 Patient Portal — Home.</w:t>
            </w:r>
            <w:r>
              <w:rPr>
                <w:sz w:val="22"/>
              </w:rPr>
              <w:t xml:space="preserve"> </w:t>
            </w:r>
            <w:r>
              <w:rPr>
                <w:i/>
                <w:sz w:val="22"/>
              </w:rPr>
              <w:t>Latest risk level and change since the last visit, next check-up date, latest findings and next steps, risk over time, and screening history.</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5" name="Picture 25"/>
                  <wp:cNvGraphicFramePr>
                    <a:graphicFrameLocks noChangeAspect="1"/>
                  </wp:cNvGraphicFramePr>
                  <a:graphic>
                    <a:graphicData uri="http://schemas.openxmlformats.org/drawingml/2006/picture">
                      <pic:pic>
                        <pic:nvPicPr>
                          <pic:cNvPr id="0" name="shot_portal_screening.png"/>
                          <pic:cNvPicPr/>
                        </pic:nvPicPr>
                        <pic:blipFill>
                          <a:blip r:embed="rId35"/>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6" name="Picture 26"/>
                  <wp:cNvGraphicFramePr>
                    <a:graphicFrameLocks noChangeAspect="1"/>
                  </wp:cNvGraphicFramePr>
                  <a:graphic>
                    <a:graphicData uri="http://schemas.openxmlformats.org/drawingml/2006/picture">
                      <pic:pic>
                        <pic:nvPicPr>
                          <pic:cNvPr id="0" name="shot_report_1.png"/>
                          <pic:cNvPicPr/>
                        </pic:nvPicPr>
                        <pic:blipFill>
                          <a:blip r:embed="rId36"/>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25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26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The evaluation in Sections 4.3 and 4.4 is based on the responses of 103 respondents to the evaluation questionnaire.</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13 presents the class mapping applied to each source.</w:t>
      </w:r>
    </w:p>
    <w:p>
      <w:pPr>
        <w:keepNext w:val="0"/>
        <w:widowControl/>
        <w:spacing w:before="0" w:after="120" w:line="360" w:lineRule="auto"/>
        <w:ind w:firstLine="720" w:left="0"/>
        <w:jc w:val="both"/>
      </w:pPr>
      <w:r>
        <w:rPr/>
        <w:t>After merging, the dataset was divided into training, validation, and test splits, as shown in Table 14.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13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widowControl/>
        <w:spacing w:before="160" w:after="80" w:line="276" w:lineRule="auto"/>
        <w:ind w:firstLine="0" w:left="0"/>
        <w:jc w:val="left"/>
      </w:pPr>
      <w:r>
        <w:rPr>
          <w:b/>
        </w:rPr>
        <w:t>Table 14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15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15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16 summarizes the configuration, which was read directly from the saved model checkpoints.</w:t>
      </w:r>
    </w:p>
    <w:p>
      <w:pPr>
        <w:keepNext/>
        <w:widowControl/>
        <w:spacing w:before="160" w:after="80" w:line="276" w:lineRule="auto"/>
        <w:ind w:firstLine="0" w:left="0"/>
        <w:jc w:val="left"/>
      </w:pPr>
      <w:r>
        <w:rPr>
          <w:b/>
        </w:rPr>
        <w:t>Table 16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17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17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7" name="Picture 27"/>
            <wp:cNvGraphicFramePr>
              <a:graphicFrameLocks noChangeAspect="1"/>
            </wp:cNvGraphicFramePr>
            <a:graphic>
              <a:graphicData uri="http://schemas.openxmlformats.org/drawingml/2006/picture">
                <pic:pic>
                  <pic:nvPicPr>
                    <pic:cNvPr id="0" name="fig_training_curves.png"/>
                    <pic:cNvPicPr/>
                  </pic:nvPicPr>
                  <pic:blipFill>
                    <a:blip r:embed="rId37"/>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27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_final_metrics.png"/>
                    <pic:cNvPicPr/>
                  </pic:nvPicPr>
                  <pic:blipFill>
                    <a:blip r:embed="rId38"/>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28 Final Validation Metrics of YOLOv8 and YOLOv12.</w:t>
      </w:r>
    </w:p>
    <w:p>
      <w:pPr>
        <w:keepNext w:val="0"/>
        <w:widowControl/>
        <w:spacing w:before="0" w:after="120" w:line="360" w:lineRule="auto"/>
        <w:ind w:firstLine="720" w:left="0"/>
        <w:jc w:val="both"/>
      </w:pPr>
      <w:r>
        <w:rPr/>
        <w:t>Figure 27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18 and 19 present the precision, recall, F1-score, mAP@50, and mAP@50-95 of each class on the test split, and Figure 29 compares the per-class mAP@50 of the two models and the fused ensemble.</w:t>
      </w:r>
    </w:p>
    <w:p>
      <w:pPr>
        <w:keepNext/>
        <w:widowControl/>
        <w:spacing w:before="160" w:after="80" w:line="276" w:lineRule="auto"/>
        <w:ind w:firstLine="0" w:left="0"/>
        <w:jc w:val="left"/>
      </w:pPr>
      <w:r>
        <w:rPr>
          <w:b/>
        </w:rPr>
        <w:t>Table 18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19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9" name="Picture 29"/>
            <wp:cNvGraphicFramePr>
              <a:graphicFrameLocks noChangeAspect="1"/>
            </wp:cNvGraphicFramePr>
            <a:graphic>
              <a:graphicData uri="http://schemas.openxmlformats.org/drawingml/2006/picture">
                <pic:pic>
                  <pic:nvPicPr>
                    <pic:cNvPr id="0" name="fig_perclass_map50.png"/>
                    <pic:cNvPicPr/>
                  </pic:nvPicPr>
                  <pic:blipFill>
                    <a:blip r:embed="rId39"/>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29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20 and 21 present the result, and Figure 30 shows the confusion matrices.</w:t>
      </w:r>
    </w:p>
    <w:p>
      <w:pPr>
        <w:keepNext/>
        <w:widowControl/>
        <w:spacing w:before="160" w:after="80" w:line="276" w:lineRule="auto"/>
        <w:ind w:firstLine="0" w:left="0"/>
        <w:jc w:val="left"/>
      </w:pPr>
      <w:r>
        <w:rPr>
          <w:b/>
        </w:rPr>
        <w:t>Table 20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21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30" name="Picture 30"/>
            <wp:cNvGraphicFramePr>
              <a:graphicFrameLocks noChangeAspect="1"/>
            </wp:cNvGraphicFramePr>
            <a:graphic>
              <a:graphicData uri="http://schemas.openxmlformats.org/drawingml/2006/picture">
                <pic:pic>
                  <pic:nvPicPr>
                    <pic:cNvPr id="0" name="fig_confusion_matrices.png"/>
                    <pic:cNvPicPr/>
                  </pic:nvPicPr>
                  <pic:blipFill>
                    <a:blip r:embed="rId40"/>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30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22 reports the mean time per image.</w:t>
      </w:r>
    </w:p>
    <w:p>
      <w:pPr>
        <w:keepNext/>
        <w:widowControl/>
        <w:spacing w:before="160" w:after="80" w:line="276" w:lineRule="auto"/>
        <w:ind w:firstLine="0" w:left="0"/>
        <w:jc w:val="left"/>
      </w:pPr>
      <w:r>
        <w:rPr>
          <w:b/>
        </w:rPr>
        <w:t>Table 22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23 presents the result.</w:t>
      </w:r>
    </w:p>
    <w:p>
      <w:pPr>
        <w:keepNext/>
        <w:widowControl/>
        <w:spacing w:before="160" w:after="80" w:line="276" w:lineRule="auto"/>
        <w:ind w:firstLine="0" w:left="0"/>
        <w:jc w:val="left"/>
      </w:pPr>
      <w:r>
        <w:rPr>
          <w:b/>
        </w:rPr>
        <w:t>Table 23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17 to 19;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20, 21, and 23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24 lists the severity weights and the tier thresholds.</w:t>
      </w:r>
    </w:p>
    <w:p>
      <w:pPr>
        <w:keepNext/>
        <w:widowControl/>
        <w:spacing w:before="160" w:after="80" w:line="276" w:lineRule="auto"/>
        <w:ind w:firstLine="0" w:left="0"/>
        <w:jc w:val="left"/>
      </w:pPr>
      <w:r>
        <w:rPr>
          <w:b/>
        </w:rPr>
        <w:t>Table 24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25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25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Because the study did not screen the clinic's patients, no dentist-confirmed tiers had been recorded by the end of the study, so the classifier's accuracy against real clinical cases could not yet be measured; it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26). Figures 17, 20, and 24 to 26 in Section 3.10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requests a reset link by email; the link can be used once, expires after 30 minutes, and stops working as soon as the password changes, and the system gives the same answer whether or not the email address is registered so that it cannot be used to discover accounts.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117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117 tests passed in the final run (Table 26).</w:t>
      </w:r>
    </w:p>
    <w:p>
      <w:pPr>
        <w:keepNext/>
        <w:widowControl/>
        <w:spacing w:before="160" w:after="80" w:line="276" w:lineRule="auto"/>
        <w:ind w:firstLine="0" w:left="0"/>
        <w:jc w:val="left"/>
      </w:pPr>
      <w:r>
        <w:rPr>
          <w:b/>
        </w:rPr>
        <w:t>Table 26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 reset, and change password</w:t>
            </w:r>
          </w:p>
        </w:tc>
        <w:tc>
          <w:tcPr>
            <w:tcW w:type="dxa" w:w="1141"/>
          </w:tcPr>
          <w:p>
            <w:pPr>
              <w:keepNext w:val="0"/>
              <w:widowControl/>
              <w:spacing w:before="0" w:after="0" w:line="240" w:lineRule="auto"/>
              <w:ind w:firstLine="0" w:left="0"/>
              <w:jc w:val="left"/>
            </w:pPr>
            <w:r>
              <w:rPr>
                <w:sz w:val="22"/>
              </w:rPr>
              <w:t>13</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117</w:t>
            </w:r>
          </w:p>
        </w:tc>
        <w:tc>
          <w:tcPr>
            <w:tcW w:type="dxa" w:w="1426"/>
          </w:tcPr>
          <w:p>
            <w:pPr>
              <w:keepNext w:val="0"/>
              <w:widowControl/>
              <w:spacing w:before="0" w:after="0" w:line="240" w:lineRule="auto"/>
              <w:ind w:firstLine="0" w:left="0"/>
              <w:jc w:val="left"/>
            </w:pPr>
            <w:r>
              <w:rPr>
                <w:sz w:val="22"/>
              </w:rPr>
              <w:t>117 passed, 0 failed</w:t>
            </w:r>
          </w:p>
        </w:tc>
      </w:tr>
    </w:tbl>
    <w:p>
      <w:pPr>
        <w:keepNext w:val="0"/>
        <w:widowControl/>
        <w:spacing w:before="40" w:after="160" w:line="240" w:lineRule="auto"/>
        <w:ind w:firstLine="0" w:left="0"/>
        <w:jc w:val="left"/>
      </w:pPr>
      <w:r>
        <w:rPr>
          <w:i/>
          <w:sz w:val="20"/>
        </w:rPr>
        <w:t>Source: python -m pytest in backend/ (run with YOLO_BACKEND=onnx on 28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27 presents the scores.</w:t>
      </w:r>
    </w:p>
    <w:p>
      <w:pPr>
        <w:keepNext/>
        <w:widowControl/>
        <w:spacing w:before="160" w:after="80" w:line="276" w:lineRule="auto"/>
        <w:ind w:firstLine="0" w:left="0"/>
        <w:jc w:val="left"/>
      </w:pPr>
      <w:r>
        <w:rPr>
          <w:b/>
        </w:rPr>
        <w:t>Table 27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of the study. The evaluation questionnaire was answered online through Google Forms between 2026-10-19 and 2026-10-28 by 103 respondents who gave their informed consent. None of the respondents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fall into two groups: 98 patient respondents, who evaluated the system from a patient's point of view after using it, and 5 IT experts (IT practitioners). Table 28 presents their distribution. The questionnaire's parts were written for different respondent groups, so the number of respondents differs per section, as shown in Table 29.</w:t>
      </w:r>
    </w:p>
    <w:p>
      <w:pPr>
        <w:keepNext/>
        <w:widowControl/>
        <w:spacing w:before="160" w:after="80" w:line="276" w:lineRule="auto"/>
        <w:ind w:firstLine="0" w:left="0"/>
        <w:jc w:val="left"/>
      </w:pPr>
      <w:r>
        <w:rPr>
          <w:b/>
        </w:rPr>
        <w:t>Table 28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29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answered the three sections on the system's features (AI detection and risk classification, the results interface and patient records, and the prevention plan). The six ISO/IEC 25010 quality sections (Part B3 of the instrument) were written for dentists, clinic staff, and IT experts, as the instructions of that part state, because many of their statements concern staff-side and technical features that a patient using the portal does not see, such as role-based access, the staff audit log, and data consistency between related records. All 5 IT experts answered them; since no dentist or clinic staff member took part, the only other answers came from 7 patient respondents who completed the part although it was not meant for them, for a total of 12. The two sections on the manual screening process and on screening consistency and time were answered by 2. Of the respondents who gave their experience in their current field, 8 reported less than 1 year, 2 reported 1-3 years.</w:t>
      </w:r>
    </w:p>
    <w:p>
      <w:pPr>
        <w:pStyle w:val="Heading3"/>
        <w:keepNext/>
        <w:widowControl/>
        <w:spacing w:before="120" w:after="80" w:line="360" w:lineRule="auto"/>
        <w:ind w:firstLine="0" w:left="0"/>
        <w:jc w:val="left"/>
      </w:pPr>
      <w:r>
        <w:rPr/>
        <w:t>4.3.2 Research Instrument</w:t>
      </w:r>
    </w:p>
    <w:p>
      <w:pPr>
        <w:keepNext w:val="0"/>
        <w:widowControl/>
        <w:spacing w:before="0" w:after="120" w:line="360" w:lineRule="auto"/>
        <w:ind w:firstLine="720" w:left="0"/>
        <w:jc w:val="both"/>
      </w:pPr>
      <w:r>
        <w:rPr/>
        <w:t>The instrument has eleven sections with 46 statements, listed in Table 30,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30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31, which divide the 1-to-4 range into four equal intervals of 0.75.</w:t>
      </w:r>
    </w:p>
    <w:p>
      <w:pPr>
        <w:keepNext/>
        <w:widowControl/>
        <w:spacing w:before="160" w:after="80" w:line="276" w:lineRule="auto"/>
        <w:ind w:firstLine="0" w:left="0"/>
        <w:jc w:val="left"/>
      </w:pPr>
      <w:r>
        <w:rPr>
          <w:b/>
        </w:rPr>
        <w:t>Table 31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4.3.5 Evaluation Results per Quality Characteristic</w:t>
      </w:r>
    </w:p>
    <w:p>
      <w:pPr>
        <w:keepNext w:val="0"/>
        <w:widowControl/>
        <w:spacing w:before="0" w:after="120" w:line="360" w:lineRule="auto"/>
        <w:ind w:firstLine="720" w:left="0"/>
        <w:jc w:val="both"/>
      </w:pPr>
      <w:r>
        <w:rPr/>
        <w:t>Tables 32 to 37 present the results for the six quality characteristics, answered by 12 respondents.</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obtained a mean of 3.69 (SD 0.46), interpreted as Strongly Agree. The highest-rated statement was SE3, “Passwords and login sessions are handled securely” (3.75), and the lowest was SE4, “Sensitive staff actions are recorded in the audit log for administrative review” (3.67), which was still rated Strongly Agree. The IT experts were more critical than the patient respondents (3.45 against 3.86). No respondent disagreed with any statement in this section. One respondent suggested an additional security measure for authorized personnel, which is taken up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obtained a mean of 3.72 (SD 0.45), interpreted as Strongly Agree. The highest-rated statement was PR1, “Screening images are not publicly exposed and can only be viewed by authorized users” (3.75), and the lowest was PR3, “The system handles personal and health information in line with the Data Privacy Act of 2012” (3.67), which was still rated Strongly Agree. The IT experts were more critical than the patient respondents (3.53 against 3.86). No respondent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obtained a mean of 3.71 (SD 0.45), interpreted as Strongly Agree. The highest-rated statement was US3, “Labels, buttons, and messages are easy to understand” (3.83), and the lowest was US4, “The layout and design of the interface are visually pleasing and organized” (3.67), which was still rated Strongly Agree. The IT experts were more critical than the patient respondents (3.50 against 3.86). No respondent disagreed with any statement in this section. In the open-ended answers, ease of use and the interface were the most often mentioned strengths, while a few respondents found some pages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obtained a mean of 3.61 (SD 0.49), interpreted as Strongly Agree. The highest-rated statement was RE2, “When an error occurs, the system shows a clear message and recovers without losing data” (3.75), and the lowest was RE1, “The system runs consistently without unexpected crashes or failures” (3.50), which was still rated Strongly Agree. The IT experts were more critical than the patient respondents (3.27 against 3.86). No respondent disagreed with any statement in this section. RE1 was also the statement the IT experts rated lowest. In the open-ended answers, two respondents mentioned slow first loading and performance bugs that had to be patched; the free hosting tier used for the study sleeps after 15 minutes without requests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obtained a mean of 3.67 (SD 0.47), interpreted as Strongly Agree. All statements in this section were rated equally. The IT experts were more critical than the patient respondents (3.40 against 3.86). No respondent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Data Protection obtained a mean of 3.69 (SD 0.46), interpreted as Strongly Agree. The highest-rated statement was DP1, “Patient, screening, and detection records are stored accurately and completely” (3.75), and the lowest was DP2, “Related records (patients, screenings, findings, recommendations, notes) remain consistent with one another” (3.58), which was still rated Strongly Agree. The IT experts were more critical than the patient respondents (3.47 against 3.86). No respondent disagreed with any statement in this section.</w:t>
      </w:r>
    </w:p>
    <w:p>
      <w:pPr>
        <w:pStyle w:val="Heading3"/>
        <w:keepNext/>
        <w:widowControl/>
        <w:spacing w:before="120" w:after="80" w:line="360" w:lineRule="auto"/>
        <w:ind w:firstLine="0" w:left="0"/>
        <w:jc w:val="left"/>
      </w:pPr>
      <w:r>
        <w:rPr/>
        <w:t>4.3.6 Evaluation Results for the System Features</w:t>
      </w:r>
    </w:p>
    <w:p>
      <w:pPr>
        <w:keepNext w:val="0"/>
        <w:widowControl/>
        <w:spacing w:before="0" w:after="120" w:line="360" w:lineRule="auto"/>
        <w:ind w:firstLine="720" w:left="0"/>
        <w:jc w:val="both"/>
      </w:pPr>
      <w:r>
        <w:rPr/>
        <w:t>Tables 38 to 40 present the results for the three sections on the system's main features, answered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obtained a mean of 3.45 (SD 0.53), interpreted as Strongly Agree. The highest-rated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ratings in this section were Disagree or Strongly Disagree. Although the respondents rated detection highly, this is a perception measure taken while using the system, not a measure of accuracy; the measured accuracy in Section 4.1 is moderate, and plaque in particular is often missed. One respondent noted that results may be wrong when the photograph is blurry and should still be checked by a dentist, which agrees with the design of the system.</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obtained a mean of 3.47 (SD 0.54), interpreted as Strongly Agree. The highest-rated statement was RI1, “The bounding boxes and condition labels clearly show where each finding is located on the image” (3.49), and the lowest was RI2, “The plain-language descriptions make the findings easy to understand” (3.45). Only 7 of the 515 ratings in this section were Disagree or Strongly Disagree. Respondents singled out the plain-language descriptions and the clear presentation of the results in their open-ended answers.</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obtained a mean of 3.50 (SD 0.51), interpreted as Strongly Agree. The highest-rated statement was PP1, “The prevention plan is relevant to the patient's detected findings and risk classification” (3.54), and the lowest was PP2, “The recommendations are clear and easy for patients to follow” (3.47). Only 2 of the 412 ratings in this section were Disagree or Strongly Disagree. This was the highest-rated of the three feature sections. Respondents wrote that the tips were clear and helped them remember to care for their teeth, and several asked for more dental health tips, check-up reminders, and short videos.</w:t>
      </w:r>
    </w:p>
    <w:p>
      <w:pPr>
        <w:pStyle w:val="Heading3"/>
        <w:keepNext/>
        <w:widowControl/>
        <w:spacing w:before="120" w:after="80" w:line="360" w:lineRule="auto"/>
        <w:ind w:firstLine="0" w:left="0"/>
        <w:jc w:val="left"/>
      </w:pPr>
      <w:r>
        <w:rPr/>
        <w:t>4.3.7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and are therefore interpreted as Highly Acceptable. The six quality characteristics obtained an overall mean of 3.68 and the three feature sections 3.48. Among the quality characteristics, Privacy was rated highest (3.72) and Reliability lowest (3.61). The IT experts rated every section lower than the patient respondents, but still within Strongly Agree, which is expected of evaluators who judge the system against technical standards. Disagreement was rare: 0 of 240 quality ratings and 18 of 1442 feature ratings were Disagree or Strongly Disagree.</w:t>
      </w:r>
    </w:p>
    <w:p>
      <w:pPr>
        <w:keepNext w:val="0"/>
        <w:widowControl/>
        <w:spacing w:before="0" w:after="120" w:line="360" w:lineRule="auto"/>
        <w:ind w:firstLine="720" w:left="0"/>
        <w:jc w:val="both"/>
      </w:pPr>
      <w:r>
        <w:rPr/>
        <w:t>Two cautions apply. First, the six quality sections were answered by only 12 of the 103 respondents, and only 5 of the respondents were IT experts, so the quality ratings rest on a small group. This follows from the design of the instrument, which directed the quality evaluation to dentists, clinic staff, and IT experts, and from the absence of dentists and clinic staff among the respondents. Second, the ratings express how the respondents perceived the system, and are read together with the measured results in Sections 4.1 and 4.2. In the open-ended answers, the respondents most often praised the system's ease of use, clear interface, and understandable explanations; the difficulties they reported were slow first loading, pages with much information at once, some features being hard to find, and inaccurate results from blurry photographs; and their suggestions were reminders for brushing and check-ups, more dental tips and short videos, a faster and easier search, more detectable conditions with better accuracy, and an additional security measure for authorized personnel.</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of the study. The planned controlled comparison, in which the same patients would be screened and timed with and without Toothwise against the dentist's findings, could not be carried out because the study did not involve the clinic's patients. The fifth problem is therefore answered through the respondents' assessment of the current manual process and of Toothwise's effect on screening consistency and time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val="0"/>
        <w:widowControl/>
        <w:spacing w:before="0" w:after="120" w:line="360" w:lineRule="auto"/>
        <w:ind w:firstLine="720" w:left="0"/>
        <w:jc w:val="both"/>
      </w:pPr>
      <w:r>
        <w:rPr/>
        <w:t>The 2 respondents agreed that the current visual-only process has the limitations identified in the first problem (mean 3.21): findings can differ between examinations, lighting and angle affect what can be seen, and a tool that supports consistent early screening would be useful. The only statement rated Disagree was MS6, “Patients rarely receive preventive guidance that is specific to their own screening findings” (2.50). They also agreed that Toothwise makes results more consistent, reduces the time needed to complete and document a screening, and agrees with the dentist's own findings (mean 3.40), and they would recommend its continued use. Because only 2 respondents answered these sections and no screening was timed, these results indicate a direction rather than a measured effect. The measured part of the answer is the processing time: the deployed system completes a screening, with both models, in about 3 to 4 seconds (Section 4.1.6), and it records every finding, the risk result, and the prevention plan automatically, so the documentation of a screening no longer has to be written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117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