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119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the use of an intraoral camera for clearer images,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65</w:t>
      </w:r>
    </w:p>
    <w:p>
      <w:pPr>
        <w:keepNext w:val="0"/>
        <w:widowControl/>
        <w:tabs>
          <w:tab w:pos="8669" w:val="right" w:leader="dot"/>
        </w:tabs>
        <w:spacing w:before="0" w:after="60" w:line="276" w:lineRule="auto"/>
        <w:ind w:firstLine="0" w:left="216"/>
        <w:jc w:val="left"/>
      </w:pPr>
      <w:r>
        <w:rPr/>
        <w:t>4.2 Specialization and Technical Results</w:t>
        <w:tab/>
        <w:t>75</w:t>
      </w:r>
    </w:p>
    <w:p>
      <w:pPr>
        <w:keepNext w:val="0"/>
        <w:widowControl/>
        <w:tabs>
          <w:tab w:pos="8669" w:val="right" w:leader="dot"/>
        </w:tabs>
        <w:spacing w:before="0" w:after="60" w:line="276" w:lineRule="auto"/>
        <w:ind w:firstLine="0" w:left="216"/>
        <w:jc w:val="left"/>
      </w:pPr>
      <w:r>
        <w:rPr/>
        <w:t>4.3 Software Quality Evaluation Based on ISO/IEC 25010</w:t>
        <w:tab/>
        <w:t>81</w:t>
      </w:r>
    </w:p>
    <w:p>
      <w:pPr>
        <w:keepNext w:val="0"/>
        <w:widowControl/>
        <w:tabs>
          <w:tab w:pos="8669" w:val="right" w:leader="dot"/>
        </w:tabs>
        <w:spacing w:before="0" w:after="60" w:line="276" w:lineRule="auto"/>
        <w:ind w:firstLine="0" w:left="216"/>
        <w:jc w:val="left"/>
      </w:pPr>
      <w:r>
        <w:rPr/>
        <w:t>4.4 Screening Consistency and Screening Time</w:t>
        <w:tab/>
        <w:t>90</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92</w:t>
      </w:r>
    </w:p>
    <w:p>
      <w:pPr>
        <w:keepNext w:val="0"/>
        <w:widowControl/>
        <w:tabs>
          <w:tab w:pos="8669" w:val="right" w:leader="dot"/>
        </w:tabs>
        <w:spacing w:before="0" w:after="60" w:line="276" w:lineRule="auto"/>
        <w:ind w:firstLine="0" w:left="216"/>
        <w:jc w:val="left"/>
      </w:pPr>
      <w:r>
        <w:rPr/>
        <w:t>5.2 Conclusions</w:t>
        <w:tab/>
        <w:t>93</w:t>
      </w:r>
    </w:p>
    <w:p>
      <w:pPr>
        <w:keepNext w:val="0"/>
        <w:widowControl/>
        <w:tabs>
          <w:tab w:pos="8669" w:val="right" w:leader="dot"/>
        </w:tabs>
        <w:spacing w:before="0" w:after="60" w:line="276" w:lineRule="auto"/>
        <w:ind w:firstLine="0" w:left="216"/>
        <w:jc w:val="left"/>
      </w:pPr>
      <w:r>
        <w:rPr/>
        <w:t>5.3 Recommendations</w:t>
        <w:tab/>
        <w:t>94</w:t>
      </w:r>
    </w:p>
    <w:p>
      <w:pPr>
        <w:keepNext w:val="0"/>
        <w:widowControl/>
        <w:tabs>
          <w:tab w:pos="8669" w:val="right" w:leader="dot"/>
        </w:tabs>
        <w:spacing w:before="0" w:after="60" w:line="276" w:lineRule="auto"/>
        <w:ind w:firstLine="0" w:left="216"/>
        <w:jc w:val="left"/>
      </w:pPr>
      <w:r>
        <w:rPr/>
        <w:t>References</w:t>
        <w:tab/>
        <w:t>97</w:t>
      </w:r>
    </w:p>
    <w:p>
      <w:pPr>
        <w:keepNext w:val="0"/>
        <w:widowControl/>
        <w:tabs>
          <w:tab w:pos="8669" w:val="right" w:leader="dot"/>
        </w:tabs>
        <w:spacing w:before="0" w:after="60" w:line="276" w:lineRule="auto"/>
        <w:ind w:firstLine="0" w:left="216"/>
        <w:jc w:val="left"/>
      </w:pPr>
      <w:r>
        <w:rPr/>
        <w:t>Appendix A. Evaluation Questionnaire</w:t>
        <w:tab/>
        <w:t>101</w:t>
      </w:r>
    </w:p>
    <w:p>
      <w:pPr>
        <w:keepNext w:val="0"/>
        <w:widowControl/>
        <w:tabs>
          <w:tab w:pos="8669" w:val="right" w:leader="dot"/>
        </w:tabs>
        <w:spacing w:before="0" w:after="60" w:line="276" w:lineRule="auto"/>
        <w:ind w:firstLine="0" w:left="216"/>
        <w:jc w:val="left"/>
      </w:pPr>
      <w:r>
        <w:rPr/>
        <w:t>Appendix B. Frequency Distribution of Responses</w:t>
        <w:tab/>
        <w:t>105</w:t>
      </w:r>
    </w:p>
    <w:p>
      <w:pPr>
        <w:keepNext w:val="0"/>
        <w:widowControl/>
        <w:tabs>
          <w:tab w:pos="8669" w:val="right" w:leader="dot"/>
        </w:tabs>
        <w:spacing w:before="0" w:after="60" w:line="276" w:lineRule="auto"/>
        <w:ind w:firstLine="0" w:left="216"/>
        <w:jc w:val="left"/>
      </w:pPr>
      <w:r>
        <w:rPr/>
        <w:t>Appendix C. Letter of Approval from CodiSmile Dental Clinic</w:t>
        <w:tab/>
        <w:t>107</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37</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48</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52</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53</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65</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66</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66</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67</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68</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70</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70</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71</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72</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73</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74</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77</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77</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79</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80</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81</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82</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83</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83</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84</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84</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85</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86</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86</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87</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88</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88</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90</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91</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105</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38</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39</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Reset Password (Staff)</w:t>
        <w:tab/>
        <w:t>56</w:t>
      </w:r>
    </w:p>
    <w:p>
      <w:pPr>
        <w:keepNext w:val="0"/>
        <w:widowControl/>
        <w:tabs>
          <w:tab w:pos="1224" w:val="left"/>
          <w:tab w:pos="8669" w:val="right" w:leader="dot"/>
        </w:tabs>
        <w:spacing w:before="0" w:after="60" w:line="240" w:lineRule="auto"/>
        <w:ind w:hanging="1224" w:left="1224"/>
        <w:jc w:val="left"/>
      </w:pPr>
      <w:r>
        <w:rPr>
          <w:sz w:val="22"/>
        </w:rPr>
        <w:t>Figure 12</w:t>
        <w:tab/>
        <w:t>Reset Password (Patient)</w:t>
        <w:tab/>
        <w:t>57</w:t>
      </w:r>
    </w:p>
    <w:p>
      <w:pPr>
        <w:keepNext w:val="0"/>
        <w:widowControl/>
        <w:tabs>
          <w:tab w:pos="1224" w:val="left"/>
          <w:tab w:pos="8669" w:val="right" w:leader="dot"/>
        </w:tabs>
        <w:spacing w:before="0" w:after="60" w:line="240" w:lineRule="auto"/>
        <w:ind w:hanging="1224" w:left="1224"/>
        <w:jc w:val="left"/>
      </w:pPr>
      <w:r>
        <w:rPr>
          <w:sz w:val="22"/>
        </w:rPr>
        <w:t>Figure 13</w:t>
        <w:tab/>
        <w:t>Change Password</w:t>
        <w:tab/>
        <w:t>57</w:t>
      </w:r>
    </w:p>
    <w:p>
      <w:pPr>
        <w:keepNext w:val="0"/>
        <w:widowControl/>
        <w:tabs>
          <w:tab w:pos="1224" w:val="left"/>
          <w:tab w:pos="8669" w:val="right" w:leader="dot"/>
        </w:tabs>
        <w:spacing w:before="0" w:after="60" w:line="240" w:lineRule="auto"/>
        <w:ind w:hanging="1224" w:left="1224"/>
        <w:jc w:val="left"/>
      </w:pPr>
      <w:r>
        <w:rPr>
          <w:sz w:val="22"/>
        </w:rPr>
        <w:t>Figure 14</w:t>
        <w:tab/>
        <w:t>Patient Portal — Sign Up</w:t>
        <w:tab/>
        <w:t>57</w:t>
      </w:r>
    </w:p>
    <w:p>
      <w:pPr>
        <w:keepNext w:val="0"/>
        <w:widowControl/>
        <w:tabs>
          <w:tab w:pos="1224" w:val="left"/>
          <w:tab w:pos="8669" w:val="right" w:leader="dot"/>
        </w:tabs>
        <w:spacing w:before="0" w:after="60" w:line="240" w:lineRule="auto"/>
        <w:ind w:hanging="1224" w:left="1224"/>
        <w:jc w:val="left"/>
      </w:pPr>
      <w:r>
        <w:rPr>
          <w:sz w:val="22"/>
        </w:rPr>
        <w:t>Figure 15</w:t>
        <w:tab/>
        <w:t>Dashboard</w:t>
        <w:tab/>
        <w:t>58</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59</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59</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60</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60</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61</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23</w:t>
        <w:tab/>
        <w:t>Patient Portal — Home</w:t>
        <w:tab/>
        <w:t>63</w:t>
      </w:r>
    </w:p>
    <w:p>
      <w:pPr>
        <w:keepNext w:val="0"/>
        <w:widowControl/>
        <w:tabs>
          <w:tab w:pos="1224" w:val="left"/>
          <w:tab w:pos="8669" w:val="right" w:leader="dot"/>
        </w:tabs>
        <w:spacing w:before="0" w:after="60" w:line="240" w:lineRule="auto"/>
        <w:ind w:hanging="1224" w:left="1224"/>
        <w:jc w:val="left"/>
      </w:pPr>
      <w:r>
        <w:rPr>
          <w:sz w:val="22"/>
        </w:rPr>
        <w:t>Figure 24</w:t>
        <w:tab/>
        <w:t>Patient Portal — Screening Details</w:t>
        <w:tab/>
        <w:t>64</w:t>
      </w:r>
    </w:p>
    <w:p>
      <w:pPr>
        <w:keepNext w:val="0"/>
        <w:widowControl/>
        <w:tabs>
          <w:tab w:pos="1224" w:val="left"/>
          <w:tab w:pos="8669" w:val="right" w:leader="dot"/>
        </w:tabs>
        <w:spacing w:before="0" w:after="60" w:line="240" w:lineRule="auto"/>
        <w:ind w:hanging="1224" w:left="1224"/>
        <w:jc w:val="left"/>
      </w:pPr>
      <w:r>
        <w:rPr>
          <w:sz w:val="22"/>
        </w:rPr>
        <w:t>Figure 25</w:t>
        <w:tab/>
        <w:t>PDF Screening Report</w:t>
        <w:tab/>
        <w:t>64</w:t>
      </w:r>
    </w:p>
    <w:p>
      <w:pPr>
        <w:keepNext w:val="0"/>
        <w:widowControl/>
        <w:tabs>
          <w:tab w:pos="1224" w:val="left"/>
          <w:tab w:pos="8669" w:val="right" w:leader="dot"/>
        </w:tabs>
        <w:spacing w:before="0" w:after="60" w:line="240" w:lineRule="auto"/>
        <w:ind w:hanging="1224" w:left="1224"/>
        <w:jc w:val="left"/>
      </w:pPr>
      <w:r>
        <w:rPr>
          <w:sz w:val="22"/>
        </w:rPr>
        <w:t>Figure 26</w:t>
        <w:tab/>
        <w:t>mAP@50 and mAP@50-95 per Training Epoch for YOLOv8 and YOLOv12</w:t>
        <w:tab/>
        <w:t>69</w:t>
      </w:r>
    </w:p>
    <w:p>
      <w:pPr>
        <w:keepNext w:val="0"/>
        <w:widowControl/>
        <w:tabs>
          <w:tab w:pos="1224" w:val="left"/>
          <w:tab w:pos="8669" w:val="right" w:leader="dot"/>
        </w:tabs>
        <w:spacing w:before="0" w:after="60" w:line="240" w:lineRule="auto"/>
        <w:ind w:hanging="1224" w:left="1224"/>
        <w:jc w:val="left"/>
      </w:pPr>
      <w:r>
        <w:rPr>
          <w:sz w:val="22"/>
        </w:rPr>
        <w:t>Figure 27</w:t>
        <w:tab/>
        <w:t>Final Validation Metrics of YOLOv8 and YOLOv12</w:t>
        <w:tab/>
        <w:t>69</w:t>
      </w:r>
    </w:p>
    <w:p>
      <w:pPr>
        <w:keepNext w:val="0"/>
        <w:widowControl/>
        <w:tabs>
          <w:tab w:pos="1224" w:val="left"/>
          <w:tab w:pos="8669" w:val="right" w:leader="dot"/>
        </w:tabs>
        <w:spacing w:before="0" w:after="60" w:line="240" w:lineRule="auto"/>
        <w:ind w:hanging="1224" w:left="1224"/>
        <w:jc w:val="left"/>
      </w:pPr>
      <w:r>
        <w:rPr>
          <w:sz w:val="22"/>
        </w:rPr>
        <w:t>Figure 28</w:t>
        <w:tab/>
        <w:t>Per-Class mAP@50 on the Test Split</w:t>
        <w:tab/>
        <w:t>70</w:t>
      </w:r>
    </w:p>
    <w:p>
      <w:pPr>
        <w:keepNext w:val="0"/>
        <w:widowControl/>
        <w:tabs>
          <w:tab w:pos="1224" w:val="left"/>
          <w:tab w:pos="8669" w:val="right" w:leader="dot"/>
        </w:tabs>
        <w:spacing w:before="0" w:after="60" w:line="240" w:lineRule="auto"/>
        <w:ind w:hanging="1224" w:left="1224"/>
        <w:jc w:val="left"/>
      </w:pPr>
      <w:r>
        <w:rPr>
          <w:sz w:val="22"/>
        </w:rPr>
        <w:t>Figure 29</w:t>
        <w:tab/>
        <w:t>Confusion Matrices on the Test Split (Columns Normalized by True Class)</w:t>
        <w:tab/>
        <w:t>72</w:t>
      </w:r>
    </w:p>
    <w:p>
      <w:pPr>
        <w:keepNext w:val="0"/>
        <w:widowControl/>
        <w:tabs>
          <w:tab w:pos="1224" w:val="left"/>
          <w:tab w:pos="8669" w:val="right" w:leader="dot"/>
        </w:tabs>
        <w:spacing w:before="0" w:after="60" w:line="240" w:lineRule="auto"/>
        <w:ind w:hanging="1224" w:left="1224"/>
        <w:jc w:val="left"/>
      </w:pPr>
      <w:r>
        <w:rPr>
          <w:sz w:val="22"/>
        </w:rPr>
        <w:t>Figure 30</w:t>
        <w:tab/>
        <w:t>Letter Requesting Approval to Conduct the Study (page 1 of 2)</w:t>
        <w:tab/>
        <w:t>108</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2 of 2)</w:t>
        <w:tab/>
        <w:t>108</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(119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who forget their password can set a new one after confirming details already on their account (staff: email and PRC license number; patients: email, birthdate, and mobile number),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a failed password reset always returns the same message, so it cannot reveal which accounts exist or which detail was wrong, and every reset attempt is written to the audit log.</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229590"/>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389120" cy="5229590"/>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resets a forgotten password after checking the details on file,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and new passwords to D1 and D2 and login and reset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572000" cy="5564221"/>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572000" cy="5564221"/>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119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3279886"/>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783080" cy="3279886"/>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783080" cy="2427567"/>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393126"/>
                  <wp:docPr id="11" name="Picture 11"/>
                  <wp:cNvGraphicFramePr>
                    <a:graphicFrameLocks noChangeAspect="1"/>
                  </wp:cNvGraphicFramePr>
                  <a:graphic>
                    <a:graphicData uri="http://schemas.openxmlformats.org/drawingml/2006/picture">
                      <pic:pic>
                        <pic:nvPicPr>
                          <pic:cNvPr id="0" name="shot_forgot_staff.png"/>
                          <pic:cNvPicPr/>
                        </pic:nvPicPr>
                        <pic:blipFill>
                          <a:blip r:embed="rId21"/>
                          <a:stretch>
                            <a:fillRect/>
                          </a:stretch>
                        </pic:blipFill>
                        <pic:spPr>
                          <a:xfrm>
                            <a:off x="0" y="0"/>
                            <a:ext cx="1783080" cy="4393126"/>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Reset Password (Staff).</w:t>
            </w:r>
            <w:r>
              <w:rPr>
                <w:sz w:val="20"/>
              </w:rPr>
              <w:t xml:space="preserve"> </w:t>
            </w:r>
            <w:r>
              <w:rPr>
                <w:i/>
                <w:sz w:val="20"/>
              </w:rPr>
              <w:t>Staff confirm their email and PRC license number, then set a new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580599"/>
                  <wp:docPr id="12" name="Picture 12"/>
                  <wp:cNvGraphicFramePr>
                    <a:graphicFrameLocks noChangeAspect="1"/>
                  </wp:cNvGraphicFramePr>
                  <a:graphic>
                    <a:graphicData uri="http://schemas.openxmlformats.org/drawingml/2006/picture">
                      <pic:pic>
                        <pic:nvPicPr>
                          <pic:cNvPr id="0" name="shot_forgot_patient.png"/>
                          <pic:cNvPicPr/>
                        </pic:nvPicPr>
                        <pic:blipFill>
                          <a:blip r:embed="rId22"/>
                          <a:stretch>
                            <a:fillRect/>
                          </a:stretch>
                        </pic:blipFill>
                        <pic:spPr>
                          <a:xfrm>
                            <a:off x="0" y="0"/>
                            <a:ext cx="1783080" cy="458059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963059"/>
                  <wp:docPr id="13" name="Picture 13"/>
                  <wp:cNvGraphicFramePr>
                    <a:graphicFrameLocks noChangeAspect="1"/>
                  </wp:cNvGraphicFramePr>
                  <a:graphic>
                    <a:graphicData uri="http://schemas.openxmlformats.org/drawingml/2006/picture">
                      <pic:pic>
                        <pic:nvPicPr>
                          <pic:cNvPr id="0" name="shot_change_password.png"/>
                          <pic:cNvPicPr/>
                        </pic:nvPicPr>
                        <pic:blipFill>
                          <a:blip r:embed="rId23"/>
                          <a:stretch>
                            <a:fillRect/>
                          </a:stretch>
                        </pic:blipFill>
                        <pic:spPr>
                          <a:xfrm>
                            <a:off x="0" y="0"/>
                            <a:ext cx="1783080" cy="296305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4" name="Picture 14"/>
                  <wp:cNvGraphicFramePr>
                    <a:graphicFrameLocks noChangeAspect="1"/>
                  </wp:cNvGraphicFramePr>
                  <a:graphic>
                    <a:graphicData uri="http://schemas.openxmlformats.org/drawingml/2006/picture">
                      <pic:pic>
                        <pic:nvPicPr>
                          <pic:cNvPr id="0" name="shot_portal_register.png"/>
                          <pic:cNvPicPr/>
                        </pic:nvPicPr>
                        <pic:blipFill>
                          <a:blip r:embed="rId24"/>
                          <a:stretch>
                            <a:fillRect/>
                          </a:stretch>
                        </pic:blipFill>
                        <pic:spPr>
                          <a:xfrm>
                            <a:off x="0" y="0"/>
                            <a:ext cx="1783080" cy="2427567"/>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Password (Patient).</w:t>
            </w:r>
            <w:r>
              <w:rPr>
                <w:sz w:val="20"/>
              </w:rPr>
              <w:t xml:space="preserve"> </w:t>
            </w:r>
            <w:r>
              <w:rPr>
                <w:i/>
                <w:sz w:val="20"/>
              </w:rPr>
              <w:t>Patients confirm their email, birthdate, and mobile number, then set a new password.</w:t>
            </w:r>
          </w:p>
        </w:tc>
        <w:tc>
          <w:tcPr>
            <w:tcW w:type="dxa" w:w="2899"/>
          </w:tcPr>
          <w:p>
            <w:pPr>
              <w:keepNext w:val="0"/>
              <w:widowControl/>
              <w:spacing w:before="40" w:after="120" w:line="276" w:lineRule="auto"/>
              <w:ind w:firstLine="0" w:left="0"/>
              <w:jc w:val="left"/>
            </w:pPr>
            <w:r>
              <w:rPr>
                <w:b/>
                <w:sz w:val="20"/>
              </w:rPr>
              <w:t>Figure 13 Change Password.</w:t>
            </w:r>
            <w:r>
              <w:rPr>
                <w:sz w:val="20"/>
              </w:rPr>
              <w:t xml:space="preserve"> </w:t>
            </w:r>
            <w:r>
              <w:rPr>
                <w:i/>
                <w:sz w:val="20"/>
              </w:rPr>
              <w:t>Opened from the sidebar or portal header; needs the current password.</w:t>
            </w:r>
          </w:p>
        </w:tc>
        <w:tc>
          <w:tcPr>
            <w:tcW w:type="dxa" w:w="2899"/>
          </w:tcPr>
          <w:p>
            <w:pPr>
              <w:keepNext w:val="0"/>
              <w:widowControl/>
              <w:spacing w:before="40" w:after="120" w:line="276" w:lineRule="auto"/>
              <w:ind w:firstLine="0" w:left="0"/>
              <w:jc w:val="left"/>
            </w:pPr>
            <w:r>
              <w:rPr>
                <w:b/>
                <w:sz w:val="20"/>
              </w:rPr>
              <w:t>Figure 14 Patient Portal — Sign Up.</w:t>
            </w:r>
            <w:r>
              <w:rPr>
                <w:sz w:val="20"/>
              </w:rPr>
              <w:t xml:space="preserve"> </w:t>
            </w:r>
            <w:r>
              <w:rPr>
                <w:i/>
                <w:sz w:val="20"/>
              </w:rPr>
              <w:t>New patients create an account with their contact details and a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343113"/>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4389120" cy="5343113"/>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2464131"/>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5440680" cy="2464131"/>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3406077"/>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5440680" cy="3406077"/>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reset or changed a password, and created, changed, or deleted records, and when.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291840" cy="4937760"/>
            <wp:docPr id="23" name="Picture 23"/>
            <wp:cNvGraphicFramePr>
              <a:graphicFrameLocks noChangeAspect="1"/>
            </wp:cNvGraphicFramePr>
            <a:graphic>
              <a:graphicData uri="http://schemas.openxmlformats.org/drawingml/2006/picture">
                <pic:pic>
                  <pic:nvPicPr>
                    <pic:cNvPr id="0" name="shot_portal_home.png"/>
                    <pic:cNvPicPr/>
                  </pic:nvPicPr>
                  <pic:blipFill>
                    <a:blip r:embed="rId33"/>
                    <a:stretch>
                      <a:fillRect/>
                    </a:stretch>
                  </pic:blipFill>
                  <pic:spPr>
                    <a:xfrm>
                      <a:off x="0" y="0"/>
                      <a:ext cx="3291840" cy="4937760"/>
                    </a:xfrm>
                    <a:prstGeom prst="rect"/>
                  </pic:spPr>
                </pic:pic>
              </a:graphicData>
            </a:graphic>
          </wp:inline>
        </w:drawing>
      </w:r>
    </w:p>
    <w:p>
      <w:pPr>
        <w:keepNext w:val="0"/>
        <w:widowControl/>
        <w:spacing w:before="40" w:after="200" w:line="276" w:lineRule="auto"/>
        <w:ind w:firstLine="0" w:left="0"/>
        <w:jc w:val="both"/>
      </w:pPr>
      <w:r>
        <w:rPr>
          <w:b/>
        </w:rPr>
        <w:t>Figure 23 Patient Portal — Home.</w:t>
      </w:r>
      <w:r>
        <w:rPr/>
        <w:t xml:space="preserve"> </w:t>
      </w:r>
      <w:r>
        <w:rPr>
          <w:i/>
        </w:rPr>
        <w:t>Latest risk level and change since the last visit, next check-up date, latest findings and next steps, risk over time, and screening history.</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4" name="Picture 24"/>
                  <wp:cNvGraphicFramePr>
                    <a:graphicFrameLocks noChangeAspect="1"/>
                  </wp:cNvGraphicFramePr>
                  <a:graphic>
                    <a:graphicData uri="http://schemas.openxmlformats.org/drawingml/2006/picture">
                      <pic:pic>
                        <pic:nvPicPr>
                          <pic:cNvPr id="0" name="shot_portal_screening.png"/>
                          <pic:cNvPicPr/>
                        </pic:nvPicPr>
                        <pic:blipFill>
                          <a:blip r:embed="rId34"/>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5" name="Picture 25"/>
                  <wp:cNvGraphicFramePr>
                    <a:graphicFrameLocks noChangeAspect="1"/>
                  </wp:cNvGraphicFramePr>
                  <a:graphic>
                    <a:graphicData uri="http://schemas.openxmlformats.org/drawingml/2006/picture">
                      <pic:pic>
                        <pic:nvPicPr>
                          <pic:cNvPr id="0" name="shot_report_1.png"/>
                          <pic:cNvPicPr/>
                        </pic:nvPicPr>
                        <pic:blipFill>
                          <a:blip r:embed="rId35"/>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24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25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of the study. It follows the five problems in Chapter I: how well the trained models detect the five dental conditions (Section 4.1, Problem 1), how the finished system records findings and gives prevention advice (Section 4.2, Problems 2 and 3), how the respondents rated the system (Section 4.3, Problem 4), and how the respondents judged its effect on screening consistency and time (Section 4.4, Problem 5). Sections 4.3 and 4.4 are based on the answers of 103 respondents.</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how accurately can the trained models find tartar, plaque, cavity, gum inflammation, and healthy tooth in an ordinary photograph of the teeth, and which of the two models, YOLOv8 or YOLOv12, does it better and faster?</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The models learned from four free, public collections of dental photographs in which the conditions had already been marked by hand. Each collection named its conditions differently, so every condition was matched to one of the five Toothwise classes, and conditions outside the study (for example, missing teeth, crooked teeth, gaps, ulcers, and missing tooth buds) were left out. Some collections outlined each condition as a shape instead of a box, so those outlines were turned into boxes, which is the format both models use. Table 15 shows how each collection's conditions were matched.</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The combined collection was split into three parts (Table 16): a training set that the models learn from, a validation set used to check progress during training, and a test set that the models never see until the final evaluation. Photographs that showed none of the five conditions were kept, because they teach the models not to mark healthy areas by mistake.</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shows how many examples of each condition the test set contains. The numbers are very uneven, from 42 healthy-tooth examples to 2,716 cavity examples, and this unevenness affects the results later in this section.</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on the same data with the same settings, so that the comparison between them is fair. Training ran on Google Colab with an NVIDIA Tesla T4 graphics card, and whenever the Colab session disconnected, training continued from the last saved point. Table 18 lists the settings, read directly from the saved models.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 xml:space="preserve">Five standard measures are used to score the models. </w:t>
      </w:r>
      <w:r>
        <w:rPr>
          <w:b/>
        </w:rPr>
        <w:t>Precision</w:t>
      </w:r>
      <w:r>
        <w:rPr/>
        <w:t xml:space="preserve"> is the share of the model's marks that are correct: of all the boxes it drew, how many were real findings. </w:t>
      </w:r>
      <w:r>
        <w:rPr>
          <w:b/>
        </w:rPr>
        <w:t>Recall</w:t>
      </w:r>
      <w:r>
        <w:rPr/>
        <w:t xml:space="preserve"> is the share of real findings that the model found: of all the conditions in the photographs, how many it marked. The </w:t>
      </w:r>
      <w:r>
        <w:rPr>
          <w:b/>
        </w:rPr>
        <w:t>F1-score</w:t>
      </w:r>
      <w:r>
        <w:rPr/>
        <w:t xml:space="preserve"> combines precision and recall into one number. </w:t>
      </w:r>
      <w:r>
        <w:rPr>
          <w:b/>
        </w:rPr>
        <w:t>mAP@50</w:t>
      </w:r>
      <w:r>
        <w:rPr/>
        <w:t xml:space="preserve"> (mean average precision) is the main overall score: it counts a finding as found when the model's box overlaps the correct box by at least half, and averages the result over the five conditions. </w:t>
      </w:r>
      <w:r>
        <w:rPr>
          <w:b/>
        </w:rPr>
        <w:t>mAP@50-95</w:t>
      </w:r>
      <w:r>
        <w:rPr/>
        <w:t xml:space="preserve"> is the same score with stricter overlap rules, so it is always lower. For all five measures, higher is better, and 100% would be perfect.</w:t>
      </w:r>
    </w:p>
    <w:p>
      <w:pPr>
        <w:keepNext w:val="0"/>
        <w:widowControl/>
        <w:spacing w:before="0" w:after="120" w:line="360" w:lineRule="auto"/>
        <w:ind w:firstLine="720" w:left="0"/>
        <w:jc w:val="both"/>
      </w:pPr>
      <w:r>
        <w:rPr/>
        <w:t>Table 19 gives the scores on two sets of photographs: the validation set (5,299 images), scored at the end of training, and the test set (2,930 images), which neither model had seen before. The test-set scores are the fairest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YOLOv8 scored a little higher than YOLOv12 on every measure. On the test set, its mAP@50 was 51.91% against 48.11% for YOLOv12, its precision 54.32% against 52.94%, and its recall 52.34% against 50.06%. In simple terms, each model correctly found about half of the conditions in the test photographs. YOLOv12 is the smaller model: it reached these results with about 24% fewer parameters (19.66 million against 25.86 million), which makes it lighter to run.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6" name="Picture 26"/>
            <wp:cNvGraphicFramePr>
              <a:graphicFrameLocks noChangeAspect="1"/>
            </wp:cNvGraphicFramePr>
            <a:graphic>
              <a:graphicData uri="http://schemas.openxmlformats.org/drawingml/2006/picture">
                <pic:pic>
                  <pic:nvPicPr>
                    <pic:cNvPr id="0" name="fig_training_curves.png"/>
                    <pic:cNvPicPr/>
                  </pic:nvPicPr>
                  <pic:blipFill>
                    <a:blip r:embed="rId36"/>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26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_final_metrics.png"/>
                    <pic:cNvPicPr/>
                  </pic:nvPicPr>
                  <pic:blipFill>
                    <a:blip r:embed="rId37"/>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27 Final Validation Metrics of YOLOv8 and YOLOv12.</w:t>
      </w:r>
    </w:p>
    <w:p>
      <w:pPr>
        <w:keepNext w:val="0"/>
        <w:widowControl/>
        <w:spacing w:before="0" w:after="120" w:line="360" w:lineRule="auto"/>
        <w:ind w:firstLine="720" w:left="0"/>
        <w:jc w:val="both"/>
      </w:pPr>
      <w:r>
        <w:rPr/>
        <w:t>Figure 26 shows how the scores grew during training. Both models improved quickly in the first ten rounds of training (epochs) and then levelled off; after about round 25, the score rose by only about two more percentage points. This means that training longer would not help much; better results need more and better training photographs.</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break the scores down by condition, and Figure 28 compares the two models and the combined (fused) result for each condition.</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8" name="Picture 28"/>
            <wp:cNvGraphicFramePr>
              <a:graphicFrameLocks noChangeAspect="1"/>
            </wp:cNvGraphicFramePr>
            <a:graphic>
              <a:graphicData uri="http://schemas.openxmlformats.org/drawingml/2006/picture">
                <pic:pic>
                  <pic:nvPicPr>
                    <pic:cNvPr id="0" name="fig_perclass_map50.png"/>
                    <pic:cNvPicPr/>
                  </pic:nvPicPr>
                  <pic:blipFill>
                    <a:blip r:embed="rId38"/>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28 Per-Class mAP@50 on the Test Split.</w:t>
      </w:r>
    </w:p>
    <w:p>
      <w:pPr>
        <w:keepNext w:val="0"/>
        <w:widowControl/>
        <w:spacing w:before="0" w:after="120" w:line="360" w:lineRule="auto"/>
        <w:ind w:firstLine="720" w:left="0"/>
        <w:jc w:val="both"/>
      </w:pPr>
      <w:r>
        <w:rPr/>
        <w:t>The models are much better at some conditions than others. Among the conditions with many examples, cavity was found best (mAP@50 of 66.33% for YOLOv8 and 64.50% for YOLOv12) and plaque worst (7.36% and 7.15%). From best to worst, the order was healthy tooth, cavity, tartar, gum inflammation, and plaque. Healthy tooth scored highest (80.54% and 70.13%), but the test set has only 42 healthy-tooth examples, so that score is less certain than the others.</w:t>
      </w:r>
    </w:p>
    <w:p>
      <w:pPr>
        <w:keepNext w:val="0"/>
        <w:widowControl/>
        <w:spacing w:before="0" w:after="120" w:line="360" w:lineRule="auto"/>
        <w:ind w:firstLine="720" w:left="0"/>
        <w:jc w:val="both"/>
      </w:pPr>
      <w:r>
        <w:rPr/>
        <w:t>Plaque is the main weakness of the models. Of the 554 plaque examples in the test set, YOLOv8 found only 7.04% and YOLOv12 8.30%. There are several reasons. Plaque is a thin, pale film that is hard to tell apart from the tooth and from tartar in an ordinary photograph; its edges are hard to mark consistently, so the model's box rarely overlaps the marked box enough to count; only one of the four photo collections marked plaque at all; and there are about five times fewer plaque examples (554) than cavity examples (2,716). These are the same reasons, named in the first problem of this study, why plaque is hard to judge by eye.</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 xml:space="preserve">Detection has no single built-in accuracy score, because a model can go wrong in three ways: it can give a finding the wrong name, mark a spot where there is nothing (a false alarm), or miss a finding completely. In this study, </w:t>
      </w:r>
      <w:r>
        <w:rPr>
          <w:b/>
        </w:rPr>
        <w:t>detection accuracy</w:t>
      </w:r>
      <w:r>
        <w:rPr/>
        <w:t xml:space="preserve"> is the number of findings that were found and named correctly, divided by all four outcomes together (correct, wrong name, false alarm, and missed). The counts were taken at the same confidence setting that the live system uses (0.25). Tables 22 and 23 give the results, and Figure 29 shows the confusion matrices, which show how often each condition was mistaken for another.</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29" name="Picture 29"/>
            <wp:cNvGraphicFramePr>
              <a:graphicFrameLocks noChangeAspect="1"/>
            </wp:cNvGraphicFramePr>
            <a:graphic>
              <a:graphicData uri="http://schemas.openxmlformats.org/drawingml/2006/picture">
                <pic:pic>
                  <pic:nvPicPr>
                    <pic:cNvPr id="0" name="fig_confusion_matrices.png"/>
                    <pic:cNvPicPr/>
                  </pic:nvPicPr>
                  <pic:blipFill>
                    <a:blip r:embed="rId39"/>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29 Confusion Matrices on the Test Split (Columns Normalized by True Class).</w:t>
      </w:r>
    </w:p>
    <w:p>
      <w:pPr>
        <w:keepNext w:val="0"/>
        <w:widowControl/>
        <w:spacing w:before="0" w:after="120" w:line="360" w:lineRule="auto"/>
        <w:ind w:firstLine="720" w:left="0"/>
        <w:jc w:val="both"/>
      </w:pPr>
      <w:r>
        <w:rPr/>
        <w:t>Detection accuracy was 43.77% for YOLOv8, 41.85% for YOLOv12, and 43.02% for the combined result. For both models, the most common mistake was missing a finding. Giving a finding the wrong name was rare, so when a model does find a condition, it usually names it correctly. The most common mix-up between two conditions was tartar being called a cavity.</w:t>
      </w:r>
    </w:p>
    <w:p>
      <w:pPr>
        <w:keepNext w:val="0"/>
        <w:widowControl/>
        <w:spacing w:before="0" w:after="120" w:line="360" w:lineRule="auto"/>
        <w:ind w:firstLine="720" w:left="0"/>
        <w:jc w:val="both"/>
      </w:pPr>
      <w:r>
        <w:rPr/>
        <w:t>The combined result had slightly lower accuracy than YOLOv8 even though its mAP@50 was higher (Section 4.1.7). The reason is that it keeps a finding when either model reports it. It therefore missed fewer findings (2,216 against 2,874) but raised more false alarms (3,574 against 1,992). Detection accuracy counts both kinds of mistake equally, while mAP rewards placing correct findings ahead of wrong ones.</w:t>
      </w:r>
    </w:p>
    <w:p>
      <w:pPr>
        <w:keepNext w:val="0"/>
        <w:widowControl/>
        <w:spacing w:before="0" w:after="120" w:line="360" w:lineRule="auto"/>
        <w:ind w:firstLine="720" w:left="0"/>
        <w:jc w:val="both"/>
      </w:pPr>
      <w:r>
        <w:rPr/>
        <w:t>Two cautions apply. First, the four photo collections did not all mark the same conditions; for example, a photograph from a collection without a gum-inflammation label may show inflamed gums that nobody marked. When the model correctly finds them, the count treats it as a false alarm, so the real accuracy is probably somewhat higher. Second, the counts depend on the confidence setting: a lower setting finds more but also raises more false alarms.</w:t>
      </w:r>
    </w:p>
    <w:p>
      <w:pPr>
        <w:keepNext w:val="0"/>
        <w:widowControl/>
        <w:spacing w:before="0" w:after="120" w:line="360" w:lineRule="auto"/>
        <w:ind w:firstLine="720" w:left="0"/>
        <w:jc w:val="both"/>
      </w:pPr>
      <w:r>
        <w:rPr/>
        <w:t>For a screening tool, a missed finding is the more serious mistake: a false alarm is simply checked and dismissed by the dentist, but a missed finding might not be looked at. This is why Toothwise presents its detections as suggestions and keeps the dentist's own examination as the final word.</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Speed was measured on an ordinary computer without a graphics card, like the computers in a clinic. Each model analyzed four sample photographs five times each, after one warm-up run. Table 24 gives the average time per photograph.</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Each model analyzed a photograph in about one fifth of a second; YOLOv12 was about 4% faster than YOLOv8. Running both models one after the other took about half a second. This is fast enough for a dentist to upload a photograph and see the results right away.</w:t>
      </w:r>
    </w:p>
    <w:p>
      <w:pPr>
        <w:keepNext w:val="0"/>
        <w:widowControl/>
        <w:spacing w:before="0" w:after="120" w:line="360" w:lineRule="auto"/>
        <w:ind w:firstLine="720" w:left="0"/>
        <w:jc w:val="both"/>
      </w:pPr>
      <w:r>
        <w:rPr/>
        <w:t>The live system runs on a smaller, free cloud server with only 512 MB of memory. To fit, it uses a lighter copy of the same two models (ONNX format) and loads each model only while it is working. On that server, a full screening with both models takes about 3 to 4 seconds, and the system uses about 210 MB of memory at rest and about 400 MB at its busiest. The lighter models gave exactly the same results as the originals on 22 test photographs, so the accuracy results in this chapter also apply to the live system. A wait of a few seconds is acceptable because a photograph is uploaded only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live system, both models look at every photograph and their results are combined into one set of findings. When the two models mark the same condition in about the same place (their boxes overlap by at least half), the two boxes are merged into one. A finding that both models agree on is given a slightly higher confidence (plus 0.08, up to 0.98), because two separately trained models agreeing is stronger evidence than one model alone.</w:t>
      </w:r>
    </w:p>
    <w:p>
      <w:pPr>
        <w:keepNext w:val="0"/>
        <w:widowControl/>
        <w:spacing w:before="0" w:after="120" w:line="360" w:lineRule="auto"/>
        <w:ind w:firstLine="720" w:left="0"/>
        <w:jc w:val="both"/>
      </w:pPr>
      <w:r>
        <w:rPr/>
        <w:t>To see whether combining helps, the whole test set was run through both models, and the YOLOv8 results, the YOLOv12 results, and the combined results were scored the same way. Table 25 shows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Combining the two models gave the best mAP@50, 54.24%, compared with 51.91% for the better single model, YOLOv8, an improvement of 2.34 percentage points, and it was better than YOLOv8 on all five conditions. It found more of the real findings (recall 55.77% against 52.34%) at almost the same precision (53.51% against 54.32%). It missed fewer findings (2,216 against 2,874) but raised more false alarms (3,574 against 1,992).</w:t>
      </w:r>
    </w:p>
    <w:p>
      <w:pPr>
        <w:keepNext w:val="0"/>
        <w:widowControl/>
        <w:spacing w:before="0" w:after="120" w:line="360" w:lineRule="auto"/>
        <w:ind w:firstLine="720" w:left="0"/>
        <w:jc w:val="both"/>
      </w:pPr>
      <w:r>
        <w:rPr/>
        <w:t>In other words, each model catches some findings that the other misses, and when both agree, the finding is more trustworthy. This supports the decision to run both models in the live system instead of choosing just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To answer the first problem: both models learned to find the five conditions. YOLOv8 was slightly more accurate (mAP@50 of 51.91% against 48.11%), while YOLOv12 was smaller and slightly faster (about 206 ms against 216 ms per photograph). The difference between the two models is small compared with the difference between conditions: cavity was found reliably, but plaque was hard for both. Combining the models gave the best result (mAP@50 of 54.24%, detection accuracy 43.02%). These results confirm what Chapter I states: Toothwise is a screening aid, not a replacement for the dentist. Its findings are suggestions that the dentist confirms or corrects.</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describes how the finished system works and how well it performed: the screening steps, the risk score, the prevention plan, the patient records, user roles and security, the chatbot, and the speed and accessibility of the website.</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When staff upload a photograph of a patient's teeth, the system goes through six steps: (1) it checks that the file is a JPEG, PNG, or WebP image of at most 15 MB; (2) it runs YOLOv8 and YOLOv12; (3) it combines their findings (Section 4.1.7) and removes braces brackets that the models mistake for findings; (4) it computes a risk score and risk level; (5) it writes a prevention plan; and (6) it saves the photograph, every finding with its box and confidence, the risk result, and the plan in the patient's record. The live system also keeps a copy of each photograph in the database, because the free server erases its own files whenever it restarts; the copy is used to restore the photograph for viewing and for the PDF report.</w:t>
      </w:r>
    </w:p>
    <w:p>
      <w:pPr>
        <w:keepNext w:val="0"/>
        <w:widowControl/>
        <w:spacing w:before="0" w:after="120" w:line="360" w:lineRule="auto"/>
        <w:ind w:firstLine="720" w:left="0"/>
        <w:jc w:val="both"/>
      </w:pPr>
      <w:r>
        <w:rPr/>
        <w:t>Neither model learned what braces look like, so in early testing the metal brackets on teeth with braces were reported as urgent cavities. The system now ignores any cavity, plaque, or tartar box in which 8% or more of the pixels are metal-grey, reports a cavity only when its confidence is at least 0.50, and keeps a cavity only when both models find it. When two or more brackets are seen, the prevention plan adds a note that braces were detected and that a dentist or orthodontist should check those teeth in person. These rules were added after the accuracy tests in Section 4.1, so Tables 22, 23, and 25 show the results before the rules.</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follows a fixed rule, so that every score can be explained to the patient and checked by the dentist. Each condition has a severity weight, cavity being the most serious (Table 26). For each finding, the weight is multiplied by the model's confidence; the score is the highest of these values, plus 6 points for each additional finding (up to five more), with a maximum of 100. The score then decides the risk level: LOW, MEDIUM, or HIGH.</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The prevention plan uses a K-Nearest Neighbors (KNN) classifier. In simple terms, KNN looks at the five past cases that are most similar to the current screening and uses them to decide its risk level; the plan is then written from that level and the specific conditions found. Because there were no dentist-checked cases yet, the classifier first learned from made-up (synthetic) cases created with the risk rule. Each time a dentist confirms or corrects a risk level in the system, that case is saved as a real example for future retraining.</w:t>
      </w:r>
    </w:p>
    <w:p>
      <w:pPr>
        <w:keepNext w:val="0"/>
        <w:widowControl/>
        <w:spacing w:before="0" w:after="120" w:line="360" w:lineRule="auto"/>
        <w:ind w:firstLine="720" w:left="0"/>
        <w:jc w:val="both"/>
      </w:pPr>
      <w:r>
        <w:rPr/>
        <w:t>Table 27 shows how the classifier did on 2,000 new made-up cases that it had not seen before. Since these cases follow the same rule it learned from, this test shows how well it copies the rule, not how accurate it is on real patients.</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cases. Most mistakes happened near the borders between levels. The weakest level was HIGH: 69 of 165 HIGH cases were put in MEDIUM (recall 58.18%). It never mistook LOW for HIGH or HIGH for LOW. Because missing a HIGH case is the most serious mistake, the dentist still checks every risk level. No dentist-checked cases were recorded during the study, because the clinic's patients were not screened, so the classifier's accuracy on real cases could not yet be measured; this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To answer the second problem: every screening is now saved as a standard visual record. It contains the original photograph, colored boxes showing each finding with its name and confidence, a plain-language explanation of each condition, the risk score and level, the prevention plan, and the dentist's notes. The patient record lists all screenings by date with a risk trend chart, so visits can be compared, and each screening can be downloaded as a PDF report (Figure 25). Figures 17, 20, and 23 to 25 in Section 3.11 show these screens. Patients can also create their own portal account, where they see their latest risk level and how it changed since their last visit, their latest findings explained simply with the top next steps, a risk-over-time chart, the date of their next check-up (six months after the last screening), and their full screening history, but never another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has three roles. The dentist is the administrator: the dentist can manage staff accounts and view the audit log. The receptionist registers and manages patients, and the dental assistant performs screenings. Patients have a separate login. The server checks each user's role on every request, not just by hiding menu buttons. Passwords are stored in scrambled (hashed) form, sign-ins use secure tokens, repeated login and chatbot requests are limited, and important staff actions are recorded in an audit log to which records are only added, never changed.</w:t>
      </w:r>
    </w:p>
    <w:p>
      <w:pPr>
        <w:keepNext w:val="0"/>
        <w:widowControl/>
        <w:spacing w:before="0" w:after="120" w:line="360" w:lineRule="auto"/>
        <w:ind w:firstLine="720" w:left="0"/>
        <w:jc w:val="both"/>
      </w:pPr>
      <w:r>
        <w:rPr/>
        <w:t>Staff and patients sign in with their email and password. Ticking “Remember me on this device” keeps them signed in for 30 days; otherwise they are signed out when the browser closes. A user who forgets the password can reset it without email: staff confirm their email and the PRC license number on their account, and patients confirm their email, birthdate, and mobile number, and then choose a new password on the same page. A wrong answer always shows the same message, so nobody can use the form to find out which accounts exist; attempts are limited to five per minute, and every attempt is recorded in the audit log. An earlier version emailed a reset link, but the free server could not send email reliably, so that step was removed. Staff with no license number on file ask the dentist to reset their password. Signed-in users can also change their password from the sidebar or the portal header.</w:t>
      </w:r>
    </w:p>
    <w:p>
      <w:pPr>
        <w:keepNext w:val="0"/>
        <w:widowControl/>
        <w:spacing w:before="0" w:after="120" w:line="360" w:lineRule="auto"/>
        <w:ind w:firstLine="720" w:left="0"/>
        <w:jc w:val="both"/>
      </w:pPr>
      <w:r>
        <w:rPr/>
        <w:t>The system's server code is checked by 119 automated tests. They cover signing in, password recovery, the braces filter, the chatbot, staff accounts, the condition list, the detection models, patient records, the prevention plan, the risk score, user roles, and screenings, including restoring photographs from the database. All 119 tests passed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forgot-password verification, and change password</w:t>
            </w:r>
          </w:p>
        </w:tc>
        <w:tc>
          <w:tcPr>
            <w:tcW w:type="dxa" w:w="1141"/>
          </w:tcPr>
          <w:p>
            <w:pPr>
              <w:keepNext w:val="0"/>
              <w:widowControl/>
              <w:spacing w:before="0" w:after="0" w:line="240" w:lineRule="auto"/>
              <w:ind w:firstLine="0" w:left="0"/>
              <w:jc w:val="left"/>
            </w:pPr>
            <w:r>
              <w:rPr>
                <w:sz w:val="22"/>
              </w:rPr>
              <w:t>15</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119</w:t>
            </w:r>
          </w:p>
        </w:tc>
        <w:tc>
          <w:tcPr>
            <w:tcW w:type="dxa" w:w="1426"/>
          </w:tcPr>
          <w:p>
            <w:pPr>
              <w:keepNext w:val="0"/>
              <w:widowControl/>
              <w:spacing w:before="0" w:after="0" w:line="240" w:lineRule="auto"/>
              <w:ind w:firstLine="0" w:left="0"/>
              <w:jc w:val="left"/>
            </w:pPr>
            <w:r>
              <w:rPr>
                <w:sz w:val="22"/>
              </w:rPr>
              <w:t>119 passed, 0 failed</w:t>
            </w:r>
          </w:p>
        </w:tc>
      </w:tr>
    </w:tbl>
    <w:p>
      <w:pPr>
        <w:keepNext w:val="0"/>
        <w:widowControl/>
        <w:spacing w:before="40" w:after="160" w:line="240" w:lineRule="auto"/>
        <w:ind w:firstLine="0" w:left="0"/>
        <w:jc w:val="left"/>
      </w:pPr>
      <w:r>
        <w:rPr>
          <w:i/>
          <w:sz w:val="20"/>
        </w:rPr>
        <w:t>Source: python -m pytest in backend/ (run with YOLO_BACKEND=onnx on 29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has an AI assistant, powered by Google Gemini, that answers general questions about dental care, the clinic, and Toothwise. Before a question is sent to Gemini, email addresses, phone numbers, and record numbers are removed, and any request for personal records or screening results is pointed to the secure patient portal instead. Each user can send up to 12 questions per minute. When the free Gemini quota runs out, questions about the clinic (hours, location, services, and prices) are still answered from the clinic's verified information, and other questions get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website's public pages were tested with Google Lighthouse, a free tool that scores speed, accessibility, and good practice from 0 to 100, on both a phone-sized screen (with a slow connection) and a desktop screen. Because the home page was redesigned after the first test, all six tests were run again on October 20, 2026. Table 29 shows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a perfect 100 on every page. Speed scored 99 to 100 on desktop and 86 to 98 on phones. The lowest, the home page on a phone, is caused by the amount of code and pictures the redesigned page loads; its score also changed the most between runs. Splitting the website's code into smaller parts cut the main download from 231 KB to 95 KB. The staff pages, which Lighthouse cannot open because they need a login, were checked separately with axe-core against the WCAG 2.0 and 2.1 accessibility rules (Levels A and AA) on all eight staff pages and five pop-up windows, in both light and dark mode; no problems were found.</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how acceptable is Toothwise to the people who used it? 103 respondents answered the online questionnaire (Google Forms) from October 19 to 28, 2026, after agreeing to take part. None of them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were in two groups (Table 30): 98 patient respondents, who tried the system from a patient's point of view, and 5 IT experts. Different parts of the questionnaire were meant for different groups, so not every section was answered by the same number of people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rated the system's three main features: AI detection and risk classification, the results and patient records, and the prevention plan. The six ISO/IEC 25010 quality sections (Part B3) were meant only for dentists, clinic staff, and IT experts, as the form's instructions say, because they ask about staff-side features that patients never see, such as user roles, the staff audit log, and how records stay consistent. All 5 IT experts answered them. No dentist or clinic staff member took part, so the only other answers came from 7 patient respondents who answered the part anyway, for a total of 12. The two sections on the manual screening process and on screening consistency and time were answered by 2 respondents. Of the respondents who gave their work experience,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show the results for the six quality characteristics, rated by 12 respondents. In each table, WM is the average rating (4 = Strongly Agree, 1 = Strongly Disagree), and SD shows how much the answers varied: a small SD means the respondents mostly agreed with one another.</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received an average rating of 3.69 out of 4 (SD 0.46), which means Strongly Agree. The best-rated statement was SE3, “Passwords and login sessions are handled securely” (3.75). The lowest was SE4, “Sensitive staff actions are recorded in the audit log for administrative review” (3.67), which is still Strongly Agree. IT experts gave lower ratings than patient respondents (3.45 against 3.86). Nobody disagreed with any statement in this section. One respondent suggested an extra security step for staff accounts, which is included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received an average rating of 3.72 out of 4 (SD 0.45), which means Strongly Agree. The best-rated statement was PR1, “Screening images are not publicly exposed and can only be viewed by authorized users” (3.75). The lowest was PR3, “The system handles personal and health information in line with the Data Privacy Act of 2012” (3.67), which is still Strongly Agree. IT experts gave lower ratings than patient respondents (3.53 against 3.86). Nobody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received an average rating of 3.71 out of 4 (SD 0.45), which means Strongly Agree. The best-rated statement was US3, “Labels, buttons, and messages are easy to understand” (3.83). The lowest was US4, “The layout and design of the interface are visually pleasing and organized” (3.67), which is still Strongly Agree. IT experts gave lower ratings than patient respondents (3.50 against 3.86). Nobody disagreed with any statement in this section. In the written comments, ease of use and the look of the interface were praised most, while a few respondents found some pages too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received an average rating of 3.61 out of 4 (SD 0.49), which means Strongly Agree. The best-rated statement was RE2, “When an error occurs, the system shows a clear message and recovers without losing data” (3.75). The lowest was RE1, “The system runs consistently without unexpected crashes or failures” (3.50), which is still Strongly Agree. IT experts gave lower ratings than patient respondents (3.27 against 3.86). Nobody disagreed with any statement in this section. IT experts also rated RE1 lowest. In the written comments, two respondents mentioned slow first loading and bugs that had to be fixed; one reason is that the free server used for the study goes to sleep after 15 minutes without use and takes time to wake up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received an average rating of 3.67 out of 4 (SD 0.47), which means Strongly Agree. Every statement in this section received the same average. IT experts gave lower ratings than patient respondents (3.40 against 3.86). Nobody disagreed with any statement in this section.</w:t>
      </w:r>
    </w:p>
    <w:p>
      <w:pPr>
        <w:keepNext w:val="0"/>
        <w:widowControl/>
        <w:spacing w:before="0" w:after="120" w:line="360" w:lineRule="auto"/>
        <w:ind w:firstLine="720" w:left="0"/>
        <w:jc w:val="both"/>
      </w:pPr>
      <w:r>
        <w:rPr/>
        <w:t>Data Protection received an average rating of 3.69 out of 4 (SD 0.46), which means Strongly Agree. The best-rated statement was DP1, “Patient, screening, and detection records are stored accurately and completely” (3.75). The lowest was DP2, “Related records (patients, screenings, findings, recommendations, notes) remain consistent with one another” (3.58), which is still Strongly Agree. IT experts gave lower ratings than patient respondents (3.47 against 3.86). Nobody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show the results for the system's three main features, rated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received an average rating of 3.45 out of 4 (SD 0.53), which means Strongly Agree. The best-rated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answers in this section were Disagree or Strongly Disagree. Note that this rating shows how accurate the detection seemed to the respondents, not how accurate it measured: the measured accuracy in Section 4.1 is moderate, and plaque is often missed. One respondent wrote that results may be wrong when the photograph is blurry and should still be checked by a dentist, which is how the system is meant to be used.</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received an average rating of 3.47 out of 4 (SD 0.54), which means Strongly Agree. The best-rated statement was RI1, “The bounding boxes and condition labels clearly show where each finding is located on the image” (3.49), and the lowest was RI2, “The plain-language descriptions make the findings easy to understand” (3.45). Only 7 of the 515 answers in this section were Disagree or Strongly Disagree. In their written comments, respondents especially liked the plain-language explanations and how clearly the results are shown.</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received an average rating of 3.50 out of 4 (SD 0.51), which means Strongly Agree. The best-rated statement was PP1, “The prevention plan is relevant to the patient's detected findings and risk classification” (3.54), and the lowest was PP2, “The recommendations are clear and easy for patients to follow” (3.47). Only 2 of the 412 answers in this section were Disagree or Strongly Disagree. This was the best-rated of the three features. Respondents wrote that the tips were clear and reminded them to care for their teeth, and several asked for more dental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so Toothwise is Highly Acceptable to its respondents. The six quality characteristics averaged 3.68 out of 4, and the three features 3.48. Among the quality characteristics, Privacy was rated highest (3.72) and Reliability lowest (3.61). IT experts gave lower ratings than patient respondents in every section, but still Strongly Agree; this is expected, because IT experts judge the system against technical standards. Disagreement was rare: 0 of 240 quality answers and 18 of 1442 feature answers were Disagree or Strongly Disagree.</w:t>
      </w:r>
    </w:p>
    <w:p>
      <w:pPr>
        <w:keepNext w:val="0"/>
        <w:widowControl/>
        <w:spacing w:before="0" w:after="120" w:line="360" w:lineRule="auto"/>
        <w:ind w:firstLine="720" w:left="0"/>
        <w:jc w:val="both"/>
      </w:pPr>
      <w:r>
        <w:rPr/>
        <w:t>Two cautions apply. First, only 12 of the 103 respondents rated the six quality characteristics, and only 5 were IT experts, so these ratings come from a small group. This is because that part was meant for dentists, clinic staff, and IT experts, and no dentists or clinic staff took part. Second, the ratings show what the respondents thought of the system; they should be read together with the measured results in Sections 4.1 and 4.2.</w:t>
      </w:r>
    </w:p>
    <w:p>
      <w:pPr>
        <w:keepNext w:val="0"/>
        <w:widowControl/>
        <w:spacing w:before="0" w:after="120" w:line="360" w:lineRule="auto"/>
        <w:ind w:firstLine="720" w:left="0"/>
        <w:jc w:val="both"/>
      </w:pPr>
      <w:r>
        <w:rPr/>
        <w:t>In the written comments, respondents most often praised how easy the system is to use, its clear design, and its simple explanations. The problems they mentioned were slow loading the first time, pages with too much information at once, some features being hard to find, and wrong results from blurry photographs. Their suggestions were reminders for brushing and check-ups, more dental tips and short videos, an easier search, more conditions to detect with better accuracy, and an extra security step for staff accounts.</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does Toothwise make screening more consistent and faster? The original plan was to time the same patients' screenings with and without Toothwise and compare both with the dentist's findings, but this could not be done because the study did not involve the clinic's patients. Instead, this section uses the respondents' ratings of the current manual process and of Toothwise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val="0"/>
        <w:widowControl/>
        <w:spacing w:before="0" w:after="120" w:line="360" w:lineRule="auto"/>
        <w:ind w:firstLine="720" w:left="0"/>
        <w:jc w:val="both"/>
      </w:pPr>
      <w:r>
        <w:rPr/>
        <w:t>The 2 respondents agreed that checking teeth by eye alone has the problems described in the first problem (average 3.21): results can differ from one examination to the next, lighting and angle affect what can be seen, and a tool for consistent early screening would be useful. The only statement they disagreed with was MS6, “Patients rarely receive preventive guidance that is specific to their own screening findings” (2.50). They also agreed that Toothwise makes results more consistent, saves time in completing and recording a screening, and agrees with the dentist's own findings (average 3.40), and they would recommend that the clinic keep using it.</w:t>
      </w:r>
    </w:p>
    <w:p>
      <w:pPr>
        <w:keepNext w:val="0"/>
        <w:widowControl/>
        <w:spacing w:before="0" w:after="120" w:line="360" w:lineRule="auto"/>
        <w:ind w:firstLine="720" w:left="0"/>
        <w:jc w:val="both"/>
      </w:pPr>
      <w:r>
        <w:rPr/>
        <w:t>Because only 2 respondents answered these sections and no screening was timed, these results show a likely direction, not a measured effect. What was measured is the processing time: the live system finishes a screening with both models in about 3 to 4 seconds (Section 4.1.6), and it records every finding, the risk result, and the prevention plan automatically, so the screening no longer has to be written up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119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keepNext w:val="0"/>
        <w:widowControl/>
        <w:tabs>
          <w:tab w:pos="864" w:val="left"/>
        </w:tabs>
        <w:spacing w:before="0" w:after="80" w:line="360" w:lineRule="auto"/>
        <w:ind w:hanging="432" w:left="864"/>
        <w:jc w:val="both"/>
      </w:pPr>
      <w:r>
        <w:rPr/>
        <w:t>4.</w:t>
        <w:tab/>
        <w:t>Train the detection models on more and larger datasets. The current models learned from four public datasets in which plaque appears in only one source, which explains much of the weak plaque result. More public datasets, consented and dentist-annotated clinic photographs, and a more balanced number of examples per condition should raise accuracy.</w:t>
      </w:r>
    </w:p>
    <w:p>
      <w:pPr>
        <w:keepNext w:val="0"/>
        <w:widowControl/>
        <w:tabs>
          <w:tab w:pos="864" w:val="left"/>
        </w:tabs>
        <w:spacing w:before="0" w:after="80" w:line="360" w:lineRule="auto"/>
        <w:ind w:hanging="432" w:left="864"/>
        <w:jc w:val="both"/>
      </w:pPr>
      <w:r>
        <w:rPr/>
        <w:t>5.</w:t>
        <w:tab/>
        <w:t>Add an oral diagnosis form to the system: a digital examination form in which the dentist records the clinical findings for each tooth (for example, on a tooth chart), the final diagnosis, and the treatment plan, next to the AI detections. The recorded diagnoses could then be compared with the detections to measure accuracy in real use and supply labeled cases for retraining.</w:t>
      </w:r>
    </w:p>
    <w:p>
      <w:pPr>
        <w:keepNext w:val="0"/>
        <w:widowControl/>
        <w:tabs>
          <w:tab w:pos="864" w:val="left"/>
        </w:tabs>
        <w:spacing w:before="0" w:after="80" w:line="360" w:lineRule="auto"/>
        <w:ind w:hanging="432" w:left="864"/>
        <w:jc w:val="both"/>
      </w:pPr>
      <w:r>
        <w:rPr/>
        <w:t>6.</w:t>
        <w:tab/>
        <w:t>Extend the system to detect more classes. The source datasets already contain conditions that this study left out, such as missing teeth, malalignment, spacing, tooth stains and discoloration, oral ulcers, and hypodontia, and orthodontic braces could be added as their own class instead of being filtered out. Each new class needs enough annotated examples, a risk weight, and its own advice.</w:t>
      </w:r>
    </w:p>
    <w:p>
      <w:pPr>
        <w:keepNext w:val="0"/>
        <w:widowControl/>
        <w:tabs>
          <w:tab w:pos="864" w:val="left"/>
        </w:tabs>
        <w:spacing w:before="0" w:after="80" w:line="360" w:lineRule="auto"/>
        <w:ind w:hanging="432" w:left="864"/>
        <w:jc w:val="both"/>
      </w:pPr>
      <w:r>
        <w:rPr/>
        <w:t>7.</w:t>
        <w:tab/>
        <w:t>Use an intraoral camera to capture the images for detection. Smartphone photographs vary in lighting and angle and cannot clearly show the back teeth; an intraoral camera gives close, well-lit, and consistent views of each tooth. Future researchers could connect one to the screening page and retrain the models on its images.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0" name="Picture 30"/>
            <wp:cNvGraphicFramePr>
              <a:graphicFrameLocks noChangeAspect="1"/>
            </wp:cNvGraphicFramePr>
            <a:graphic>
              <a:graphicData uri="http://schemas.openxmlformats.org/drawingml/2006/picture">
                <pic:pic>
                  <pic:nvPicPr>
                    <pic:cNvPr id="0" name="appendix_letter_1.png"/>
                    <pic:cNvPicPr/>
                  </pic:nvPicPr>
                  <pic:blipFill>
                    <a:blip r:embed="rId40"/>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30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2.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