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September 2026</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4</w:t>
      </w:r>
    </w:p>
    <w:p>
      <w:pPr>
        <w:keepNext w:val="0"/>
        <w:widowControl/>
        <w:tabs>
          <w:tab w:pos="8669" w:val="right" w:leader="dot"/>
        </w:tabs>
        <w:spacing w:before="0" w:after="60" w:line="276" w:lineRule="auto"/>
        <w:ind w:firstLine="0" w:left="216"/>
        <w:jc w:val="left"/>
      </w:pPr>
      <w:r>
        <w:rPr/>
        <w:t>1.2 Statement of the Problem</w:t>
        <w:tab/>
        <w:t>7</w:t>
      </w:r>
    </w:p>
    <w:p>
      <w:pPr>
        <w:keepNext w:val="0"/>
        <w:widowControl/>
        <w:tabs>
          <w:tab w:pos="8669" w:val="right" w:leader="dot"/>
        </w:tabs>
        <w:spacing w:before="0" w:after="60" w:line="276" w:lineRule="auto"/>
        <w:ind w:firstLine="0" w:left="216"/>
        <w:jc w:val="left"/>
      </w:pPr>
      <w:r>
        <w:rPr/>
        <w:t>1.3 Objectives of the Study</w:t>
        <w:tab/>
        <w:t>8</w:t>
      </w:r>
    </w:p>
    <w:p>
      <w:pPr>
        <w:keepNext w:val="0"/>
        <w:widowControl/>
        <w:tabs>
          <w:tab w:pos="8669" w:val="right" w:leader="dot"/>
        </w:tabs>
        <w:spacing w:before="0" w:after="60" w:line="276" w:lineRule="auto"/>
        <w:ind w:firstLine="0" w:left="720"/>
        <w:jc w:val="left"/>
      </w:pPr>
      <w:r>
        <w:rPr/>
        <w:t>1.3.1 General Objective</w:t>
        <w:tab/>
        <w:t>8</w:t>
      </w:r>
    </w:p>
    <w:p>
      <w:pPr>
        <w:keepNext w:val="0"/>
        <w:widowControl/>
        <w:tabs>
          <w:tab w:pos="8669" w:val="right" w:leader="dot"/>
        </w:tabs>
        <w:spacing w:before="0" w:after="60" w:line="276" w:lineRule="auto"/>
        <w:ind w:firstLine="0" w:left="720"/>
        <w:jc w:val="left"/>
      </w:pPr>
      <w:r>
        <w:rPr/>
        <w:t>1.3.2 Specific Objectives</w:t>
        <w:tab/>
        <w:t>9</w:t>
      </w:r>
    </w:p>
    <w:p>
      <w:pPr>
        <w:keepNext w:val="0"/>
        <w:widowControl/>
        <w:tabs>
          <w:tab w:pos="8669" w:val="right" w:leader="dot"/>
        </w:tabs>
        <w:spacing w:before="0" w:after="60" w:line="276" w:lineRule="auto"/>
        <w:ind w:firstLine="0" w:left="216"/>
        <w:jc w:val="left"/>
      </w:pPr>
      <w:r>
        <w:rPr/>
        <w:t>1.4 Scope, Delimitation and Limitation of the Study</w:t>
        <w:tab/>
        <w:t>9</w:t>
      </w:r>
    </w:p>
    <w:p>
      <w:pPr>
        <w:keepNext w:val="0"/>
        <w:widowControl/>
        <w:tabs>
          <w:tab w:pos="8669" w:val="right" w:leader="dot"/>
        </w:tabs>
        <w:spacing w:before="0" w:after="60" w:line="276" w:lineRule="auto"/>
        <w:ind w:firstLine="0" w:left="216"/>
        <w:jc w:val="left"/>
      </w:pPr>
      <w:r>
        <w:rPr/>
        <w:t>1.5 Significance of the Study</w:t>
        <w:tab/>
        <w:t>12</w:t>
      </w:r>
    </w:p>
    <w:p>
      <w:pPr>
        <w:keepNext w:val="0"/>
        <w:widowControl/>
        <w:tabs>
          <w:tab w:pos="8669" w:val="right" w:leader="dot"/>
        </w:tabs>
        <w:spacing w:before="0" w:after="60" w:line="276" w:lineRule="auto"/>
        <w:ind w:firstLine="0" w:left="216"/>
        <w:jc w:val="left"/>
      </w:pPr>
      <w:r>
        <w:rPr/>
        <w:t>1.6 Definition of Terms</w:t>
        <w:tab/>
        <w:t>13</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15</w:t>
      </w:r>
    </w:p>
    <w:p>
      <w:pPr>
        <w:keepNext w:val="0"/>
        <w:widowControl/>
        <w:tabs>
          <w:tab w:pos="8669" w:val="right" w:leader="dot"/>
        </w:tabs>
        <w:spacing w:before="0" w:after="60" w:line="276" w:lineRule="auto"/>
        <w:ind w:firstLine="0" w:left="216"/>
        <w:jc w:val="left"/>
      </w:pPr>
      <w:r>
        <w:rPr/>
        <w:t>2.2 Related Studies</w:t>
        <w:tab/>
        <w:t>19</w:t>
      </w:r>
    </w:p>
    <w:p>
      <w:pPr>
        <w:keepNext w:val="0"/>
        <w:widowControl/>
        <w:tabs>
          <w:tab w:pos="8669" w:val="right" w:leader="dot"/>
        </w:tabs>
        <w:spacing w:before="0" w:after="60" w:line="276" w:lineRule="auto"/>
        <w:ind w:firstLine="0" w:left="216"/>
        <w:jc w:val="left"/>
      </w:pPr>
      <w:r>
        <w:rPr/>
        <w:t>2.3 Synthesis</w:t>
        <w:tab/>
        <w:t>23</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25</w:t>
      </w:r>
    </w:p>
    <w:p>
      <w:pPr>
        <w:keepNext w:val="0"/>
        <w:widowControl/>
        <w:tabs>
          <w:tab w:pos="8669" w:val="right" w:leader="dot"/>
        </w:tabs>
        <w:spacing w:before="0" w:after="60" w:line="276" w:lineRule="auto"/>
        <w:ind w:firstLine="0" w:left="216"/>
        <w:jc w:val="left"/>
      </w:pPr>
      <w:r>
        <w:rPr/>
        <w:t>3.2 Project Planning</w:t>
        <w:tab/>
        <w:t>26</w:t>
      </w:r>
    </w:p>
    <w:p>
      <w:pPr>
        <w:keepNext w:val="0"/>
        <w:widowControl/>
        <w:tabs>
          <w:tab w:pos="8669" w:val="right" w:leader="dot"/>
        </w:tabs>
        <w:spacing w:before="0" w:after="60" w:line="276" w:lineRule="auto"/>
        <w:ind w:firstLine="0" w:left="216"/>
        <w:jc w:val="left"/>
      </w:pPr>
      <w:r>
        <w:rPr/>
        <w:t>3.3 Roles and Responsibilities of the Five-Member Development Team</w:t>
        <w:tab/>
        <w:t>28</w:t>
      </w:r>
    </w:p>
    <w:p>
      <w:pPr>
        <w:keepNext w:val="0"/>
        <w:widowControl/>
        <w:tabs>
          <w:tab w:pos="8669" w:val="right" w:leader="dot"/>
        </w:tabs>
        <w:spacing w:before="0" w:after="60" w:line="276" w:lineRule="auto"/>
        <w:ind w:firstLine="0" w:left="216"/>
        <w:jc w:val="left"/>
      </w:pPr>
      <w:r>
        <w:rPr/>
        <w:t>3.4 Requirements Analysis</w:t>
        <w:tab/>
        <w:t>30</w:t>
      </w:r>
    </w:p>
    <w:p>
      <w:pPr>
        <w:keepNext w:val="0"/>
        <w:widowControl/>
        <w:tabs>
          <w:tab w:pos="8669" w:val="right" w:leader="dot"/>
        </w:tabs>
        <w:spacing w:before="0" w:after="60" w:line="276" w:lineRule="auto"/>
        <w:ind w:firstLine="0" w:left="216"/>
        <w:jc w:val="left"/>
      </w:pPr>
      <w:r>
        <w:rPr/>
        <w:t>3.5 System Design</w:t>
        <w:tab/>
        <w:t>32</w:t>
      </w:r>
    </w:p>
    <w:p>
      <w:pPr>
        <w:keepNext w:val="0"/>
        <w:widowControl/>
        <w:tabs>
          <w:tab w:pos="8669" w:val="right" w:leader="dot"/>
        </w:tabs>
        <w:spacing w:before="0" w:after="60" w:line="276" w:lineRule="auto"/>
        <w:ind w:firstLine="0" w:left="720"/>
        <w:jc w:val="left"/>
      </w:pPr>
      <w:r>
        <w:rPr/>
        <w:t>3.5.1 Use Case Diagram</w:t>
        <w:tab/>
        <w:t>32</w:t>
      </w:r>
    </w:p>
    <w:p>
      <w:pPr>
        <w:keepNext w:val="0"/>
        <w:widowControl/>
        <w:tabs>
          <w:tab w:pos="8669" w:val="right" w:leader="dot"/>
        </w:tabs>
        <w:spacing w:before="0" w:after="60" w:line="276" w:lineRule="auto"/>
        <w:ind w:firstLine="0" w:left="720"/>
        <w:jc w:val="left"/>
      </w:pPr>
      <w:r>
        <w:rPr/>
        <w:t>3.5.2 Entity Relationship Diagram (ERD)</w:t>
        <w:tab/>
        <w:t>32</w:t>
      </w:r>
    </w:p>
    <w:p>
      <w:pPr>
        <w:keepNext w:val="0"/>
        <w:widowControl/>
        <w:tabs>
          <w:tab w:pos="8669" w:val="right" w:leader="dot"/>
        </w:tabs>
        <w:spacing w:before="0" w:after="60" w:line="276" w:lineRule="auto"/>
        <w:ind w:firstLine="0" w:left="720"/>
        <w:jc w:val="left"/>
      </w:pPr>
      <w:r>
        <w:rPr/>
        <w:t>3.5.3 Data Flow Diagram Level 0</w:t>
        <w:tab/>
        <w:t>36</w:t>
      </w:r>
    </w:p>
    <w:p>
      <w:pPr>
        <w:keepNext w:val="0"/>
        <w:widowControl/>
        <w:tabs>
          <w:tab w:pos="8669" w:val="right" w:leader="dot"/>
        </w:tabs>
        <w:spacing w:before="0" w:after="60" w:line="276" w:lineRule="auto"/>
        <w:ind w:firstLine="0" w:left="720"/>
        <w:jc w:val="left"/>
      </w:pPr>
      <w:r>
        <w:rPr/>
        <w:t>3.5.4 Data Flow Diagram Level 1</w:t>
        <w:tab/>
        <w:t>36</w:t>
      </w:r>
    </w:p>
    <w:p>
      <w:pPr>
        <w:keepNext w:val="0"/>
        <w:widowControl/>
        <w:tabs>
          <w:tab w:pos="8669" w:val="right" w:leader="dot"/>
        </w:tabs>
        <w:spacing w:before="0" w:after="60" w:line="276" w:lineRule="auto"/>
        <w:ind w:firstLine="0" w:left="720"/>
        <w:jc w:val="left"/>
      </w:pPr>
      <w:r>
        <w:rPr/>
        <w:t>3.5.5 Gantt Chart</w:t>
        <w:tab/>
        <w:t>40</w:t>
      </w:r>
    </w:p>
    <w:p>
      <w:pPr>
        <w:keepNext w:val="0"/>
        <w:widowControl/>
        <w:tabs>
          <w:tab w:pos="8669" w:val="right" w:leader="dot"/>
        </w:tabs>
        <w:spacing w:before="0" w:after="60" w:line="276" w:lineRule="auto"/>
        <w:ind w:firstLine="0" w:left="216"/>
        <w:jc w:val="left"/>
      </w:pPr>
      <w:r>
        <w:rPr/>
        <w:t>3.6 Software Specifications</w:t>
        <w:tab/>
        <w:t>41</w:t>
      </w:r>
    </w:p>
    <w:p>
      <w:pPr>
        <w:keepNext w:val="0"/>
        <w:widowControl/>
        <w:tabs>
          <w:tab w:pos="8669" w:val="right" w:leader="dot"/>
        </w:tabs>
        <w:spacing w:before="0" w:after="60" w:line="276" w:lineRule="auto"/>
        <w:ind w:firstLine="0" w:left="216"/>
        <w:jc w:val="left"/>
      </w:pPr>
      <w:r>
        <w:rPr/>
        <w:t>3.7 Hardware Specifications</w:t>
        <w:tab/>
        <w:t>44</w:t>
      </w:r>
    </w:p>
    <w:p>
      <w:pPr>
        <w:keepNext w:val="0"/>
        <w:widowControl/>
        <w:tabs>
          <w:tab w:pos="8669" w:val="right" w:leader="dot"/>
        </w:tabs>
        <w:spacing w:before="0" w:after="60" w:line="276" w:lineRule="auto"/>
        <w:ind w:firstLine="0" w:left="216"/>
        <w:jc w:val="left"/>
      </w:pPr>
      <w:r>
        <w:rPr/>
        <w:t>3.8 System Development</w:t>
        <w:tab/>
        <w:t>45</w:t>
      </w:r>
    </w:p>
    <w:p>
      <w:pPr>
        <w:keepNext w:val="0"/>
        <w:widowControl/>
        <w:tabs>
          <w:tab w:pos="8669" w:val="right" w:leader="dot"/>
        </w:tabs>
        <w:spacing w:before="0" w:after="60" w:line="276" w:lineRule="auto"/>
        <w:ind w:firstLine="0" w:left="216"/>
        <w:jc w:val="left"/>
      </w:pPr>
      <w:r>
        <w:rPr/>
        <w:t>3.9 System Testing</w:t>
        <w:tab/>
        <w:t>47</w:t>
      </w:r>
    </w:p>
    <w:p>
      <w:pPr>
        <w:keepNext w:val="0"/>
        <w:widowControl/>
        <w:tabs>
          <w:tab w:pos="8669" w:val="right" w:leader="dot"/>
        </w:tabs>
        <w:spacing w:before="0" w:after="60" w:line="276" w:lineRule="auto"/>
        <w:ind w:firstLine="0" w:left="216"/>
        <w:jc w:val="left"/>
      </w:pPr>
      <w:r>
        <w:rPr/>
        <w:t>3.10 Full Current System Screenshots</w:t>
        <w:tab/>
        <w:t>48</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56</w:t>
      </w:r>
    </w:p>
    <w:p>
      <w:pPr>
        <w:keepNext w:val="0"/>
        <w:widowControl/>
        <w:tabs>
          <w:tab w:pos="8669" w:val="right" w:leader="dot"/>
        </w:tabs>
        <w:spacing w:before="0" w:after="60" w:line="276" w:lineRule="auto"/>
        <w:ind w:firstLine="0" w:left="216"/>
        <w:jc w:val="left"/>
      </w:pPr>
      <w:r>
        <w:rPr/>
        <w:t>4.2 Specialization and Technical Results</w:t>
        <w:tab/>
        <w:t>67</w:t>
      </w:r>
    </w:p>
    <w:p>
      <w:pPr>
        <w:keepNext w:val="0"/>
        <w:widowControl/>
        <w:tabs>
          <w:tab w:pos="8669" w:val="right" w:leader="dot"/>
        </w:tabs>
        <w:spacing w:before="0" w:after="60" w:line="276" w:lineRule="auto"/>
        <w:ind w:firstLine="0" w:left="216"/>
        <w:jc w:val="left"/>
      </w:pPr>
      <w:r>
        <w:rPr/>
        <w:t>4.3 Software Quality Evaluation Based on ISO/IEC 25010</w:t>
        <w:tab/>
        <w:t>73</w:t>
      </w:r>
    </w:p>
    <w:p>
      <w:pPr>
        <w:keepNext w:val="0"/>
        <w:widowControl/>
        <w:tabs>
          <w:tab w:pos="8669" w:val="right" w:leader="dot"/>
        </w:tabs>
        <w:spacing w:before="0" w:after="60" w:line="276" w:lineRule="auto"/>
        <w:ind w:firstLine="0" w:left="216"/>
        <w:jc w:val="left"/>
      </w:pPr>
      <w:r>
        <w:rPr/>
        <w:t>4.4 Screening Consistency and Screening Time</w:t>
        <w:tab/>
        <w:t>78</w:t>
      </w:r>
    </w:p>
    <w:p>
      <w:pPr>
        <w:keepNext w:val="0"/>
        <w:widowControl/>
        <w:tabs>
          <w:tab w:pos="8669" w:val="right" w:leader="dot"/>
        </w:tabs>
        <w:spacing w:before="0" w:after="60" w:line="276" w:lineRule="auto"/>
        <w:ind w:firstLine="0" w:left="216"/>
        <w:jc w:val="left"/>
      </w:pPr>
      <w:r>
        <w:rPr/>
        <w:t>References</w:t>
        <w:tab/>
        <w:t>80</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(functional suitability, performance efficiency, usability, reliability, security and privacy, and compatibility and portability), as evaluated by IT experts and clinical end users?</w:t>
      </w:r>
    </w:p>
    <w:p>
      <w:pPr>
        <w:keepNext w:val="0"/>
        <w:widowControl/>
        <w:tabs>
          <w:tab w:pos="864" w:val="left"/>
        </w:tabs>
        <w:spacing w:before="0" w:after="80" w:line="360" w:lineRule="auto"/>
        <w:ind w:hanging="432" w:left="864"/>
        <w:jc w:val="both"/>
      </w:pPr>
      <w:r>
        <w:rPr/>
        <w:t>5.</w:t>
        <w:tab/>
        <w:t>What is the difference on the use of Toothwise to improve screening consistency and reduce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the six ISO/IEC 25010 characteristics with IT experts and clinical end users.</w:t>
      </w:r>
    </w:p>
    <w:p>
      <w:pPr>
        <w:keepNext w:val="0"/>
        <w:widowControl/>
        <w:tabs>
          <w:tab w:pos="864" w:val="left"/>
        </w:tabs>
        <w:spacing w:before="0" w:after="80" w:line="360" w:lineRule="auto"/>
        <w:ind w:hanging="432" w:left="864"/>
        <w:jc w:val="both"/>
      </w:pPr>
      <w:r>
        <w:rPr/>
        <w:t>5.</w:t>
        <w:tab/>
        <w:t>To measure changes in screening consistency and time with Toothwise versus the manual process, using the dentist's findings as the reference.</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clinical end users using the six quality characteristics of ISO/IEC 25010, and its effect on screening consistency and screening time is compared with the current manual process, using the dentist's findings as the reference.</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password recovery,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secure password recovery,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(117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 an optional “Remember me” keeps the device signed in for 30 days.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(with optional “Remember me”), and view their latest results, a risk-over-time chart, their next check-up date, their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r>
        <w:trPr/>
        <w:tc>
          <w:tcPr>
            <w:tcW w:type="dxa" w:w="1008"/>
          </w:tcPr>
          <w:p>
            <w:pPr>
              <w:keepNext w:val="0"/>
              <w:widowControl/>
              <w:spacing w:before="0" w:after="0" w:line="240" w:lineRule="auto"/>
              <w:ind w:firstLine="0" w:left="0"/>
              <w:jc w:val="left"/>
            </w:pPr>
            <w:r>
              <w:rPr>
                <w:sz w:val="22"/>
              </w:rPr>
              <w:t>FR-16</w:t>
            </w:r>
          </w:p>
        </w:tc>
        <w:tc>
          <w:tcPr>
            <w:tcW w:type="dxa" w:w="2304"/>
          </w:tcPr>
          <w:p>
            <w:pPr>
              <w:keepNext w:val="0"/>
              <w:widowControl/>
              <w:spacing w:before="0" w:after="0" w:line="240" w:lineRule="auto"/>
              <w:ind w:firstLine="0" w:left="0"/>
              <w:jc w:val="left"/>
            </w:pPr>
            <w:r>
              <w:rPr>
                <w:sz w:val="22"/>
              </w:rPr>
              <w:t>Password recovery and change</w:t>
            </w:r>
          </w:p>
        </w:tc>
        <w:tc>
          <w:tcPr>
            <w:tcW w:type="dxa" w:w="5328"/>
          </w:tcPr>
          <w:p>
            <w:pPr>
              <w:keepNext w:val="0"/>
              <w:widowControl/>
              <w:spacing w:before="0" w:after="0" w:line="240" w:lineRule="auto"/>
              <w:ind w:firstLine="0" w:left="0"/>
              <w:jc w:val="left"/>
            </w:pPr>
            <w:r>
              <w:rPr>
                <w:sz w:val="22"/>
              </w:rPr>
              <w:t>Staff and patients can request a password reset link by email and set a new password, and signed-in users can change their password.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 registration, and password-reset endpoints rate-limited to 5 requests per minute per IP; password reset links are single-use, expire after 30 minutes, and the response is the same whether or not the email exists.</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Any signed-in user may also reset a forgotten password or change it, which extends Authenticate User.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5883289"/>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4937760" cy="5883289"/>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(30 days with “Remember me”); registers new patient-portal accounts; emails password reset links and changes passwords.</w:t>
            </w:r>
          </w:p>
        </w:tc>
        <w:tc>
          <w:tcPr>
            <w:tcW w:type="dxa" w:w="1728"/>
          </w:tcPr>
          <w:p>
            <w:pPr>
              <w:keepNext w:val="0"/>
              <w:widowControl/>
              <w:spacing w:before="0" w:after="0" w:line="240" w:lineRule="auto"/>
              <w:ind w:firstLine="0" w:left="0"/>
              <w:jc w:val="left"/>
            </w:pPr>
            <w:r>
              <w:rPr>
                <w:sz w:val="22"/>
              </w:rPr>
              <w:t>Credentials; portal registration; reset and change-password requests</w:t>
            </w:r>
          </w:p>
        </w:tc>
        <w:tc>
          <w:tcPr>
            <w:tcW w:type="dxa" w:w="1786"/>
          </w:tcPr>
          <w:p>
            <w:pPr>
              <w:keepNext w:val="0"/>
              <w:widowControl/>
              <w:spacing w:before="0" w:after="0" w:line="240" w:lineRule="auto"/>
              <w:ind w:firstLine="0" w:left="0"/>
              <w:jc w:val="left"/>
            </w:pPr>
            <w:r>
              <w:rPr>
                <w:sz w:val="22"/>
              </w:rPr>
              <w:t>Access token; reads D1 and D2, writes new portal accounts to D2 and login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latest results, risk trend,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4937760" cy="6009359"/>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4937760" cy="6009359"/>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password reset tokens, and rate limiting.</w:t>
            </w:r>
          </w:p>
        </w:tc>
      </w:tr>
      <w:tr>
        <w:trPr/>
        <w:tc>
          <w:tcPr>
            <w:tcW w:type="dxa" w:w="2304"/>
          </w:tcPr>
          <w:p>
            <w:pPr>
              <w:keepNext w:val="0"/>
              <w:widowControl/>
              <w:spacing w:before="0" w:after="0" w:line="240" w:lineRule="auto"/>
              <w:ind w:firstLine="0" w:left="0"/>
              <w:jc w:val="left"/>
            </w:pPr>
            <w:r>
              <w:rPr>
                <w:sz w:val="22"/>
              </w:rPr>
              <w:t>Email</w:t>
            </w:r>
          </w:p>
        </w:tc>
        <w:tc>
          <w:tcPr>
            <w:tcW w:type="dxa" w:w="2736"/>
          </w:tcPr>
          <w:p>
            <w:pPr>
              <w:keepNext w:val="0"/>
              <w:widowControl/>
              <w:spacing w:before="0" w:after="0" w:line="240" w:lineRule="auto"/>
              <w:ind w:firstLine="0" w:left="0"/>
              <w:jc w:val="left"/>
            </w:pPr>
            <w:r>
              <w:rPr>
                <w:sz w:val="22"/>
              </w:rPr>
              <w:t>SMTP (Python smtplib)</w:t>
            </w:r>
          </w:p>
        </w:tc>
        <w:tc>
          <w:tcPr>
            <w:tcW w:type="dxa" w:w="3600"/>
          </w:tcPr>
          <w:p>
            <w:pPr>
              <w:keepNext w:val="0"/>
              <w:widowControl/>
              <w:spacing w:before="0" w:after="0" w:line="240" w:lineRule="auto"/>
              <w:ind w:firstLine="0" w:left="0"/>
              <w:jc w:val="left"/>
            </w:pPr>
            <w:r>
              <w:rPr>
                <w:sz w:val="22"/>
              </w:rPr>
              <w:t>Sends password reset links; without an SMTP server the link is written to the server log for testing.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117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password recovery and change,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sample intraoral photographs taken from CodiSmile Dental Clinic's own published before-and-after images; no patient records are shown.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294376" cy="3314485"/>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294376" cy="3314485"/>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859388"/>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1554480" cy="2859388"/>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116340"/>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1554480" cy="2116340"/>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317841"/>
                  <wp:docPr id="11" name="Picture 11"/>
                  <wp:cNvGraphicFramePr>
                    <a:graphicFrameLocks noChangeAspect="1"/>
                  </wp:cNvGraphicFramePr>
                  <a:graphic>
                    <a:graphicData uri="http://schemas.openxmlformats.org/drawingml/2006/picture">
                      <pic:pic>
                        <pic:nvPicPr>
                          <pic:cNvPr id="0" name="shot_forgot_password.png"/>
                          <pic:cNvPicPr/>
                        </pic:nvPicPr>
                        <pic:blipFill>
                          <a:blip r:embed="rId21"/>
                          <a:stretch>
                            <a:fillRect/>
                          </a:stretch>
                        </pic:blipFill>
                        <pic:spPr>
                          <a:xfrm>
                            <a:off x="0" y="0"/>
                            <a:ext cx="1554480" cy="2317841"/>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9 Staff Login Page.</w:t>
            </w:r>
            <w:r>
              <w:rPr>
                <w:sz w:val="20"/>
              </w:rPr>
              <w:t xml:space="preserve"> </w:t>
            </w:r>
            <w:r>
              <w:rPr>
                <w:i/>
                <w:sz w:val="20"/>
              </w:rPr>
              <w:t>Staff sign-in with “Remember me on this device” (30 days).</w:t>
            </w:r>
          </w:p>
        </w:tc>
        <w:tc>
          <w:tcPr>
            <w:tcW w:type="dxa" w:w="2899"/>
          </w:tcPr>
          <w:p>
            <w:pPr>
              <w:keepNext w:val="0"/>
              <w:widowControl/>
              <w:spacing w:before="40" w:after="120" w:line="276" w:lineRule="auto"/>
              <w:ind w:firstLine="0" w:left="0"/>
              <w:jc w:val="left"/>
            </w:pPr>
            <w:r>
              <w:rPr>
                <w:b/>
                <w:sz w:val="20"/>
              </w:rPr>
              <w:t>Figure 10 Patient Portal — Sign In.</w:t>
            </w:r>
            <w:r>
              <w:rPr>
                <w:sz w:val="20"/>
              </w:rPr>
              <w:t xml:space="preserve"> </w:t>
            </w:r>
            <w:r>
              <w:rPr>
                <w:i/>
                <w:sz w:val="20"/>
              </w:rPr>
              <w:t>Patients sign in to see only their own records.</w:t>
            </w:r>
          </w:p>
        </w:tc>
        <w:tc>
          <w:tcPr>
            <w:tcW w:type="dxa" w:w="2899"/>
          </w:tcPr>
          <w:p>
            <w:pPr>
              <w:keepNext w:val="0"/>
              <w:widowControl/>
              <w:spacing w:before="40" w:after="120" w:line="276" w:lineRule="auto"/>
              <w:ind w:firstLine="0" w:left="0"/>
              <w:jc w:val="left"/>
            </w:pPr>
            <w:r>
              <w:rPr>
                <w:b/>
                <w:sz w:val="20"/>
              </w:rPr>
              <w:t>Figure 11 Forgot Password.</w:t>
            </w:r>
            <w:r>
              <w:rPr>
                <w:sz w:val="20"/>
              </w:rPr>
              <w:t xml:space="preserve"> </w:t>
            </w:r>
            <w:r>
              <w:rPr>
                <w:i/>
                <w:sz w:val="20"/>
              </w:rPr>
              <w:t>Users enter their email to receive a reset link.</w:t>
            </w:r>
          </w:p>
        </w:tc>
      </w:tr>
    </w:tbl>
    <w:p>
      <w:pPr>
        <w:keepNext w:val="0"/>
        <w:widowControl/>
        <w:spacing w:before="0" w:after="80" w:line="20" w:lineRule="exact"/>
        <w:ind w:firstLine="720" w:left="0"/>
        <w:jc w:val="both"/>
      </w:pPr>
      <w:r>
        <w:rPr>
          <w:sz w:val="2"/>
        </w:rPr>
      </w:r>
    </w:p>
    <w:tbl>
      <w:tblPr>
        <w:tblW w:type="auto" w:w="0"/>
        <w:jc w:val="center"/>
        <w:tblLayout w:type="fixed"/>
        <w:tblLook w:firstColumn="1" w:firstRow="1" w:lastColumn="0" w:lastRow="0" w:noHBand="0" w:noVBand="1" w:val="04A0"/>
        <w:tblLayout w:type="fixed"/>
      </w:tblPr>
      <w:tblGrid>
        <w:gridCol w:w="2899"/>
        <w:gridCol w:w="2899"/>
        <w:gridCol w:w="2899"/>
      </w:tblGrid>
      <w:tr>
        <w:trPr>
          <w:cantSplit/>
        </w:trPr>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761341"/>
                  <wp:docPr id="12" name="Picture 12"/>
                  <wp:cNvGraphicFramePr>
                    <a:graphicFrameLocks noChangeAspect="1"/>
                  </wp:cNvGraphicFramePr>
                  <a:graphic>
                    <a:graphicData uri="http://schemas.openxmlformats.org/drawingml/2006/picture">
                      <pic:pic>
                        <pic:nvPicPr>
                          <pic:cNvPr id="0" name="shot_forgot_password_sent.png"/>
                          <pic:cNvPicPr/>
                        </pic:nvPicPr>
                        <pic:blipFill>
                          <a:blip r:embed="rId22"/>
                          <a:stretch>
                            <a:fillRect/>
                          </a:stretch>
                        </pic:blipFill>
                        <pic:spPr>
                          <a:xfrm>
                            <a:off x="0" y="0"/>
                            <a:ext cx="1554480" cy="2761341"/>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46849"/>
                  <wp:docPr id="13" name="Picture 13"/>
                  <wp:cNvGraphicFramePr>
                    <a:graphicFrameLocks noChangeAspect="1"/>
                  </wp:cNvGraphicFramePr>
                  <a:graphic>
                    <a:graphicData uri="http://schemas.openxmlformats.org/drawingml/2006/picture">
                      <pic:pic>
                        <pic:nvPicPr>
                          <pic:cNvPr id="0" name="shot_reset_password_filled.png"/>
                          <pic:cNvPicPr/>
                        </pic:nvPicPr>
                        <pic:blipFill>
                          <a:blip r:embed="rId23"/>
                          <a:stretch>
                            <a:fillRect/>
                          </a:stretch>
                        </pic:blipFill>
                        <pic:spPr>
                          <a:xfrm>
                            <a:off x="0" y="0"/>
                            <a:ext cx="1554480" cy="2546849"/>
                          </a:xfrm>
                          <a:prstGeom prst="rect"/>
                        </pic:spPr>
                      </pic:pic>
                    </a:graphicData>
                  </a:graphic>
                </wp:inline>
              </w:drawing>
            </w:r>
          </w:p>
        </w:tc>
        <w:tc>
          <w:tcPr>
            <w:tcW w:type="dxa" w:w="2899"/>
          </w:tcPr>
          <w:p>
            <w:pPr>
              <w:keepNext/>
              <w:widowControl/>
              <w:spacing w:before="120" w:after="80" w:line="240" w:lineRule="auto"/>
              <w:ind w:firstLine="0" w:left="0"/>
              <w:jc w:val="center"/>
            </w:pPr>
            <w:r>
              <w:drawing>
                <wp:inline xmlns:a="http://schemas.openxmlformats.org/drawingml/2006/main" xmlns:pic="http://schemas.openxmlformats.org/drawingml/2006/picture">
                  <wp:extent cx="1554480" cy="2583180"/>
                  <wp:docPr id="14" name="Picture 14"/>
                  <wp:cNvGraphicFramePr>
                    <a:graphicFrameLocks noChangeAspect="1"/>
                  </wp:cNvGraphicFramePr>
                  <a:graphic>
                    <a:graphicData uri="http://schemas.openxmlformats.org/drawingml/2006/picture">
                      <pic:pic>
                        <pic:nvPicPr>
                          <pic:cNvPr id="0" name="shot_change_password.png"/>
                          <pic:cNvPicPr/>
                        </pic:nvPicPr>
                        <pic:blipFill>
                          <a:blip r:embed="rId24"/>
                          <a:stretch>
                            <a:fillRect/>
                          </a:stretch>
                        </pic:blipFill>
                        <pic:spPr>
                          <a:xfrm>
                            <a:off x="0" y="0"/>
                            <a:ext cx="1554480" cy="2583180"/>
                          </a:xfrm>
                          <a:prstGeom prst="rect"/>
                        </pic:spPr>
                      </pic:pic>
                    </a:graphicData>
                  </a:graphic>
                </wp:inline>
              </w:drawing>
            </w:r>
          </w:p>
        </w:tc>
      </w:tr>
      <w:tr>
        <w:trPr>
          <w:cantSplit/>
        </w:trPr>
        <w:tc>
          <w:tcPr>
            <w:tcW w:type="dxa" w:w="2899"/>
          </w:tcPr>
          <w:p>
            <w:pPr>
              <w:keepNext w:val="0"/>
              <w:widowControl/>
              <w:spacing w:before="40" w:after="120" w:line="276" w:lineRule="auto"/>
              <w:ind w:firstLine="0" w:left="0"/>
              <w:jc w:val="left"/>
            </w:pPr>
            <w:r>
              <w:rPr>
                <w:b/>
                <w:sz w:val="20"/>
              </w:rPr>
              <w:t>Figure 12 Reset Link Sent.</w:t>
            </w:r>
            <w:r>
              <w:rPr>
                <w:sz w:val="20"/>
              </w:rPr>
              <w:t xml:space="preserve"> </w:t>
            </w:r>
            <w:r>
              <w:rPr>
                <w:i/>
                <w:sz w:val="20"/>
              </w:rPr>
              <w:t>The same message appears whether or not the email is registered.</w:t>
            </w:r>
          </w:p>
        </w:tc>
        <w:tc>
          <w:tcPr>
            <w:tcW w:type="dxa" w:w="2899"/>
          </w:tcPr>
          <w:p>
            <w:pPr>
              <w:keepNext w:val="0"/>
              <w:widowControl/>
              <w:spacing w:before="40" w:after="120" w:line="276" w:lineRule="auto"/>
              <w:ind w:firstLine="0" w:left="0"/>
              <w:jc w:val="left"/>
            </w:pPr>
            <w:r>
              <w:rPr>
                <w:b/>
                <w:sz w:val="20"/>
              </w:rPr>
              <w:t>Figure 13 Choose a New Password.</w:t>
            </w:r>
            <w:r>
              <w:rPr>
                <w:sz w:val="20"/>
              </w:rPr>
              <w:t xml:space="preserve"> </w:t>
            </w:r>
            <w:r>
              <w:rPr>
                <w:i/>
                <w:sz w:val="20"/>
              </w:rPr>
              <w:t>The emailed link opens this page; a checklist shows the password rules.</w:t>
            </w:r>
          </w:p>
        </w:tc>
        <w:tc>
          <w:tcPr>
            <w:tcW w:type="dxa" w:w="2899"/>
          </w:tcPr>
          <w:p>
            <w:pPr>
              <w:keepNext w:val="0"/>
              <w:widowControl/>
              <w:spacing w:before="40" w:after="120" w:line="276" w:lineRule="auto"/>
              <w:ind w:firstLine="0" w:left="0"/>
              <w:jc w:val="left"/>
            </w:pPr>
            <w:r>
              <w:rPr>
                <w:b/>
                <w:sz w:val="20"/>
              </w:rPr>
              <w:t>Figure 14 Change Password.</w:t>
            </w:r>
            <w:r>
              <w:rPr>
                <w:sz w:val="20"/>
              </w:rPr>
              <w:t xml:space="preserve"> </w:t>
            </w:r>
            <w:r>
              <w:rPr>
                <w:i/>
                <w:sz w:val="20"/>
              </w:rPr>
              <w:t>Opened from the sidebar or portal header; needs the current password.</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5" name="Picture 15"/>
            <wp:cNvGraphicFramePr>
              <a:graphicFrameLocks noChangeAspect="1"/>
            </wp:cNvGraphicFramePr>
            <a:graphic>
              <a:graphicData uri="http://schemas.openxmlformats.org/drawingml/2006/picture">
                <pic:pic>
                  <pic:nvPicPr>
                    <pic:cNvPr id="0" name="shot_dashboard.png"/>
                    <pic:cNvPicPr/>
                  </pic:nvPicPr>
                  <pic:blipFill>
                    <a:blip r:embed="rId25"/>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15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6" name="Picture 16"/>
            <wp:cNvGraphicFramePr>
              <a:graphicFrameLocks noChangeAspect="1"/>
            </wp:cNvGraphicFramePr>
            <a:graphic>
              <a:graphicData uri="http://schemas.openxmlformats.org/drawingml/2006/picture">
                <pic:pic>
                  <pic:nvPicPr>
                    <pic:cNvPr id="0" name="shot_patients.png"/>
                    <pic:cNvPicPr/>
                  </pic:nvPicPr>
                  <pic:blipFill>
                    <a:blip r:embed="rId26"/>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16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4846320" cy="3033984"/>
            <wp:docPr id="17" name="Picture 17"/>
            <wp:cNvGraphicFramePr>
              <a:graphicFrameLocks noChangeAspect="1"/>
            </wp:cNvGraphicFramePr>
            <a:graphic>
              <a:graphicData uri="http://schemas.openxmlformats.org/drawingml/2006/picture">
                <pic:pic>
                  <pic:nvPicPr>
                    <pic:cNvPr id="0" name="shot_patient_detail.png"/>
                    <pic:cNvPicPr/>
                  </pic:nvPicPr>
                  <pic:blipFill>
                    <a:blip r:embed="rId27"/>
                    <a:stretch>
                      <a:fillRect/>
                    </a:stretch>
                  </pic:blipFill>
                  <pic:spPr>
                    <a:xfrm>
                      <a:off x="0" y="0"/>
                      <a:ext cx="4846320" cy="3033984"/>
                    </a:xfrm>
                    <a:prstGeom prst="rect"/>
                  </pic:spPr>
                </pic:pic>
              </a:graphicData>
            </a:graphic>
          </wp:inline>
        </w:drawing>
      </w:r>
    </w:p>
    <w:p>
      <w:pPr>
        <w:keepNext w:val="0"/>
        <w:widowControl/>
        <w:spacing w:before="40" w:after="200" w:line="276" w:lineRule="auto"/>
        <w:ind w:firstLine="0" w:left="0"/>
        <w:jc w:val="both"/>
      </w:pPr>
      <w:r>
        <w:rPr>
          <w:b/>
        </w:rPr>
        <w:t>Figure 17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8" name="Picture 18"/>
            <wp:cNvGraphicFramePr>
              <a:graphicFrameLocks noChangeAspect="1"/>
            </wp:cNvGraphicFramePr>
            <a:graphic>
              <a:graphicData uri="http://schemas.openxmlformats.org/drawingml/2006/picture">
                <pic:pic>
                  <pic:nvPicPr>
                    <pic:cNvPr id="0" name="shot_screening_upload.png"/>
                    <pic:cNvPicPr/>
                  </pic:nvPicPr>
                  <pic:blipFill>
                    <a:blip r:embed="rId28"/>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18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9" name="Picture 19"/>
            <wp:cNvGraphicFramePr>
              <a:graphicFrameLocks noChangeAspect="1"/>
            </wp:cNvGraphicFramePr>
            <a:graphic>
              <a:graphicData uri="http://schemas.openxmlformats.org/drawingml/2006/picture">
                <pic:pic>
                  <pic:nvPicPr>
                    <pic:cNvPr id="0" name="shot_screening_preview.png"/>
                    <pic:cNvPicPr/>
                  </pic:nvPicPr>
                  <pic:blipFill>
                    <a:blip r:embed="rId29"/>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19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3172968" cy="3862625"/>
            <wp:docPr id="20" name="Picture 20"/>
            <wp:cNvGraphicFramePr>
              <a:graphicFrameLocks noChangeAspect="1"/>
            </wp:cNvGraphicFramePr>
            <a:graphic>
              <a:graphicData uri="http://schemas.openxmlformats.org/drawingml/2006/picture">
                <pic:pic>
                  <pic:nvPicPr>
                    <pic:cNvPr id="0" name="shot_screening_result_full.png"/>
                    <pic:cNvPicPr/>
                  </pic:nvPicPr>
                  <pic:blipFill>
                    <a:blip r:embed="rId30"/>
                    <a:stretch>
                      <a:fillRect/>
                    </a:stretch>
                  </pic:blipFill>
                  <pic:spPr>
                    <a:xfrm>
                      <a:off x="0" y="0"/>
                      <a:ext cx="3172968" cy="3862625"/>
                    </a:xfrm>
                    <a:prstGeom prst="rect"/>
                  </pic:spPr>
                </pic:pic>
              </a:graphicData>
            </a:graphic>
          </wp:inline>
        </w:drawing>
      </w:r>
    </w:p>
    <w:p>
      <w:pPr>
        <w:keepNext w:val="0"/>
        <w:widowControl/>
        <w:spacing w:before="40" w:after="200" w:line="276" w:lineRule="auto"/>
        <w:ind w:firstLine="0" w:left="0"/>
        <w:jc w:val="both"/>
      </w:pPr>
      <w:r>
        <w:rPr>
          <w:b/>
        </w:rPr>
        <w:t>Figure 20 Screening Results.</w:t>
      </w:r>
      <w:r>
        <w:rPr/>
        <w:t xml:space="preserve"> </w:t>
      </w:r>
      <w:r>
        <w:rPr>
          <w:i/>
        </w:rPr>
        <w:t>The analysis of the uploaded photograph: color-coded bounding boxes for the fused, YOLOv8, and YOLOv12 detections (here, gum inflammation), the risk level, the prevention plan, the dentist's clinical notes, and the button that downloads the PDF report.</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68496" cy="1797366"/>
            <wp:docPr id="21" name="Picture 21"/>
            <wp:cNvGraphicFramePr>
              <a:graphicFrameLocks noChangeAspect="1"/>
            </wp:cNvGraphicFramePr>
            <a:graphic>
              <a:graphicData uri="http://schemas.openxmlformats.org/drawingml/2006/picture">
                <pic:pic>
                  <pic:nvPicPr>
                    <pic:cNvPr id="0" name="shot_staff.png"/>
                    <pic:cNvPicPr/>
                  </pic:nvPicPr>
                  <pic:blipFill>
                    <a:blip r:embed="rId31"/>
                    <a:stretch>
                      <a:fillRect/>
                    </a:stretch>
                  </pic:blipFill>
                  <pic:spPr>
                    <a:xfrm>
                      <a:off x="0" y="0"/>
                      <a:ext cx="3968496" cy="1797366"/>
                    </a:xfrm>
                    <a:prstGeom prst="rect"/>
                  </pic:spPr>
                </pic:pic>
              </a:graphicData>
            </a:graphic>
          </wp:inline>
        </w:drawing>
      </w:r>
    </w:p>
    <w:p>
      <w:pPr>
        <w:keepNext w:val="0"/>
        <w:widowControl/>
        <w:spacing w:before="40" w:after="200" w:line="276" w:lineRule="auto"/>
        <w:ind w:firstLine="0" w:left="0"/>
        <w:jc w:val="both"/>
      </w:pPr>
      <w:r>
        <w:rPr>
          <w:b/>
        </w:rPr>
        <w:t>Figure 21 Staff Management (Dentist/Administrator).</w:t>
      </w:r>
      <w:r>
        <w:rPr/>
        <w:t xml:space="preserve"> </w:t>
      </w:r>
      <w:r>
        <w:rPr>
          <w:i/>
        </w:rPr>
        <w:t>Lets the dentist add staff members, assign the dentist, receptionist, or assistant role, edit details, reset passwords, and deactivate or delete accounts.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087368" cy="2558851"/>
            <wp:docPr id="22" name="Picture 22"/>
            <wp:cNvGraphicFramePr>
              <a:graphicFrameLocks noChangeAspect="1"/>
            </wp:cNvGraphicFramePr>
            <a:graphic>
              <a:graphicData uri="http://schemas.openxmlformats.org/drawingml/2006/picture">
                <pic:pic>
                  <pic:nvPicPr>
                    <pic:cNvPr id="0" name="shot_audit.png"/>
                    <pic:cNvPicPr/>
                  </pic:nvPicPr>
                  <pic:blipFill>
                    <a:blip r:embed="rId32"/>
                    <a:stretch>
                      <a:fillRect/>
                    </a:stretch>
                  </pic:blipFill>
                  <pic:spPr>
                    <a:xfrm>
                      <a:off x="0" y="0"/>
                      <a:ext cx="4087368" cy="2558851"/>
                    </a:xfrm>
                    <a:prstGeom prst="rect"/>
                  </pic:spPr>
                </pic:pic>
              </a:graphicData>
            </a:graphic>
          </wp:inline>
        </w:drawing>
      </w:r>
    </w:p>
    <w:p>
      <w:pPr>
        <w:keepNext w:val="0"/>
        <w:widowControl/>
        <w:spacing w:before="40" w:after="200" w:line="276" w:lineRule="auto"/>
        <w:ind w:firstLine="0" w:left="0"/>
        <w:jc w:val="both"/>
      </w:pPr>
      <w:r>
        <w:rPr>
          <w:b/>
        </w:rPr>
        <w:t>Figure 22 Audit Log (Dentist/Administrator).</w:t>
      </w:r>
      <w:r>
        <w:rPr/>
        <w:t xml:space="preserve"> </w:t>
      </w:r>
      <w:r>
        <w:rPr>
          <w:i/>
        </w:rPr>
        <w:t>A permanent, filterable timeline of who signed in, requested a password reset, and created, changed, or deleted records, and when.</w:t>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738793"/>
                  <wp:docPr id="23" name="Picture 23"/>
                  <wp:cNvGraphicFramePr>
                    <a:graphicFrameLocks noChangeAspect="1"/>
                  </wp:cNvGraphicFramePr>
                  <a:graphic>
                    <a:graphicData uri="http://schemas.openxmlformats.org/drawingml/2006/picture">
                      <pic:pic>
                        <pic:nvPicPr>
                          <pic:cNvPr id="0" name="shot_portal_register.png"/>
                          <pic:cNvPicPr/>
                        </pic:nvPicPr>
                        <pic:blipFill>
                          <a:blip r:embed="rId33"/>
                          <a:stretch>
                            <a:fillRect/>
                          </a:stretch>
                        </pic:blipFill>
                        <pic:spPr>
                          <a:xfrm>
                            <a:off x="0" y="0"/>
                            <a:ext cx="2011680" cy="2738793"/>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3017520"/>
                  <wp:docPr id="24" name="Picture 24"/>
                  <wp:cNvGraphicFramePr>
                    <a:graphicFrameLocks noChangeAspect="1"/>
                  </wp:cNvGraphicFramePr>
                  <a:graphic>
                    <a:graphicData uri="http://schemas.openxmlformats.org/drawingml/2006/picture">
                      <pic:pic>
                        <pic:nvPicPr>
                          <pic:cNvPr id="0" name="shot_portal_home.png"/>
                          <pic:cNvPicPr/>
                        </pic:nvPicPr>
                        <pic:blipFill>
                          <a:blip r:embed="rId34"/>
                          <a:stretch>
                            <a:fillRect/>
                          </a:stretch>
                        </pic:blipFill>
                        <pic:spPr>
                          <a:xfrm>
                            <a:off x="0" y="0"/>
                            <a:ext cx="2011680" cy="301752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23 Patient Portal — Sign Up.</w:t>
            </w:r>
            <w:r>
              <w:rPr>
                <w:sz w:val="22"/>
              </w:rPr>
              <w:t xml:space="preserve"> </w:t>
            </w:r>
            <w:r>
              <w:rPr>
                <w:i/>
                <w:sz w:val="22"/>
              </w:rPr>
              <w:t>New patients create an account with their contact details and a password.</w:t>
            </w:r>
          </w:p>
        </w:tc>
        <w:tc>
          <w:tcPr>
            <w:tcW w:type="dxa" w:w="4349"/>
          </w:tcPr>
          <w:p>
            <w:pPr>
              <w:keepNext w:val="0"/>
              <w:widowControl/>
              <w:spacing w:before="40" w:after="120" w:line="276" w:lineRule="auto"/>
              <w:ind w:firstLine="0" w:left="0"/>
              <w:jc w:val="both"/>
            </w:pPr>
            <w:r>
              <w:rPr>
                <w:b/>
                <w:sz w:val="22"/>
              </w:rPr>
              <w:t>Figure 24 Patient Portal — Home.</w:t>
            </w:r>
            <w:r>
              <w:rPr>
                <w:sz w:val="22"/>
              </w:rPr>
              <w:t xml:space="preserve"> </w:t>
            </w:r>
            <w:r>
              <w:rPr>
                <w:i/>
                <w:sz w:val="22"/>
              </w:rPr>
              <w:t>Latest risk level and change since the last visit, next check-up date, latest findings and next steps, risk over time, and screening history.</w:t>
            </w:r>
          </w:p>
        </w:tc>
      </w:tr>
    </w:tbl>
    <w:p>
      <w:pPr>
        <w:keepNext w:val="0"/>
        <w:widowControl/>
        <w:spacing w:before="0" w:after="80" w:line="20" w:lineRule="exact"/>
        <w:ind w:firstLine="720" w:left="0"/>
        <w:jc w:val="both"/>
      </w:pPr>
      <w:r>
        <w:rPr>
          <w:sz w:val="2"/>
        </w:rPr>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5486400" cy="4377447"/>
                  <wp:docPr id="25" name="Picture 25"/>
                  <wp:cNvGraphicFramePr>
                    <a:graphicFrameLocks noChangeAspect="1"/>
                  </wp:cNvGraphicFramePr>
                  <a:graphic>
                    <a:graphicData uri="http://schemas.openxmlformats.org/drawingml/2006/picture">
                      <pic:pic>
                        <pic:nvPicPr>
                          <pic:cNvPr id="0" name="shot_portal_screening.png"/>
                          <pic:cNvPicPr/>
                        </pic:nvPicPr>
                        <pic:blipFill>
                          <a:blip r:embed="rId35"/>
                          <a:stretch>
                            <a:fillRect/>
                          </a:stretch>
                        </pic:blipFill>
                        <pic:spPr>
                          <a:xfrm>
                            <a:off x="0" y="0"/>
                            <a:ext cx="5486400" cy="4377447"/>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697480" cy="3981480"/>
                  <wp:docPr id="26" name="Picture 26"/>
                  <wp:cNvGraphicFramePr>
                    <a:graphicFrameLocks noChangeAspect="1"/>
                  </wp:cNvGraphicFramePr>
                  <a:graphic>
                    <a:graphicData uri="http://schemas.openxmlformats.org/drawingml/2006/picture">
                      <pic:pic>
                        <pic:nvPicPr>
                          <pic:cNvPr id="0" name="shot_report_1.png"/>
                          <pic:cNvPicPr/>
                        </pic:nvPicPr>
                        <pic:blipFill>
                          <a:blip r:embed="rId36"/>
                          <a:stretch>
                            <a:fillRect/>
                          </a:stretch>
                        </pic:blipFill>
                        <pic:spPr>
                          <a:xfrm>
                            <a:off x="0" y="0"/>
                            <a:ext cx="2697480" cy="3981480"/>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25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26 PDF Screening Report.</w:t>
            </w:r>
            <w:r>
              <w:rPr>
                <w:sz w:val="22"/>
              </w:rPr>
              <w:t xml:space="preserve"> </w:t>
            </w:r>
            <w:r>
              <w:rPr>
                <w:i/>
                <w:sz w:val="22"/>
              </w:rPr>
              <w:t>First page of the report: patient details, risk level, image, findings, and prevention plan.</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 xml:space="preserve">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Values marked </w:t>
      </w:r>
      <w:r>
        <w:rPr>
          <w:b/>
        </w:rPr>
        <w:t>[TBD]</w:t>
      </w:r>
      <w:r>
        <w:rPr/>
        <w:t xml:space="preserve"> are placeholders for data that had not yet been collected when this chapter was drafted; they are not results.</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13 presents the class mapping applied to each source.</w:t>
      </w:r>
    </w:p>
    <w:p>
      <w:pPr>
        <w:keepNext w:val="0"/>
        <w:widowControl/>
        <w:spacing w:before="0" w:after="120" w:line="360" w:lineRule="auto"/>
        <w:ind w:firstLine="720" w:left="0"/>
        <w:jc w:val="both"/>
      </w:pPr>
      <w:r>
        <w:rPr/>
        <w:t>After merging, the dataset was divided into training, validation, and test splits, as shown in Table 14. Images that contained only dropped classes were kept as background (negative) images, which teach the models not to raise false detections on unremarkable regions.</w:t>
      </w:r>
    </w:p>
    <w:p>
      <w:pPr>
        <w:keepNext/>
        <w:widowControl/>
        <w:spacing w:before="160" w:after="80" w:line="276" w:lineRule="auto"/>
        <w:ind w:firstLine="0" w:left="0"/>
        <w:jc w:val="left"/>
      </w:pPr>
      <w:r>
        <w:rPr>
          <w:b/>
        </w:rPr>
        <w:t>Table 13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widowControl/>
        <w:spacing w:before="160" w:after="80" w:line="276" w:lineRule="auto"/>
        <w:ind w:firstLine="0" w:left="0"/>
        <w:jc w:val="left"/>
      </w:pPr>
      <w:r>
        <w:rPr>
          <w:b/>
        </w:rPr>
        <w:t>Table 14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15 presents the number of labeled findings per class in the held-out test split, which was used for the per-class evaluation in Section 4.1.4. The classes are clearly unbalanced, ranging from 42 labeled healthy tooth instances to 2,716 cavity instances.</w:t>
      </w:r>
    </w:p>
    <w:p>
      <w:pPr>
        <w:keepNext/>
        <w:widowControl/>
        <w:spacing w:before="160" w:after="80" w:line="276" w:lineRule="auto"/>
        <w:ind w:firstLine="0" w:left="0"/>
        <w:jc w:val="left"/>
      </w:pPr>
      <w:r>
        <w:rPr>
          <w:b/>
        </w:rPr>
        <w:t>Table 15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16 summarizes the configuration, which was read directly from the saved model checkpoints.</w:t>
      </w:r>
    </w:p>
    <w:p>
      <w:pPr>
        <w:keepNext/>
        <w:widowControl/>
        <w:spacing w:before="160" w:after="80" w:line="276" w:lineRule="auto"/>
        <w:ind w:firstLine="0" w:left="0"/>
        <w:jc w:val="left"/>
      </w:pPr>
      <w:r>
        <w:rPr>
          <w:b/>
        </w:rPr>
        <w:t>Table 16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keepNext w:val="0"/>
        <w:widowControl/>
        <w:spacing w:before="0" w:after="120" w:line="360" w:lineRule="auto"/>
        <w:ind w:firstLine="720" w:left="0"/>
        <w:jc w:val="both"/>
      </w:pPr>
      <w:r>
        <w:rPr/>
        <w:t>Table 17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widowControl/>
        <w:spacing w:before="160" w:after="80" w:line="276" w:lineRule="auto"/>
        <w:ind w:firstLine="0" w:left="0"/>
        <w:jc w:val="left"/>
      </w:pPr>
      <w:r>
        <w:rPr>
          <w:b/>
        </w:rPr>
        <w:t>Table 17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7" name="Picture 27"/>
            <wp:cNvGraphicFramePr>
              <a:graphicFrameLocks noChangeAspect="1"/>
            </wp:cNvGraphicFramePr>
            <a:graphic>
              <a:graphicData uri="http://schemas.openxmlformats.org/drawingml/2006/picture">
                <pic:pic>
                  <pic:nvPicPr>
                    <pic:cNvPr id="0" name="fig_training_curves.png"/>
                    <pic:cNvPicPr/>
                  </pic:nvPicPr>
                  <pic:blipFill>
                    <a:blip r:embed="rId37"/>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27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8" name="Picture 28"/>
            <wp:cNvGraphicFramePr>
              <a:graphicFrameLocks noChangeAspect="1"/>
            </wp:cNvGraphicFramePr>
            <a:graphic>
              <a:graphicData uri="http://schemas.openxmlformats.org/drawingml/2006/picture">
                <pic:pic>
                  <pic:nvPicPr>
                    <pic:cNvPr id="0" name="fig_final_metrics.png"/>
                    <pic:cNvPicPr/>
                  </pic:nvPicPr>
                  <pic:blipFill>
                    <a:blip r:embed="rId38"/>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28 Final Validation Metrics of YOLOv8 and YOLOv12.</w:t>
      </w:r>
    </w:p>
    <w:p>
      <w:pPr>
        <w:keepNext w:val="0"/>
        <w:widowControl/>
        <w:spacing w:before="0" w:after="120" w:line="360" w:lineRule="auto"/>
        <w:ind w:firstLine="720" w:left="0"/>
        <w:jc w:val="both"/>
      </w:pPr>
      <w:r>
        <w:rPr/>
        <w:t>Figure 27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18 and 19 present the precision, recall, F1-score, mAP@50, and mAP@50-95 of each class on the test split, and Figure 29 compares the per-class mAP@50 of the two models and the fused ensemble.</w:t>
      </w:r>
    </w:p>
    <w:p>
      <w:pPr>
        <w:keepNext/>
        <w:widowControl/>
        <w:spacing w:before="160" w:after="80" w:line="276" w:lineRule="auto"/>
        <w:ind w:firstLine="0" w:left="0"/>
        <w:jc w:val="left"/>
      </w:pPr>
      <w:r>
        <w:rPr>
          <w:b/>
        </w:rPr>
        <w:t>Table 18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19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val="0"/>
        <w:widowControl/>
        <w:spacing w:before="0" w:after="120" w:line="360" w:lineRule="auto"/>
        <w:ind w:firstLine="720" w:left="0"/>
        <w:jc w:val="both"/>
      </w:pPr>
      <w:r>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9" name="Picture 29"/>
            <wp:cNvGraphicFramePr>
              <a:graphicFrameLocks noChangeAspect="1"/>
            </wp:cNvGraphicFramePr>
            <a:graphic>
              <a:graphicData uri="http://schemas.openxmlformats.org/drawingml/2006/picture">
                <pic:pic>
                  <pic:nvPicPr>
                    <pic:cNvPr id="0" name="fig_perclass_map50.png"/>
                    <pic:cNvPicPr/>
                  </pic:nvPicPr>
                  <pic:blipFill>
                    <a:blip r:embed="rId39"/>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29 Per-Class mAP@50 on the Test Split.</w:t>
      </w:r>
    </w:p>
    <w:p>
      <w:pPr>
        <w:keepNext w:val="0"/>
        <w:widowControl/>
        <w:spacing w:before="0" w:after="120" w:line="360" w:lineRule="auto"/>
        <w:ind w:firstLine="720" w:left="0"/>
        <w:jc w:val="both"/>
      </w:pPr>
      <w:r>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20 and 21 present the result, and Figure 30 shows the confusion matrices.</w:t>
      </w:r>
    </w:p>
    <w:p>
      <w:pPr>
        <w:keepNext/>
        <w:widowControl/>
        <w:spacing w:before="160" w:after="80" w:line="276" w:lineRule="auto"/>
        <w:ind w:firstLine="0" w:left="0"/>
        <w:jc w:val="left"/>
      </w:pPr>
      <w:r>
        <w:rPr>
          <w:b/>
        </w:rPr>
        <w:t>Table 20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21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30" name="Picture 30"/>
            <wp:cNvGraphicFramePr>
              <a:graphicFrameLocks noChangeAspect="1"/>
            </wp:cNvGraphicFramePr>
            <a:graphic>
              <a:graphicData uri="http://schemas.openxmlformats.org/drawingml/2006/picture">
                <pic:pic>
                  <pic:nvPicPr>
                    <pic:cNvPr id="0" name="fig_confusion_matrices.png"/>
                    <pic:cNvPicPr/>
                  </pic:nvPicPr>
                  <pic:blipFill>
                    <a:blip r:embed="rId40"/>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30 Confusion Matrices on the Test Split (Columns Normalized by True Class).</w:t>
      </w:r>
    </w:p>
    <w:p>
      <w:pPr>
        <w:keepNext w:val="0"/>
        <w:widowControl/>
        <w:spacing w:before="0" w:after="120" w:line="360" w:lineRule="auto"/>
        <w:ind w:firstLine="720" w:left="0"/>
        <w:jc w:val="both"/>
      </w:pPr>
      <w:r>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keepNext w:val="0"/>
        <w:widowControl/>
        <w:spacing w:before="0" w:after="120" w:line="360" w:lineRule="auto"/>
        <w:ind w:firstLine="720" w:left="0"/>
        <w:jc w:val="both"/>
      </w:pPr>
      <w:r>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keepNext w:val="0"/>
        <w:widowControl/>
        <w:spacing w:before="0" w:after="120" w:line="360" w:lineRule="auto"/>
        <w:ind w:firstLine="720" w:left="0"/>
        <w:jc w:val="both"/>
      </w:pPr>
      <w:r>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keepNext w:val="0"/>
        <w:widowControl/>
        <w:spacing w:before="0" w:after="120" w:line="360" w:lineRule="auto"/>
        <w:ind w:firstLine="720" w:left="0"/>
        <w:jc w:val="both"/>
      </w:pPr>
      <w:r>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Inference speed was measured on the deployment-class workstation without a GPU, which reflects the clinic setting described in Chapter III. Each model processed four clinic screening images five times at 640 × 640 pixels after a warm-up pass. Table 22 reports the mean time per image.</w:t>
      </w:r>
    </w:p>
    <w:p>
      <w:pPr>
        <w:keepNext/>
        <w:widowControl/>
        <w:spacing w:before="160" w:after="80" w:line="276" w:lineRule="auto"/>
        <w:ind w:firstLine="0" w:left="0"/>
        <w:jc w:val="left"/>
      </w:pPr>
      <w:r>
        <w:rPr>
          <w:b/>
        </w:rPr>
        <w:t>Table 22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keepNext w:val="0"/>
        <w:widowControl/>
        <w:spacing w:before="0" w:after="120" w:line="360" w:lineRule="auto"/>
        <w:ind w:firstLine="720" w:left="0"/>
        <w:jc w:val="both"/>
      </w:pPr>
      <w:r>
        <w:rPr/>
        <w:t>The deployed system runs on a smaller machine. On the free Render web service (shared CPU, 512 MB of memory), the backend runs the ONNX exports of the same two models with ONNX Runtime and loads each model only for the time it runs, because keeping both PyTorch models in memory would exceed the 512 MB limit. Measured on that service, a complete screening with both models took about 3 to 4 seconds, and the backend used about 210 MB of memory at rest and about 400 MB at its peak. The ONNX models returned the same boxes, labels, and confidences as the PyTorch checkpoints on 22 test images, so the accuracy results in this chapter apply to the deployed system. The delay of a few seconds remains acceptable for a workflow in which a photograph is uploaded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keepNext w:val="0"/>
        <w:widowControl/>
        <w:spacing w:before="0" w:after="120" w:line="360" w:lineRule="auto"/>
        <w:ind w:firstLine="720" w:left="0"/>
        <w:jc w:val="both"/>
      </w:pPr>
      <w:r>
        <w:rPr/>
        <w:t>To measure the effect of fusion, the test split was passed once through both models, and the YOLOv8 output, the YOLOv12 output, and the fused output were scored with the same matching code. Table 23 presents the result.</w:t>
      </w:r>
    </w:p>
    <w:p>
      <w:pPr>
        <w:keepNext/>
        <w:widowControl/>
        <w:spacing w:before="160" w:after="80" w:line="276" w:lineRule="auto"/>
        <w:ind w:firstLine="0" w:left="0"/>
        <w:jc w:val="left"/>
      </w:pPr>
      <w:r>
        <w:rPr>
          <w:b/>
        </w:rPr>
        <w:t>Table 23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17 to 19; the single-model columns repeat those results.</w:t>
      </w:r>
    </w:p>
    <w:p>
      <w:pPr>
        <w:keepNext w:val="0"/>
        <w:widowControl/>
        <w:spacing w:before="0" w:after="120" w:line="360" w:lineRule="auto"/>
        <w:ind w:firstLine="720" w:left="0"/>
        <w:jc w:val="both"/>
      </w:pPr>
      <w:r>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keepNext w:val="0"/>
        <w:widowControl/>
        <w:spacing w:before="0" w:after="120" w:line="360" w:lineRule="auto"/>
        <w:ind w:firstLine="720" w:left="0"/>
        <w:jc w:val="both"/>
      </w:pPr>
      <w:r>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The FastAPI backend exposes the screening workflow through authenticated REST endpoints. During development it runs the PyTorch checkpoints with Ultralytics; in the deployed system it runs ONNX exports of the same models with ONNX Runtime, which give identical detections and need about four times less memory. For each uploaded intraoral photograph the pipeline (1) validates the file type and size (JPEG, PNG, or WebP, maximum 15 MB), (2) runs YOLOv8 and YOLOv12, (3) fuses their detections as described in Section 4.1.7 and removes orthodontic brackets that the models mistake for findings, (4) computes a risk score and risk tier, (5) generates a prevention plan, and (6) stores the image, every detection with its bounding box and confidence, the risk result, and the plan in the patient's record. In the deployed system a copy of the photograph is also saved in the database; when the hosting service has restarted and cleared its disk, the image routes and the PDF report restore the file from that copy. The response includes the fused detections and the raw output of each model.</w:t>
      </w:r>
    </w:p>
    <w:p>
      <w:pPr>
        <w:keepNext w:val="0"/>
        <w:widowControl/>
        <w:spacing w:before="0" w:after="120" w:line="360" w:lineRule="auto"/>
        <w:ind w:firstLine="720" w:left="0"/>
        <w:jc w:val="both"/>
      </w:pPr>
      <w:r>
        <w:rPr/>
        <w:t>Neither model was trained with a braces class, so in early pilot use the metal brackets of patients with braces were reported as urgent cavities. The deployed pipeline therefore drops any cavity, plaque, or tartar box whose pixels are mostly metal-grey (at least 8%), requires a cavity to have a confidence of at least 0.50, and keeps a cavity in the fused set only when both YOLOv8 and YOLOv12 report it. When two or more brackets are found, the prevention plan adds a note that braces were detected and that the dentist or orthodontist should check those teeth in person. These rules were added after the test-split evaluation in Section 4.1, so Tables 20, 21, and 23 report the ensemble without them.</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24 lists the severity weights and the tier thresholds.</w:t>
      </w:r>
    </w:p>
    <w:p>
      <w:pPr>
        <w:keepNext/>
        <w:widowControl/>
        <w:spacing w:before="160" w:after="80" w:line="276" w:lineRule="auto"/>
        <w:ind w:firstLine="0" w:left="0"/>
        <w:jc w:val="left"/>
      </w:pPr>
      <w:r>
        <w:rPr>
          <w:b/>
        </w:rPr>
        <w:t>Table 24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keepNext w:val="0"/>
        <w:widowControl/>
        <w:spacing w:before="0" w:after="120" w:line="360" w:lineRule="auto"/>
        <w:ind w:firstLine="720" w:left="0"/>
        <w:jc w:val="both"/>
      </w:pPr>
      <w:r>
        <w:rPr/>
        <w:t>Table 25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widowControl/>
        <w:spacing w:before="160" w:after="80" w:line="276" w:lineRule="auto"/>
        <w:ind w:firstLine="0" w:left="0"/>
        <w:jc w:val="left"/>
      </w:pPr>
      <w:r>
        <w:rPr>
          <w:b/>
        </w:rPr>
        <w:t>Table 25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 xml:space="preserve">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The accuracy of the classifier against dentist-confirmed tiers is </w:t>
      </w:r>
      <w:r>
        <w:rPr>
          <w:b/>
        </w:rPr>
        <w:t>[TBD – number of dentist-confirmed cases and accuracy; none were recorded when this chapter was drafted]</w:t>
      </w:r>
      <w:r>
        <w:rPr/>
        <w:t>.</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(Figure 26). Figures 17, 20, and 24 to 26 in Section 3.10 show these screens. Patients can register for the self-service portal, where a dashboard shows their latest risk level and how it changed since the previous screening, their latest findings in plain language with the top next steps, a risk-over-time chart, the date of their next check-up (six months after the last screening), and their full screening history, but no 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keepNext w:val="0"/>
        <w:widowControl/>
        <w:spacing w:before="0" w:after="120" w:line="360" w:lineRule="auto"/>
        <w:ind w:firstLine="720" w:left="0"/>
        <w:jc w:val="both"/>
      </w:pPr>
      <w:r>
        <w:rPr/>
        <w:t>Staff and patients sign in with their email address and password. Ticking “Remember me on this device” issues a 30-day token kept in the browser's local storage; otherwise the session ends when the browser is closed. A user who forgets the password requests a reset link by email; the link can be used once, expires after 30 minutes, and stops working as soon as the password changes, and the system gives the same answer whether or not the email address is registered so that it cannot be used to discover accounts. Signed-in staff and patients can also change their password from the sidebar or the portal header.</w:t>
      </w:r>
    </w:p>
    <w:p>
      <w:pPr>
        <w:keepNext w:val="0"/>
        <w:widowControl/>
        <w:spacing w:before="0" w:after="120" w:line="360" w:lineRule="auto"/>
        <w:ind w:firstLine="720" w:left="0"/>
        <w:jc w:val="both"/>
      </w:pPr>
      <w:r>
        <w:rPr/>
        <w:t>The backend has an automated test suite of 117 test cases covering authentication, password recovery, the braces filter, the AI assistant, staff management, the class labels, the ONNX Runtime detector, patients, the recommender, the risk engine, role permissions, and screenings, including the restoration of screening photos from the database. All 117 tests passed in the final run (Table 26).</w:t>
      </w:r>
    </w:p>
    <w:p>
      <w:pPr>
        <w:keepNext/>
        <w:widowControl/>
        <w:spacing w:before="160" w:after="80" w:line="276" w:lineRule="auto"/>
        <w:ind w:firstLine="0" w:left="0"/>
        <w:jc w:val="left"/>
      </w:pPr>
      <w:r>
        <w:rPr>
          <w:b/>
        </w:rPr>
        <w:t>Table 26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test_braces_filter.py</w:t>
            </w:r>
          </w:p>
        </w:tc>
        <w:tc>
          <w:tcPr>
            <w:tcW w:type="dxa" w:w="3707"/>
          </w:tcPr>
          <w:p>
            <w:pPr>
              <w:keepNext w:val="0"/>
              <w:widowControl/>
              <w:spacing w:before="0" w:after="0" w:line="240" w:lineRule="auto"/>
              <w:ind w:firstLine="0" w:left="0"/>
              <w:jc w:val="left"/>
            </w:pPr>
            <w:r>
              <w:rPr>
                <w:sz w:val="22"/>
              </w:rPr>
              <w:t>Removal of orthodontic brackets from detections</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test_password_recovery.py</w:t>
            </w:r>
          </w:p>
        </w:tc>
        <w:tc>
          <w:tcPr>
            <w:tcW w:type="dxa" w:w="3707"/>
          </w:tcPr>
          <w:p>
            <w:pPr>
              <w:keepNext w:val="0"/>
              <w:widowControl/>
              <w:spacing w:before="0" w:after="0" w:line="240" w:lineRule="auto"/>
              <w:ind w:firstLine="0" w:left="0"/>
              <w:jc w:val="left"/>
            </w:pPr>
            <w:r>
              <w:rPr>
                <w:sz w:val="22"/>
              </w:rPr>
              <w:t>Remember me, forgot, reset, and change password</w:t>
            </w:r>
          </w:p>
        </w:tc>
        <w:tc>
          <w:tcPr>
            <w:tcW w:type="dxa" w:w="1141"/>
          </w:tcPr>
          <w:p>
            <w:pPr>
              <w:keepNext w:val="0"/>
              <w:widowControl/>
              <w:spacing w:before="0" w:after="0" w:line="240" w:lineRule="auto"/>
              <w:ind w:firstLine="0" w:left="0"/>
              <w:jc w:val="left"/>
            </w:pPr>
            <w:r>
              <w:rPr>
                <w:sz w:val="22"/>
              </w:rPr>
              <w:t>13</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117</w:t>
            </w:r>
          </w:p>
        </w:tc>
        <w:tc>
          <w:tcPr>
            <w:tcW w:type="dxa" w:w="1426"/>
          </w:tcPr>
          <w:p>
            <w:pPr>
              <w:keepNext w:val="0"/>
              <w:widowControl/>
              <w:spacing w:before="0" w:after="0" w:line="240" w:lineRule="auto"/>
              <w:ind w:firstLine="0" w:left="0"/>
              <w:jc w:val="left"/>
            </w:pPr>
            <w:r>
              <w:rPr>
                <w:sz w:val="22"/>
              </w:rPr>
              <w:t>117 passed, 0 failed</w:t>
            </w:r>
          </w:p>
        </w:tc>
      </w:tr>
    </w:tbl>
    <w:p>
      <w:pPr>
        <w:keepNext w:val="0"/>
        <w:widowControl/>
        <w:spacing w:before="40" w:after="160" w:line="240" w:lineRule="auto"/>
        <w:ind w:firstLine="0" w:left="0"/>
        <w:jc w:val="left"/>
      </w:pPr>
      <w:r>
        <w:rPr>
          <w:i/>
          <w:sz w:val="20"/>
        </w:rPr>
        <w:t>Source: python -m pytest in backend/ (run with YOLO_BACKEND=onnx on 28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 In the deployed system the assistant runs as a Vercel serverless function. When the free Gemini quota is used up, questions about the clinic (hours, location, services, and prices) are still answered from verified clinic facts, and other questions receive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production build of the frontend was audited with Google Lighthouse 12 on the public pages at a mobile width (simulated slow 4G) and a desktop width. Because the landing page was redesigned after the first audit, all six audits were run again on 20 October 2026 against a local production build. Table 27 presents the scores.</w:t>
      </w:r>
    </w:p>
    <w:p>
      <w:pPr>
        <w:keepNext/>
        <w:widowControl/>
        <w:spacing w:before="160" w:after="80" w:line="276" w:lineRule="auto"/>
        <w:ind w:firstLine="0" w:left="0"/>
        <w:jc w:val="left"/>
      </w:pPr>
      <w:r>
        <w:rPr>
          <w:b/>
        </w:rPr>
        <w:t>Table 27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100 on every audited page, and performance ranged from 99 to 100 on desktop and from 86 to 98 on mobile. The lowest score, the landing page on mobile, comes from the amount of JavaScript and imagery the redesigned page loads before it becomes interactive; its score also varied the most between runs.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 xml:space="preserve">This section answers the fourth problem of the study. </w:t>
      </w:r>
      <w:r>
        <w:rPr>
          <w:b/>
          <w:highlight w:val="yellow"/>
        </w:rPr>
        <w:t>[TBD – the evaluation survey is scheduled for administration; every number in this section is a placeholder to be replaced with the tallied responses.]</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evaluation targets 100 respondents in two groups: 30 IT experts (software developers, systems analysts, database administrators, and IT educators) and 70 clinical end users (licensed dentists, dental assistants, receptionists, and patients of CodiSmile Dental Clinic). Table 28 presents the planned and actual distribution of respondents.</w:t>
      </w:r>
    </w:p>
    <w:p>
      <w:pPr>
        <w:keepNext/>
        <w:widowControl/>
        <w:spacing w:before="160" w:after="80" w:line="276" w:lineRule="auto"/>
        <w:ind w:firstLine="0" w:left="0"/>
        <w:jc w:val="left"/>
      </w:pPr>
      <w:r>
        <w:rPr>
          <w:b/>
        </w:rPr>
        <w:t>Table 28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456"/>
        <w:gridCol w:w="1728"/>
        <w:gridCol w:w="1728"/>
        <w:gridCol w:w="1728"/>
      </w:tblGrid>
      <w:tr>
        <w:trPr>
          <w:cantSplit/>
          <w:tblHeader/>
        </w:trPr>
        <w:tc>
          <w:tcPr>
            <w:tcW w:type="dxa" w:w="3456"/>
            <w:shd w:val="clear" w:color="auto" w:fill="D9D9D9"/>
          </w:tcPr>
          <w:p>
            <w:pPr>
              <w:keepNext/>
              <w:widowControl/>
              <w:spacing w:before="0" w:after="0" w:line="240" w:lineRule="auto"/>
              <w:ind w:firstLine="0" w:left="0"/>
              <w:jc w:val="left"/>
            </w:pPr>
            <w:r>
              <w:rPr>
                <w:b/>
                <w:sz w:val="22"/>
              </w:rPr>
              <w:t>Respondent group</w:t>
            </w:r>
          </w:p>
        </w:tc>
        <w:tc>
          <w:tcPr>
            <w:tcW w:type="dxa" w:w="1728"/>
            <w:shd w:val="clear" w:color="auto" w:fill="D9D9D9"/>
          </w:tcPr>
          <w:p>
            <w:pPr>
              <w:keepNext/>
              <w:widowControl/>
              <w:spacing w:before="0" w:after="0" w:line="240" w:lineRule="auto"/>
              <w:ind w:firstLine="0" w:left="0"/>
              <w:jc w:val="left"/>
            </w:pPr>
            <w:r>
              <w:rPr>
                <w:b/>
                <w:sz w:val="22"/>
              </w:rPr>
              <w:t>Planned (n)</w:t>
            </w:r>
          </w:p>
        </w:tc>
        <w:tc>
          <w:tcPr>
            <w:tcW w:type="dxa" w:w="1728"/>
            <w:shd w:val="clear" w:color="auto" w:fill="D9D9D9"/>
          </w:tcPr>
          <w:p>
            <w:pPr>
              <w:keepNext/>
              <w:widowControl/>
              <w:spacing w:before="0" w:after="0" w:line="240" w:lineRule="auto"/>
              <w:ind w:firstLine="0" w:left="0"/>
              <w:jc w:val="left"/>
            </w:pPr>
            <w:r>
              <w:rPr>
                <w:b/>
                <w:sz w:val="22"/>
              </w:rPr>
              <w:t>Actual (n)</w:t>
            </w:r>
          </w:p>
        </w:tc>
        <w:tc>
          <w:tcPr>
            <w:tcW w:type="dxa" w:w="1728"/>
            <w:shd w:val="clear" w:color="auto" w:fill="D9D9D9"/>
          </w:tcPr>
          <w:p>
            <w:pPr>
              <w:keepNext/>
              <w:widowControl/>
              <w:spacing w:before="0" w:after="0" w:line="240" w:lineRule="auto"/>
              <w:ind w:firstLine="0" w:left="0"/>
              <w:jc w:val="left"/>
            </w:pPr>
            <w:r>
              <w:rPr>
                <w:b/>
                <w:sz w:val="22"/>
              </w:rPr>
              <w:t>Percentage</w:t>
            </w:r>
          </w:p>
        </w:tc>
      </w:tr>
      <w:tr>
        <w:trPr/>
        <w:tc>
          <w:tcPr>
            <w:tcW w:type="dxa" w:w="3456"/>
          </w:tcPr>
          <w:p>
            <w:pPr>
              <w:keepNext w:val="0"/>
              <w:widowControl/>
              <w:spacing w:before="0" w:after="0" w:line="240" w:lineRule="auto"/>
              <w:ind w:firstLine="0" w:left="0"/>
              <w:jc w:val="left"/>
            </w:pPr>
            <w:r>
              <w:rPr>
                <w:sz w:val="22"/>
              </w:rPr>
              <w:t>IT experts</w:t>
            </w:r>
          </w:p>
        </w:tc>
        <w:tc>
          <w:tcPr>
            <w:tcW w:type="dxa" w:w="1728"/>
          </w:tcPr>
          <w:p>
            <w:pPr>
              <w:keepNext w:val="0"/>
              <w:widowControl/>
              <w:spacing w:before="0" w:after="0" w:line="240" w:lineRule="auto"/>
              <w:ind w:firstLine="0" w:left="0"/>
              <w:jc w:val="left"/>
            </w:pPr>
            <w:r>
              <w:rPr>
                <w:sz w:val="22"/>
              </w:rPr>
              <w:t>30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Licensed dentists</w:t>
            </w:r>
          </w:p>
        </w:tc>
        <w:tc>
          <w:tcPr>
            <w:tcW w:type="dxa" w:w="1728"/>
          </w:tcPr>
          <w:p>
            <w:pPr>
              <w:keepNext w:val="0"/>
              <w:widowControl/>
              <w:spacing w:before="0" w:after="0" w:line="240" w:lineRule="auto"/>
              <w:ind w:firstLine="0" w:left="0"/>
              <w:jc w:val="left"/>
            </w:pPr>
            <w:r>
              <w:rPr>
                <w:sz w:val="22"/>
              </w:rPr>
              <w:t>10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Dental assistants</w:t>
            </w:r>
          </w:p>
        </w:tc>
        <w:tc>
          <w:tcPr>
            <w:tcW w:type="dxa" w:w="1728"/>
          </w:tcPr>
          <w:p>
            <w:pPr>
              <w:keepNext w:val="0"/>
              <w:widowControl/>
              <w:spacing w:before="0" w:after="0" w:line="240" w:lineRule="auto"/>
              <w:ind w:firstLine="0" w:left="0"/>
              <w:jc w:val="left"/>
            </w:pPr>
            <w:r>
              <w:rPr>
                <w:sz w:val="22"/>
              </w:rPr>
              <w:t>10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Receptionists</w:t>
            </w:r>
          </w:p>
        </w:tc>
        <w:tc>
          <w:tcPr>
            <w:tcW w:type="dxa" w:w="1728"/>
          </w:tcPr>
          <w:p>
            <w:pPr>
              <w:keepNext w:val="0"/>
              <w:widowControl/>
              <w:spacing w:before="0" w:after="0" w:line="240" w:lineRule="auto"/>
              <w:ind w:firstLine="0" w:left="0"/>
              <w:jc w:val="left"/>
            </w:pPr>
            <w:r>
              <w:rPr>
                <w:sz w:val="22"/>
              </w:rPr>
              <w:t>5</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Patients</w:t>
            </w:r>
          </w:p>
        </w:tc>
        <w:tc>
          <w:tcPr>
            <w:tcW w:type="dxa" w:w="1728"/>
          </w:tcPr>
          <w:p>
            <w:pPr>
              <w:keepNext w:val="0"/>
              <w:widowControl/>
              <w:spacing w:before="0" w:after="0" w:line="240" w:lineRule="auto"/>
              <w:ind w:firstLine="0" w:left="0"/>
              <w:jc w:val="left"/>
            </w:pPr>
            <w:r>
              <w:rPr>
                <w:sz w:val="22"/>
              </w:rPr>
              <w:t>45</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Total</w:t>
            </w:r>
          </w:p>
        </w:tc>
        <w:tc>
          <w:tcPr>
            <w:tcW w:type="dxa" w:w="1728"/>
          </w:tcPr>
          <w:p>
            <w:pPr>
              <w:keepNext w:val="0"/>
              <w:widowControl/>
              <w:spacing w:before="0" w:after="0" w:line="240" w:lineRule="auto"/>
              <w:ind w:firstLine="0" w:left="0"/>
              <w:jc w:val="left"/>
            </w:pPr>
            <w:r>
              <w:rPr>
                <w:sz w:val="22"/>
              </w:rPr>
              <w:t>100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sz w:val="22"/>
              </w:rPr>
              <w:t>100%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29 Demographic Profile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3311"/>
        <w:gridCol w:w="1440"/>
        <w:gridCol w:w="1440"/>
      </w:tblGrid>
      <w:tr>
        <w:trPr>
          <w:cantSplit/>
          <w:tblHeader/>
        </w:trPr>
        <w:tc>
          <w:tcPr>
            <w:tcW w:type="dxa" w:w="2448"/>
            <w:shd w:val="clear" w:color="auto" w:fill="D9D9D9"/>
          </w:tcPr>
          <w:p>
            <w:pPr>
              <w:keepNext/>
              <w:widowControl/>
              <w:spacing w:before="0" w:after="0" w:line="240" w:lineRule="auto"/>
              <w:ind w:firstLine="0" w:left="0"/>
              <w:jc w:val="left"/>
            </w:pPr>
            <w:r>
              <w:rPr>
                <w:b/>
                <w:sz w:val="22"/>
              </w:rPr>
              <w:t>Profile</w:t>
            </w:r>
          </w:p>
        </w:tc>
        <w:tc>
          <w:tcPr>
            <w:tcW w:type="dxa" w:w="3312"/>
            <w:shd w:val="clear" w:color="auto" w:fill="D9D9D9"/>
          </w:tcPr>
          <w:p>
            <w:pPr>
              <w:keepNext/>
              <w:widowControl/>
              <w:spacing w:before="0" w:after="0" w:line="240" w:lineRule="auto"/>
              <w:ind w:firstLine="0" w:left="0"/>
              <w:jc w:val="left"/>
            </w:pPr>
            <w:r>
              <w:rPr>
                <w:b/>
                <w:sz w:val="22"/>
              </w:rPr>
              <w:t>Category</w:t>
            </w:r>
          </w:p>
        </w:tc>
        <w:tc>
          <w:tcPr>
            <w:tcW w:type="dxa" w:w="1440"/>
            <w:shd w:val="clear" w:color="auto" w:fill="D9D9D9"/>
          </w:tcPr>
          <w:p>
            <w:pPr>
              <w:keepNext/>
              <w:widowControl/>
              <w:spacing w:before="0" w:after="0" w:line="240" w:lineRule="auto"/>
              <w:ind w:firstLine="0" w:left="0"/>
              <w:jc w:val="left"/>
            </w:pPr>
            <w:r>
              <w:rPr>
                <w:b/>
                <w:sz w:val="22"/>
              </w:rPr>
              <w:t>Frequency</w:t>
            </w:r>
          </w:p>
        </w:tc>
        <w:tc>
          <w:tcPr>
            <w:tcW w:type="dxa" w:w="1440"/>
            <w:shd w:val="clear" w:color="auto" w:fill="D9D9D9"/>
          </w:tcPr>
          <w:p>
            <w:pPr>
              <w:keepNext/>
              <w:widowControl/>
              <w:spacing w:before="0" w:after="0" w:line="240" w:lineRule="auto"/>
              <w:ind w:firstLine="0" w:left="0"/>
              <w:jc w:val="left"/>
            </w:pPr>
            <w:r>
              <w:rPr>
                <w:b/>
                <w:sz w:val="22"/>
              </w:rPr>
              <w:t>Percentage</w:t>
            </w:r>
          </w:p>
        </w:tc>
      </w:tr>
      <w:tr>
        <w:trPr/>
        <w:tc>
          <w:tcPr>
            <w:tcW w:type="dxa" w:w="2448"/>
          </w:tcPr>
          <w:p>
            <w:pPr>
              <w:keepNext w:val="0"/>
              <w:widowControl/>
              <w:spacing w:before="0" w:after="0" w:line="240" w:lineRule="auto"/>
              <w:ind w:firstLine="0" w:left="0"/>
              <w:jc w:val="left"/>
            </w:pPr>
            <w:r>
              <w:rPr>
                <w:sz w:val="22"/>
              </w:rPr>
              <w:t>Age</w:t>
            </w:r>
          </w:p>
        </w:tc>
        <w:tc>
          <w:tcPr>
            <w:tcW w:type="dxa" w:w="3312"/>
          </w:tcPr>
          <w:p>
            <w:pPr>
              <w:keepNext w:val="0"/>
              <w:widowControl/>
              <w:spacing w:before="0" w:after="0" w:line="240" w:lineRule="auto"/>
              <w:ind w:firstLine="0" w:left="0"/>
              <w:jc w:val="left"/>
            </w:pPr>
            <w:r>
              <w:rPr>
                <w:sz w:val="22"/>
              </w:rPr>
              <w:t>18–25 / 26–35 / 36–45 / 46–55 / 56 and above</w:t>
            </w:r>
          </w:p>
        </w:tc>
        <w:tc>
          <w:tcPr>
            <w:tcW w:type="dxa" w:w="1440"/>
          </w:tcPr>
          <w:p>
            <w:pPr>
              <w:keepNext w:val="0"/>
              <w:widowControl/>
              <w:spacing w:before="0" w:after="0" w:line="240" w:lineRule="auto"/>
              <w:ind w:firstLine="0" w:left="0"/>
              <w:jc w:val="left"/>
            </w:pPr>
            <w:r>
              <w:rPr>
                <w:b/>
                <w:sz w:val="22"/>
                <w:highlight w:val="yellow"/>
              </w:rPr>
              <w:t>[TBD]</w:t>
            </w:r>
          </w:p>
        </w:tc>
        <w:tc>
          <w:tcPr>
            <w:tcW w:type="dxa" w:w="1440"/>
          </w:tcPr>
          <w:p>
            <w:pPr>
              <w:keepNext w:val="0"/>
              <w:widowControl/>
              <w:spacing w:before="0" w:after="0" w:line="240" w:lineRule="auto"/>
              <w:ind w:firstLine="0" w:left="0"/>
              <w:jc w:val="left"/>
            </w:pPr>
            <w:r>
              <w:rPr>
                <w:b/>
                <w:sz w:val="22"/>
                <w:highlight w:val="yellow"/>
              </w:rPr>
              <w:t>[TBD]</w:t>
            </w:r>
          </w:p>
        </w:tc>
      </w:tr>
      <w:tr>
        <w:trPr/>
        <w:tc>
          <w:tcPr>
            <w:tcW w:type="dxa" w:w="2448"/>
          </w:tcPr>
          <w:p>
            <w:pPr>
              <w:keepNext w:val="0"/>
              <w:widowControl/>
              <w:spacing w:before="0" w:after="0" w:line="240" w:lineRule="auto"/>
              <w:ind w:firstLine="0" w:left="0"/>
              <w:jc w:val="left"/>
            </w:pPr>
            <w:r>
              <w:rPr>
                <w:sz w:val="22"/>
              </w:rPr>
              <w:t>Gender</w:t>
            </w:r>
          </w:p>
        </w:tc>
        <w:tc>
          <w:tcPr>
            <w:tcW w:type="dxa" w:w="3312"/>
          </w:tcPr>
          <w:p>
            <w:pPr>
              <w:keepNext w:val="0"/>
              <w:widowControl/>
              <w:spacing w:before="0" w:after="0" w:line="240" w:lineRule="auto"/>
              <w:ind w:firstLine="0" w:left="0"/>
              <w:jc w:val="left"/>
            </w:pPr>
            <w:r>
              <w:rPr>
                <w:sz w:val="22"/>
              </w:rPr>
              <w:t>Male / Female / Prefer not to say</w:t>
            </w:r>
          </w:p>
        </w:tc>
        <w:tc>
          <w:tcPr>
            <w:tcW w:type="dxa" w:w="1440"/>
          </w:tcPr>
          <w:p>
            <w:pPr>
              <w:keepNext w:val="0"/>
              <w:widowControl/>
              <w:spacing w:before="0" w:after="0" w:line="240" w:lineRule="auto"/>
              <w:ind w:firstLine="0" w:left="0"/>
              <w:jc w:val="left"/>
            </w:pPr>
            <w:r>
              <w:rPr>
                <w:b/>
                <w:sz w:val="22"/>
                <w:highlight w:val="yellow"/>
              </w:rPr>
              <w:t>[TBD]</w:t>
            </w:r>
          </w:p>
        </w:tc>
        <w:tc>
          <w:tcPr>
            <w:tcW w:type="dxa" w:w="1440"/>
          </w:tcPr>
          <w:p>
            <w:pPr>
              <w:keepNext w:val="0"/>
              <w:widowControl/>
              <w:spacing w:before="0" w:after="0" w:line="240" w:lineRule="auto"/>
              <w:ind w:firstLine="0" w:left="0"/>
              <w:jc w:val="left"/>
            </w:pPr>
            <w:r>
              <w:rPr>
                <w:b/>
                <w:sz w:val="22"/>
                <w:highlight w:val="yellow"/>
              </w:rPr>
              <w:t>[TBD]</w:t>
            </w:r>
          </w:p>
        </w:tc>
      </w:tr>
      <w:tr>
        <w:trPr/>
        <w:tc>
          <w:tcPr>
            <w:tcW w:type="dxa" w:w="2448"/>
          </w:tcPr>
          <w:p>
            <w:pPr>
              <w:keepNext w:val="0"/>
              <w:widowControl/>
              <w:spacing w:before="0" w:after="0" w:line="240" w:lineRule="auto"/>
              <w:ind w:firstLine="0" w:left="0"/>
              <w:jc w:val="left"/>
            </w:pPr>
            <w:r>
              <w:rPr>
                <w:sz w:val="22"/>
              </w:rPr>
              <w:t>Experience with digital health or IT systems</w:t>
            </w:r>
          </w:p>
        </w:tc>
        <w:tc>
          <w:tcPr>
            <w:tcW w:type="dxa" w:w="3312"/>
          </w:tcPr>
          <w:p>
            <w:pPr>
              <w:keepNext w:val="0"/>
              <w:widowControl/>
              <w:spacing w:before="0" w:after="0" w:line="240" w:lineRule="auto"/>
              <w:ind w:firstLine="0" w:left="0"/>
              <w:jc w:val="left"/>
            </w:pPr>
            <w:r>
              <w:rPr>
                <w:sz w:val="22"/>
              </w:rPr>
              <w:t>Less than 1 year / 1–3 years / 4–7 years / 8 years or more</w:t>
            </w:r>
          </w:p>
        </w:tc>
        <w:tc>
          <w:tcPr>
            <w:tcW w:type="dxa" w:w="1440"/>
          </w:tcPr>
          <w:p>
            <w:pPr>
              <w:keepNext w:val="0"/>
              <w:widowControl/>
              <w:spacing w:before="0" w:after="0" w:line="240" w:lineRule="auto"/>
              <w:ind w:firstLine="0" w:left="0"/>
              <w:jc w:val="left"/>
            </w:pPr>
            <w:r>
              <w:rPr>
                <w:b/>
                <w:sz w:val="22"/>
                <w:highlight w:val="yellow"/>
              </w:rPr>
              <w:t>[TBD]</w:t>
            </w:r>
          </w:p>
        </w:tc>
        <w:tc>
          <w:tcPr>
            <w:tcW w:type="dxa" w:w="1440"/>
          </w:tcPr>
          <w:p>
            <w:pPr>
              <w:keepNext w:val="0"/>
              <w:widowControl/>
              <w:spacing w:before="0" w:after="0" w:line="240" w:lineRule="auto"/>
              <w:ind w:firstLine="0" w:left="0"/>
              <w:jc w:val="left"/>
            </w:pPr>
            <w:r>
              <w:rPr>
                <w:b/>
                <w:sz w:val="22"/>
                <w:highlight w:val="yellow"/>
              </w:rPr>
              <w:t>[TBD]</w:t>
            </w:r>
          </w:p>
        </w:tc>
      </w:tr>
    </w:tbl>
    <w:p>
      <w:pPr>
        <w:keepNext w:val="0"/>
        <w:widowControl/>
        <w:spacing w:before="40" w:after="160" w:line="240" w:lineRule="auto"/>
        <w:ind w:firstLine="0" w:left="0"/>
        <w:jc w:val="left"/>
      </w:pPr>
      <w:r>
        <w:rPr>
          <w:i/>
          <w:sz w:val="20"/>
        </w:rPr>
        <w:t>Expand each row into one row per category when the responses are tallied.</w:t>
      </w:r>
    </w:p>
    <w:p>
      <w:pPr>
        <w:pStyle w:val="Heading3"/>
        <w:keepNext/>
        <w:widowControl/>
        <w:spacing w:before="120" w:after="80" w:line="360" w:lineRule="auto"/>
        <w:ind w:firstLine="0" w:left="0"/>
        <w:jc w:val="left"/>
      </w:pPr>
      <w:r>
        <w:rPr/>
        <w:t>4.3.2 Research Instrument</w:t>
      </w:r>
    </w:p>
    <w:p>
      <w:pPr>
        <w:keepNext w:val="0"/>
        <w:widowControl/>
        <w:spacing w:before="0" w:after="120" w:line="360" w:lineRule="auto"/>
        <w:ind w:firstLine="720" w:left="0"/>
        <w:jc w:val="both"/>
      </w:pPr>
      <w:r>
        <w:rPr/>
        <w:t>The instrument (Appendix A) contains 26 statements grouped under six quality characteristics of the ISO/IEC 25010 software product quality model, as listed in Table 30. Respondents rate each statement after using the system.</w:t>
      </w:r>
    </w:p>
    <w:p>
      <w:pPr>
        <w:keepNext/>
        <w:widowControl/>
        <w:spacing w:before="160" w:after="80" w:line="276" w:lineRule="auto"/>
        <w:ind w:firstLine="0" w:left="0"/>
        <w:jc w:val="left"/>
      </w:pPr>
      <w:r>
        <w:rPr>
          <w:b/>
        </w:rPr>
        <w:t>Table 30 ISO/IEC 25010 Characteristics Evaluated</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1296"/>
        <w:gridCol w:w="864"/>
        <w:gridCol w:w="3888"/>
      </w:tblGrid>
      <w:tr>
        <w:trPr>
          <w:cantSplit/>
          <w:tblHeader/>
        </w:trPr>
        <w:tc>
          <w:tcPr>
            <w:tcW w:type="dxa" w:w="2592"/>
            <w:shd w:val="clear" w:color="auto" w:fill="D9D9D9"/>
          </w:tcPr>
          <w:p>
            <w:pPr>
              <w:keepNext/>
              <w:widowControl/>
              <w:spacing w:before="0" w:after="0" w:line="240" w:lineRule="auto"/>
              <w:ind w:firstLine="0" w:left="0"/>
              <w:jc w:val="left"/>
            </w:pPr>
            <w:r>
              <w:rPr>
                <w:b/>
                <w:sz w:val="22"/>
              </w:rPr>
              <w:t>Characteristic</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3888"/>
            <w:shd w:val="clear" w:color="auto" w:fill="D9D9D9"/>
          </w:tcPr>
          <w:p>
            <w:pPr>
              <w:keepNext/>
              <w:widowControl/>
              <w:spacing w:before="0" w:after="0" w:line="240" w:lineRule="auto"/>
              <w:ind w:firstLine="0" w:left="0"/>
              <w:jc w:val="left"/>
            </w:pPr>
            <w:r>
              <w:rPr>
                <w:b/>
                <w:sz w:val="22"/>
              </w:rPr>
              <w:t>What is evaluated</w:t>
            </w:r>
          </w:p>
        </w:tc>
      </w:tr>
      <w:tr>
        <w:trPr/>
        <w:tc>
          <w:tcPr>
            <w:tcW w:type="dxa" w:w="2592"/>
          </w:tcPr>
          <w:p>
            <w:pPr>
              <w:keepNext w:val="0"/>
              <w:widowControl/>
              <w:spacing w:before="0" w:after="0" w:line="240" w:lineRule="auto"/>
              <w:ind w:firstLine="0" w:left="0"/>
              <w:jc w:val="left"/>
            </w:pPr>
            <w:r>
              <w:rPr>
                <w:sz w:val="22"/>
              </w:rPr>
              <w:t>Functional Suitability</w:t>
            </w:r>
          </w:p>
        </w:tc>
        <w:tc>
          <w:tcPr>
            <w:tcW w:type="dxa" w:w="1296"/>
          </w:tcPr>
          <w:p>
            <w:pPr>
              <w:keepNext w:val="0"/>
              <w:widowControl/>
              <w:spacing w:before="0" w:after="0" w:line="240" w:lineRule="auto"/>
              <w:ind w:firstLine="0" w:left="0"/>
              <w:jc w:val="left"/>
            </w:pPr>
            <w:r>
              <w:rPr>
                <w:sz w:val="22"/>
              </w:rPr>
              <w:t>FS1–FS5</w:t>
            </w:r>
          </w:p>
        </w:tc>
        <w:tc>
          <w:tcPr>
            <w:tcW w:type="dxa" w:w="864"/>
          </w:tcPr>
          <w:p>
            <w:pPr>
              <w:keepNext w:val="0"/>
              <w:widowControl/>
              <w:spacing w:before="0" w:after="0" w:line="240" w:lineRule="auto"/>
              <w:ind w:firstLine="0" w:left="0"/>
              <w:jc w:val="left"/>
            </w:pPr>
            <w:r>
              <w:rPr>
                <w:sz w:val="22"/>
              </w:rPr>
              <w:t>5</w:t>
            </w:r>
          </w:p>
        </w:tc>
        <w:tc>
          <w:tcPr>
            <w:tcW w:type="dxa" w:w="3888"/>
          </w:tcPr>
          <w:p>
            <w:pPr>
              <w:keepNext w:val="0"/>
              <w:widowControl/>
              <w:spacing w:before="0" w:after="0" w:line="240" w:lineRule="auto"/>
              <w:ind w:firstLine="0" w:left="0"/>
              <w:jc w:val="left"/>
            </w:pPr>
            <w:r>
              <w:rPr>
                <w:sz w:val="22"/>
              </w:rPr>
              <w:t>Patient records, AI detection, risk scoring, KNN plan, PDF report</w:t>
            </w:r>
          </w:p>
        </w:tc>
      </w:tr>
      <w:tr>
        <w:trPr/>
        <w:tc>
          <w:tcPr>
            <w:tcW w:type="dxa" w:w="2592"/>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Detection response time, page loading, resource use, concurrency</w:t>
            </w:r>
          </w:p>
        </w:tc>
      </w:tr>
      <w:tr>
        <w:trPr/>
        <w:tc>
          <w:tcPr>
            <w:tcW w:type="dxa" w:w="2592"/>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US1–US5</w:t>
            </w:r>
          </w:p>
        </w:tc>
        <w:tc>
          <w:tcPr>
            <w:tcW w:type="dxa" w:w="864"/>
          </w:tcPr>
          <w:p>
            <w:pPr>
              <w:keepNext w:val="0"/>
              <w:widowControl/>
              <w:spacing w:before="0" w:after="0" w:line="240" w:lineRule="auto"/>
              <w:ind w:firstLine="0" w:left="0"/>
              <w:jc w:val="left"/>
            </w:pPr>
            <w:r>
              <w:rPr>
                <w:sz w:val="22"/>
              </w:rPr>
              <w:t>5</w:t>
            </w:r>
          </w:p>
        </w:tc>
        <w:tc>
          <w:tcPr>
            <w:tcW w:type="dxa" w:w="3888"/>
          </w:tcPr>
          <w:p>
            <w:pPr>
              <w:keepNext w:val="0"/>
              <w:widowControl/>
              <w:spacing w:before="0" w:after="0" w:line="240" w:lineRule="auto"/>
              <w:ind w:firstLine="0" w:left="0"/>
              <w:jc w:val="left"/>
            </w:pPr>
            <w:r>
              <w:rPr>
                <w:sz w:val="22"/>
              </w:rPr>
              <w:t>Layout, result presentation, screening workflow, patient portal, legibility</w:t>
            </w:r>
          </w:p>
        </w:tc>
      </w:tr>
      <w:tr>
        <w:trPr/>
        <w:tc>
          <w:tcPr>
            <w:tcW w:type="dxa" w:w="2592"/>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Error handling, availability, data integrity, backups</w:t>
            </w:r>
          </w:p>
        </w:tc>
      </w:tr>
      <w:tr>
        <w:trPr/>
        <w:tc>
          <w:tcPr>
            <w:tcW w:type="dxa" w:w="2592"/>
          </w:tcPr>
          <w:p>
            <w:pPr>
              <w:keepNext w:val="0"/>
              <w:widowControl/>
              <w:spacing w:before="0" w:after="0" w:line="240" w:lineRule="auto"/>
              <w:ind w:firstLine="0" w:left="0"/>
              <w:jc w:val="left"/>
            </w:pPr>
            <w:r>
              <w:rPr>
                <w:sz w:val="22"/>
              </w:rPr>
              <w:t>Security and Privacy</w:t>
            </w:r>
          </w:p>
        </w:tc>
        <w:tc>
          <w:tcPr>
            <w:tcW w:type="dxa" w:w="1296"/>
          </w:tcPr>
          <w:p>
            <w:pPr>
              <w:keepNext w:val="0"/>
              <w:widowControl/>
              <w:spacing w:before="0" w:after="0" w:line="240" w:lineRule="auto"/>
              <w:ind w:firstLine="0" w:left="0"/>
              <w:jc w:val="left"/>
            </w:pPr>
            <w:r>
              <w:rPr>
                <w:sz w:val="22"/>
              </w:rPr>
              <w:t>SP1–SP4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Authentication and roles, password hashing, image protection, audit log</w:t>
            </w:r>
          </w:p>
        </w:tc>
      </w:tr>
      <w:tr>
        <w:trPr/>
        <w:tc>
          <w:tcPr>
            <w:tcW w:type="dxa" w:w="2592"/>
          </w:tcPr>
          <w:p>
            <w:pPr>
              <w:keepNext w:val="0"/>
              <w:widowControl/>
              <w:spacing w:before="0" w:after="0" w:line="240" w:lineRule="auto"/>
              <w:ind w:firstLine="0" w:left="0"/>
              <w:jc w:val="left"/>
            </w:pPr>
            <w:r>
              <w:rPr>
                <w:sz w:val="22"/>
              </w:rPr>
              <w:t>Compatibility and Portability</w:t>
            </w:r>
          </w:p>
        </w:tc>
        <w:tc>
          <w:tcPr>
            <w:tcW w:type="dxa" w:w="1296"/>
          </w:tcPr>
          <w:p>
            <w:pPr>
              <w:keepNext w:val="0"/>
              <w:widowControl/>
              <w:spacing w:before="0" w:after="0" w:line="240" w:lineRule="auto"/>
              <w:ind w:firstLine="0" w:left="0"/>
              <w:jc w:val="left"/>
            </w:pPr>
            <w:r>
              <w:rPr>
                <w:sz w:val="22"/>
              </w:rPr>
              <w:t>CP1–CP4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Browsers, screen sizes, cameras, deployment</w:t>
            </w:r>
          </w:p>
        </w:tc>
      </w:tr>
      <w:tr>
        <w:trPr/>
        <w:tc>
          <w:tcPr>
            <w:tcW w:type="dxa" w:w="2592"/>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26</w:t>
            </w:r>
          </w:p>
        </w:tc>
        <w:tc>
          <w:tcPr>
            <w:tcW w:type="dxa" w:w="3888"/>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4.3.3 Rating Scale and Interpretation</w:t>
      </w:r>
    </w:p>
    <w:p>
      <w:pPr>
        <w:keepNext w:val="0"/>
        <w:widowControl/>
        <w:spacing w:before="0" w:after="120" w:line="360" w:lineRule="auto"/>
        <w:ind w:firstLine="720" w:left="0"/>
        <w:jc w:val="both"/>
      </w:pPr>
      <w:r>
        <w:rPr/>
        <w:t>Each statement is rated on a five-point Likert scale. The weighted mean of each item and characteristic is interpreted using the ranges in Table 31.</w:t>
      </w:r>
    </w:p>
    <w:p>
      <w:pPr>
        <w:keepNext/>
        <w:widowControl/>
        <w:spacing w:before="160" w:after="80" w:line="276" w:lineRule="auto"/>
        <w:ind w:firstLine="0" w:left="0"/>
        <w:jc w:val="left"/>
      </w:pPr>
      <w:r>
        <w:rPr>
          <w:b/>
        </w:rPr>
        <w:t>Table 31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4.21 – 5.00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3.41 – 4.20</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2.61 – 3.40</w:t>
            </w:r>
          </w:p>
        </w:tc>
        <w:tc>
          <w:tcPr>
            <w:tcW w:type="dxa" w:w="2736"/>
          </w:tcPr>
          <w:p>
            <w:pPr>
              <w:keepNext w:val="0"/>
              <w:widowControl/>
              <w:spacing w:before="0" w:after="0" w:line="240" w:lineRule="auto"/>
              <w:ind w:firstLine="0" w:left="0"/>
              <w:jc w:val="left"/>
            </w:pPr>
            <w:r>
              <w:rPr>
                <w:sz w:val="22"/>
              </w:rPr>
              <w:t>Neutral</w:t>
            </w:r>
          </w:p>
        </w:tc>
        <w:tc>
          <w:tcPr>
            <w:tcW w:type="dxa" w:w="2736"/>
          </w:tcPr>
          <w:p>
            <w:pPr>
              <w:keepNext w:val="0"/>
              <w:widowControl/>
              <w:spacing w:before="0" w:after="0" w:line="240" w:lineRule="auto"/>
              <w:ind w:firstLine="0" w:left="0"/>
              <w:jc w:val="left"/>
            </w:pPr>
            <w:r>
              <w:rPr>
                <w:sz w:val="22"/>
              </w:rPr>
              <w:t>Moderately 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1.81 – 2.60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1.80</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4.3.4 Statistical Treatment</w:t>
      </w:r>
    </w:p>
    <w:p>
      <w:pPr>
        <w:keepNext w:val="0"/>
        <w:widowControl/>
        <w:spacing w:before="0" w:after="120" w:line="360" w:lineRule="auto"/>
        <w:ind w:firstLine="720" w:left="0"/>
        <w:jc w:val="both"/>
      </w:pPr>
      <w:r>
        <w:rPr/>
        <w:t>The weighted mean of each item is computed as WM = Σ(f × x) / N, where f is the number of respondents who chose a rating, x is the rating (1 to 5), and N is the number of respondents. The mean of a characteristic is the average of its item means, and the overall mean is the average of the six characteristic means. The standard deviation is reported to show how much the respondents agreed with one another.</w:t>
      </w:r>
    </w:p>
    <w:p>
      <w:pPr>
        <w:pStyle w:val="Heading3"/>
        <w:keepNext/>
        <w:widowControl/>
        <w:spacing w:before="120" w:after="80" w:line="360" w:lineRule="auto"/>
        <w:ind w:firstLine="0" w:left="0"/>
        <w:jc w:val="left"/>
      </w:pPr>
      <w:r>
        <w:rPr/>
        <w:t>4.3.5 Evaluation Results per Characteristic</w:t>
      </w:r>
    </w:p>
    <w:p>
      <w:pPr>
        <w:keepNext w:val="0"/>
        <w:widowControl/>
        <w:spacing w:before="0" w:after="120" w:line="360" w:lineRule="auto"/>
        <w:ind w:firstLine="720" w:left="0"/>
        <w:jc w:val="both"/>
      </w:pPr>
      <w:r>
        <w:rPr/>
        <w:t>Tables 32 to 37 present the weighted mean, standard deviation, and verbal interpretation of each statement, grouped by characteristic. The statements are abbreviated; the full wording is in Appendix A.</w:t>
      </w:r>
    </w:p>
    <w:p>
      <w:pPr>
        <w:keepNext/>
        <w:widowControl/>
        <w:spacing w:before="160" w:after="80" w:line="276" w:lineRule="auto"/>
        <w:ind w:firstLine="0" w:left="0"/>
        <w:jc w:val="left"/>
      </w:pPr>
      <w:r>
        <w:rPr>
          <w:b/>
        </w:rPr>
        <w:t>Table 32 Evaluation Results for Functional Suitability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FS1</w:t>
            </w:r>
          </w:p>
        </w:tc>
        <w:tc>
          <w:tcPr>
            <w:tcW w:type="dxa" w:w="3960"/>
          </w:tcPr>
          <w:p>
            <w:pPr>
              <w:keepNext w:val="0"/>
              <w:widowControl/>
              <w:spacing w:before="0" w:after="0" w:line="240" w:lineRule="auto"/>
              <w:ind w:firstLine="0" w:left="0"/>
              <w:jc w:val="left"/>
            </w:pPr>
            <w:r>
              <w:rPr>
                <w:sz w:val="20"/>
              </w:rPr>
              <w:t>The system accurately captures and maintains patient information and records.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FS2</w:t>
            </w:r>
          </w:p>
        </w:tc>
        <w:tc>
          <w:tcPr>
            <w:tcW w:type="dxa" w:w="3960"/>
          </w:tcPr>
          <w:p>
            <w:pPr>
              <w:keepNext w:val="0"/>
              <w:widowControl/>
              <w:spacing w:before="0" w:after="0" w:line="240" w:lineRule="auto"/>
              <w:ind w:firstLine="0" w:left="0"/>
              <w:jc w:val="left"/>
            </w:pPr>
            <w:r>
              <w:rPr>
                <w:sz w:val="20"/>
              </w:rPr>
              <w:t>The AI detection module correctly identifies and localizes dental conditions.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FS3</w:t>
            </w:r>
          </w:p>
        </w:tc>
        <w:tc>
          <w:tcPr>
            <w:tcW w:type="dxa" w:w="3960"/>
          </w:tcPr>
          <w:p>
            <w:pPr>
              <w:keepNext w:val="0"/>
              <w:widowControl/>
              <w:spacing w:before="0" w:after="0" w:line="240" w:lineRule="auto"/>
              <w:ind w:firstLine="0" w:left="0"/>
              <w:jc w:val="left"/>
            </w:pPr>
            <w:r>
              <w:rPr>
                <w:sz w:val="20"/>
              </w:rPr>
              <w:t>The risk score (0–100) and risk tier classification are appropriate to the findings.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FS4</w:t>
            </w:r>
          </w:p>
        </w:tc>
        <w:tc>
          <w:tcPr>
            <w:tcW w:type="dxa" w:w="3960"/>
          </w:tcPr>
          <w:p>
            <w:pPr>
              <w:keepNext w:val="0"/>
              <w:widowControl/>
              <w:spacing w:before="0" w:after="0" w:line="240" w:lineRule="auto"/>
              <w:ind w:firstLine="0" w:left="0"/>
              <w:jc w:val="left"/>
            </w:pPr>
            <w:r>
              <w:rPr>
                <w:sz w:val="20"/>
              </w:rPr>
              <w:t>The KNN recommendation feature generates relevant, condition-specific prevention plans.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FS5</w:t>
            </w:r>
          </w:p>
        </w:tc>
        <w:tc>
          <w:tcPr>
            <w:tcW w:type="dxa" w:w="3960"/>
          </w:tcPr>
          <w:p>
            <w:pPr>
              <w:keepNext w:val="0"/>
              <w:widowControl/>
              <w:spacing w:before="0" w:after="0" w:line="240" w:lineRule="auto"/>
              <w:ind w:firstLine="0" w:left="0"/>
              <w:jc w:val="left"/>
            </w:pPr>
            <w:r>
              <w:rPr>
                <w:sz w:val="20"/>
              </w:rPr>
              <w:t>The system generates complete PDF screening reports.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Functional Suitability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Functional Suitability results: the highest- and lowest-rated statements and what respondents' comments say about them.]</w:t>
      </w:r>
    </w:p>
    <w:p>
      <w:pPr>
        <w:keepNext/>
        <w:widowControl/>
        <w:spacing w:before="160" w:after="80" w:line="276" w:lineRule="auto"/>
        <w:ind w:firstLine="0" w:left="0"/>
        <w:jc w:val="left"/>
      </w:pPr>
      <w:r>
        <w:rPr>
          <w:b/>
        </w:rPr>
        <w:t>Table 33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PE1</w:t>
            </w:r>
          </w:p>
        </w:tc>
        <w:tc>
          <w:tcPr>
            <w:tcW w:type="dxa" w:w="3960"/>
          </w:tcPr>
          <w:p>
            <w:pPr>
              <w:keepNext w:val="0"/>
              <w:widowControl/>
              <w:spacing w:before="0" w:after="0" w:line="240" w:lineRule="auto"/>
              <w:ind w:firstLine="0" w:left="0"/>
              <w:jc w:val="left"/>
            </w:pPr>
            <w:r>
              <w:rPr>
                <w:sz w:val="20"/>
              </w:rPr>
              <w:t>The AI model returns detection results within an acceptable time.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PE2</w:t>
            </w:r>
          </w:p>
        </w:tc>
        <w:tc>
          <w:tcPr>
            <w:tcW w:type="dxa" w:w="3960"/>
          </w:tcPr>
          <w:p>
            <w:pPr>
              <w:keepNext w:val="0"/>
              <w:widowControl/>
              <w:spacing w:before="0" w:after="0" w:line="240" w:lineRule="auto"/>
              <w:ind w:firstLine="0" w:left="0"/>
              <w:jc w:val="left"/>
            </w:pPr>
            <w:r>
              <w:rPr>
                <w:sz w:val="20"/>
              </w:rPr>
              <w:t>Pages, patient lists, and images load quickly.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PE3</w:t>
            </w:r>
          </w:p>
        </w:tc>
        <w:tc>
          <w:tcPr>
            <w:tcW w:type="dxa" w:w="3960"/>
          </w:tcPr>
          <w:p>
            <w:pPr>
              <w:keepNext w:val="0"/>
              <w:widowControl/>
              <w:spacing w:before="0" w:after="0" w:line="240" w:lineRule="auto"/>
              <w:ind w:firstLine="0" w:left="0"/>
              <w:jc w:val="left"/>
            </w:pPr>
            <w:r>
              <w:rPr>
                <w:sz w:val="20"/>
              </w:rPr>
              <w:t>The system runs smoothly without using excessive computer resources.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PE4</w:t>
            </w:r>
          </w:p>
        </w:tc>
        <w:tc>
          <w:tcPr>
            <w:tcW w:type="dxa" w:w="3960"/>
          </w:tcPr>
          <w:p>
            <w:pPr>
              <w:keepNext w:val="0"/>
              <w:widowControl/>
              <w:spacing w:before="0" w:after="0" w:line="240" w:lineRule="auto"/>
              <w:ind w:firstLine="0" w:left="0"/>
              <w:jc w:val="left"/>
            </w:pPr>
            <w:r>
              <w:rPr>
                <w:sz w:val="20"/>
              </w:rPr>
              <w:t>Concurrent requests and database transactions are handled reliably.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Performance Efficiency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Performance Efficiency results: the highest- and lowest-rated statements and what respondents' comments say about them.]</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US1</w:t>
            </w:r>
          </w:p>
        </w:tc>
        <w:tc>
          <w:tcPr>
            <w:tcW w:type="dxa" w:w="3960"/>
          </w:tcPr>
          <w:p>
            <w:pPr>
              <w:keepNext w:val="0"/>
              <w:widowControl/>
              <w:spacing w:before="0" w:after="0" w:line="240" w:lineRule="auto"/>
              <w:ind w:firstLine="0" w:left="0"/>
              <w:jc w:val="left"/>
            </w:pPr>
            <w:r>
              <w:rPr>
                <w:sz w:val="20"/>
              </w:rPr>
              <w:t>The interface layout is well-structured, intuitive, and easy to navigate.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US2</w:t>
            </w:r>
          </w:p>
        </w:tc>
        <w:tc>
          <w:tcPr>
            <w:tcW w:type="dxa" w:w="3960"/>
          </w:tcPr>
          <w:p>
            <w:pPr>
              <w:keepNext w:val="0"/>
              <w:widowControl/>
              <w:spacing w:before="0" w:after="0" w:line="240" w:lineRule="auto"/>
              <w:ind w:firstLine="0" w:left="0"/>
              <w:jc w:val="left"/>
            </w:pPr>
            <w:r>
              <w:rPr>
                <w:sz w:val="20"/>
              </w:rPr>
              <w:t>Detection results, color-coded labels, and risk badges are easy to understand.</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US3</w:t>
            </w:r>
          </w:p>
        </w:tc>
        <w:tc>
          <w:tcPr>
            <w:tcW w:type="dxa" w:w="3960"/>
          </w:tcPr>
          <w:p>
            <w:pPr>
              <w:keepNext w:val="0"/>
              <w:widowControl/>
              <w:spacing w:before="0" w:after="0" w:line="240" w:lineRule="auto"/>
              <w:ind w:firstLine="0" w:left="0"/>
              <w:jc w:val="left"/>
            </w:pPr>
            <w:r>
              <w:rPr>
                <w:sz w:val="20"/>
              </w:rPr>
              <w:t>The three-step screening workflow (choose image, review and analyse, results) is easy to follow.</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US4</w:t>
            </w:r>
          </w:p>
        </w:tc>
        <w:tc>
          <w:tcPr>
            <w:tcW w:type="dxa" w:w="3960"/>
          </w:tcPr>
          <w:p>
            <w:pPr>
              <w:keepNext w:val="0"/>
              <w:widowControl/>
              <w:spacing w:before="0" w:after="0" w:line="240" w:lineRule="auto"/>
              <w:ind w:firstLine="0" w:left="0"/>
              <w:jc w:val="left"/>
            </w:pPr>
            <w:r>
              <w:rPr>
                <w:sz w:val="20"/>
              </w:rPr>
              <w:t>The patient portal is accessible and patient-friendly.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US5</w:t>
            </w:r>
          </w:p>
        </w:tc>
        <w:tc>
          <w:tcPr>
            <w:tcW w:type="dxa" w:w="3960"/>
          </w:tcPr>
          <w:p>
            <w:pPr>
              <w:keepNext w:val="0"/>
              <w:widowControl/>
              <w:spacing w:before="0" w:after="0" w:line="240" w:lineRule="auto"/>
              <w:ind w:firstLine="0" w:left="0"/>
              <w:jc w:val="left"/>
            </w:pPr>
            <w:r>
              <w:rPr>
                <w:sz w:val="20"/>
              </w:rPr>
              <w:t>Contrast, typography, and light and dark themes make the text easy to read.</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Usability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Usability results: the highest- and lowest-rated statements and what respondents' comments say about them.]</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RE1</w:t>
            </w:r>
          </w:p>
        </w:tc>
        <w:tc>
          <w:tcPr>
            <w:tcW w:type="dxa" w:w="3960"/>
          </w:tcPr>
          <w:p>
            <w:pPr>
              <w:keepNext w:val="0"/>
              <w:widowControl/>
              <w:spacing w:before="0" w:after="0" w:line="240" w:lineRule="auto"/>
              <w:ind w:firstLine="0" w:left="0"/>
              <w:jc w:val="left"/>
            </w:pPr>
            <w:r>
              <w:rPr>
                <w:sz w:val="20"/>
              </w:rPr>
              <w:t>The system handles invalid inputs and interruptions gracefully.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RE2</w:t>
            </w:r>
          </w:p>
        </w:tc>
        <w:tc>
          <w:tcPr>
            <w:tcW w:type="dxa" w:w="3960"/>
          </w:tcPr>
          <w:p>
            <w:pPr>
              <w:keepNext w:val="0"/>
              <w:widowControl/>
              <w:spacing w:before="0" w:after="0" w:line="240" w:lineRule="auto"/>
              <w:ind w:firstLine="0" w:left="0"/>
              <w:jc w:val="left"/>
            </w:pPr>
            <w:r>
              <w:rPr>
                <w:sz w:val="20"/>
              </w:rPr>
              <w:t>The system remains available for continuous use.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RE3</w:t>
            </w:r>
          </w:p>
        </w:tc>
        <w:tc>
          <w:tcPr>
            <w:tcW w:type="dxa" w:w="3960"/>
          </w:tcPr>
          <w:p>
            <w:pPr>
              <w:keepNext w:val="0"/>
              <w:widowControl/>
              <w:spacing w:before="0" w:after="0" w:line="240" w:lineRule="auto"/>
              <w:ind w:firstLine="0" w:left="0"/>
              <w:jc w:val="left"/>
            </w:pPr>
            <w:r>
              <w:rPr>
                <w:sz w:val="20"/>
              </w:rPr>
              <w:t>Data integrity is maintained across all records.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RE4</w:t>
            </w:r>
          </w:p>
        </w:tc>
        <w:tc>
          <w:tcPr>
            <w:tcW w:type="dxa" w:w="3960"/>
          </w:tcPr>
          <w:p>
            <w:pPr>
              <w:keepNext w:val="0"/>
              <w:widowControl/>
              <w:spacing w:before="0" w:after="0" w:line="240" w:lineRule="auto"/>
              <w:ind w:firstLine="0" w:left="0"/>
              <w:jc w:val="left"/>
            </w:pPr>
            <w:r>
              <w:rPr>
                <w:sz w:val="20"/>
              </w:rPr>
              <w:t>Database backups run reliably to protect patient data.</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Reliability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Reliability results: the highest- and lowest-rated statements and what respondents' comments say about them.]</w:t>
      </w:r>
    </w:p>
    <w:p>
      <w:pPr>
        <w:keepNext/>
        <w:widowControl/>
        <w:spacing w:before="160" w:after="80" w:line="276" w:lineRule="auto"/>
        <w:ind w:firstLine="0" w:left="0"/>
        <w:jc w:val="left"/>
      </w:pPr>
      <w:r>
        <w:rPr>
          <w:b/>
        </w:rPr>
        <w:t>Table 36 Evaluation Results for Security and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SP1</w:t>
            </w:r>
          </w:p>
        </w:tc>
        <w:tc>
          <w:tcPr>
            <w:tcW w:type="dxa" w:w="3960"/>
          </w:tcPr>
          <w:p>
            <w:pPr>
              <w:keepNext w:val="0"/>
              <w:widowControl/>
              <w:spacing w:before="0" w:after="0" w:line="240" w:lineRule="auto"/>
              <w:ind w:firstLine="0" w:left="0"/>
              <w:jc w:val="left"/>
            </w:pPr>
            <w:r>
              <w:rPr>
                <w:sz w:val="20"/>
              </w:rPr>
              <w:t>Authentication uses secure tokens and role-based access.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SP2</w:t>
            </w:r>
          </w:p>
        </w:tc>
        <w:tc>
          <w:tcPr>
            <w:tcW w:type="dxa" w:w="3960"/>
          </w:tcPr>
          <w:p>
            <w:pPr>
              <w:keepNext w:val="0"/>
              <w:widowControl/>
              <w:spacing w:before="0" w:after="0" w:line="240" w:lineRule="auto"/>
              <w:ind w:firstLine="0" w:left="0"/>
              <w:jc w:val="left"/>
            </w:pPr>
            <w:r>
              <w:rPr>
                <w:sz w:val="20"/>
              </w:rPr>
              <w:t>Passwords are stored using secure hashing.</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SP3</w:t>
            </w:r>
          </w:p>
        </w:tc>
        <w:tc>
          <w:tcPr>
            <w:tcW w:type="dxa" w:w="3960"/>
          </w:tcPr>
          <w:p>
            <w:pPr>
              <w:keepNext w:val="0"/>
              <w:widowControl/>
              <w:spacing w:before="0" w:after="0" w:line="240" w:lineRule="auto"/>
              <w:ind w:firstLine="0" w:left="0"/>
              <w:jc w:val="left"/>
            </w:pPr>
            <w:r>
              <w:rPr>
                <w:sz w:val="20"/>
              </w:rPr>
              <w:t>Patient photographs are protected from unauthorized access.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SP4</w:t>
            </w:r>
          </w:p>
        </w:tc>
        <w:tc>
          <w:tcPr>
            <w:tcW w:type="dxa" w:w="3960"/>
          </w:tcPr>
          <w:p>
            <w:pPr>
              <w:keepNext w:val="0"/>
              <w:widowControl/>
              <w:spacing w:before="0" w:after="0" w:line="240" w:lineRule="auto"/>
              <w:ind w:firstLine="0" w:left="0"/>
              <w:jc w:val="left"/>
            </w:pPr>
            <w:r>
              <w:rPr>
                <w:sz w:val="20"/>
              </w:rPr>
              <w:t>An audit trail records sensitive administrative and clinical actions.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Security and Privacy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Security and Privacy results: the highest- and lowest-rated statements and what respondents' comments say about them.]</w:t>
      </w:r>
    </w:p>
    <w:p>
      <w:pPr>
        <w:keepNext/>
        <w:widowControl/>
        <w:spacing w:before="160" w:after="80" w:line="276" w:lineRule="auto"/>
        <w:ind w:firstLine="0" w:left="0"/>
        <w:jc w:val="left"/>
      </w:pPr>
      <w:r>
        <w:rPr>
          <w:b/>
        </w:rPr>
        <w:t>Table 37 Evaluation Results for Compatibility and Portability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CP1</w:t>
            </w:r>
          </w:p>
        </w:tc>
        <w:tc>
          <w:tcPr>
            <w:tcW w:type="dxa" w:w="3960"/>
          </w:tcPr>
          <w:p>
            <w:pPr>
              <w:keepNext w:val="0"/>
              <w:widowControl/>
              <w:spacing w:before="0" w:after="0" w:line="240" w:lineRule="auto"/>
              <w:ind w:firstLine="0" w:left="0"/>
              <w:jc w:val="left"/>
            </w:pPr>
            <w:r>
              <w:rPr>
                <w:sz w:val="20"/>
              </w:rPr>
              <w:t>The application works consistently across mainstream browsers.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CP2</w:t>
            </w:r>
          </w:p>
        </w:tc>
        <w:tc>
          <w:tcPr>
            <w:tcW w:type="dxa" w:w="3960"/>
          </w:tcPr>
          <w:p>
            <w:pPr>
              <w:keepNext w:val="0"/>
              <w:widowControl/>
              <w:spacing w:before="0" w:after="0" w:line="240" w:lineRule="auto"/>
              <w:ind w:firstLine="0" w:left="0"/>
              <w:jc w:val="left"/>
            </w:pPr>
            <w:r>
              <w:rPr>
                <w:sz w:val="20"/>
              </w:rPr>
              <w:t>The system adapts to desktop, laptop, and tablet screens.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CP3</w:t>
            </w:r>
          </w:p>
        </w:tc>
        <w:tc>
          <w:tcPr>
            <w:tcW w:type="dxa" w:w="3960"/>
          </w:tcPr>
          <w:p>
            <w:pPr>
              <w:keepNext w:val="0"/>
              <w:widowControl/>
              <w:spacing w:before="0" w:after="0" w:line="240" w:lineRule="auto"/>
              <w:ind w:firstLine="0" w:left="0"/>
              <w:jc w:val="left"/>
            </w:pPr>
            <w:r>
              <w:rPr>
                <w:sz w:val="20"/>
              </w:rPr>
              <w:t>The system works with photographs taken with standard device cameras.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CP4</w:t>
            </w:r>
          </w:p>
        </w:tc>
        <w:tc>
          <w:tcPr>
            <w:tcW w:type="dxa" w:w="3960"/>
          </w:tcPr>
          <w:p>
            <w:pPr>
              <w:keepNext w:val="0"/>
              <w:widowControl/>
              <w:spacing w:before="0" w:after="0" w:line="240" w:lineRule="auto"/>
              <w:ind w:firstLine="0" w:left="0"/>
              <w:jc w:val="left"/>
            </w:pPr>
            <w:r>
              <w:rPr>
                <w:sz w:val="20"/>
              </w:rPr>
              <w:t>The system can be used from standard clinic computers without installing additional software.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Compatibility and Portability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Compatibility and Portability results: the highest- and lowest-rated statements and what respondents' comments say about them.]</w:t>
      </w:r>
    </w:p>
    <w:p>
      <w:pPr>
        <w:pStyle w:val="Heading3"/>
        <w:keepNext/>
        <w:widowControl/>
        <w:spacing w:before="120" w:after="80" w:line="360" w:lineRule="auto"/>
        <w:ind w:firstLine="0" w:left="0"/>
        <w:jc w:val="left"/>
      </w:pPr>
      <w:r>
        <w:rPr/>
        <w:t>4.3.6 Summary of the ISO/IEC 25010 Evaluation</w:t>
      </w:r>
    </w:p>
    <w:p>
      <w:pPr>
        <w:keepNext/>
        <w:widowControl/>
        <w:spacing w:before="160" w:after="80" w:line="276" w:lineRule="auto"/>
        <w:ind w:firstLine="0" w:left="0"/>
        <w:jc w:val="left"/>
      </w:pPr>
      <w:r>
        <w:rPr>
          <w:b/>
        </w:rPr>
        <w:t>Table 38 Summary of ISO/IEC 25010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665"/>
        <w:gridCol w:w="1262"/>
        <w:gridCol w:w="1262"/>
        <w:gridCol w:w="1262"/>
        <w:gridCol w:w="841"/>
        <w:gridCol w:w="1402"/>
      </w:tblGrid>
      <w:tr>
        <w:trPr>
          <w:cantSplit/>
          <w:tblHeader/>
        </w:trPr>
        <w:tc>
          <w:tcPr>
            <w:tcW w:type="dxa" w:w="2665"/>
            <w:shd w:val="clear" w:color="auto" w:fill="D9D9D9"/>
          </w:tcPr>
          <w:p>
            <w:pPr>
              <w:keepNext/>
              <w:widowControl/>
              <w:spacing w:before="0" w:after="0" w:line="240" w:lineRule="auto"/>
              <w:ind w:firstLine="0" w:left="0"/>
              <w:jc w:val="left"/>
            </w:pPr>
            <w:r>
              <w:rPr>
                <w:b/>
                <w:sz w:val="20"/>
              </w:rPr>
              <w:t>Characteristic</w:t>
            </w:r>
          </w:p>
        </w:tc>
        <w:tc>
          <w:tcPr>
            <w:tcW w:type="dxa" w:w="1263"/>
            <w:shd w:val="clear" w:color="auto" w:fill="D9D9D9"/>
          </w:tcPr>
          <w:p>
            <w:pPr>
              <w:keepNext/>
              <w:widowControl/>
              <w:spacing w:before="0" w:after="0" w:line="240" w:lineRule="auto"/>
              <w:ind w:firstLine="0" w:left="0"/>
              <w:jc w:val="left"/>
            </w:pPr>
            <w:r>
              <w:rPr>
                <w:b/>
                <w:sz w:val="20"/>
              </w:rPr>
              <w:t>IT experts (WM)</w:t>
            </w:r>
          </w:p>
        </w:tc>
        <w:tc>
          <w:tcPr>
            <w:tcW w:type="dxa" w:w="1263"/>
            <w:shd w:val="clear" w:color="auto" w:fill="D9D9D9"/>
          </w:tcPr>
          <w:p>
            <w:pPr>
              <w:keepNext/>
              <w:widowControl/>
              <w:spacing w:before="0" w:after="0" w:line="240" w:lineRule="auto"/>
              <w:ind w:firstLine="0" w:left="0"/>
              <w:jc w:val="left"/>
            </w:pPr>
            <w:r>
              <w:rPr>
                <w:b/>
                <w:sz w:val="20"/>
              </w:rPr>
              <w:t>Clinical users (WM)</w:t>
            </w:r>
          </w:p>
        </w:tc>
        <w:tc>
          <w:tcPr>
            <w:tcW w:type="dxa" w:w="1263"/>
            <w:shd w:val="clear" w:color="auto" w:fill="D9D9D9"/>
          </w:tcPr>
          <w:p>
            <w:pPr>
              <w:keepNext/>
              <w:widowControl/>
              <w:spacing w:before="0" w:after="0" w:line="240" w:lineRule="auto"/>
              <w:ind w:firstLine="0" w:left="0"/>
              <w:jc w:val="left"/>
            </w:pPr>
            <w:r>
              <w:rPr>
                <w:b/>
                <w:sz w:val="20"/>
              </w:rPr>
              <w:t>Overall WM</w:t>
            </w:r>
          </w:p>
        </w:tc>
        <w:tc>
          <w:tcPr>
            <w:tcW w:type="dxa" w:w="842"/>
            <w:shd w:val="clear" w:color="auto" w:fill="D9D9D9"/>
          </w:tcPr>
          <w:p>
            <w:pPr>
              <w:keepNext/>
              <w:widowControl/>
              <w:spacing w:before="0" w:after="0" w:line="240" w:lineRule="auto"/>
              <w:ind w:firstLine="0" w:left="0"/>
              <w:jc w:val="left"/>
            </w:pPr>
            <w:r>
              <w:rPr>
                <w:b/>
                <w:sz w:val="20"/>
              </w:rPr>
              <w:t>SD</w:t>
            </w:r>
          </w:p>
        </w:tc>
        <w:tc>
          <w:tcPr>
            <w:tcW w:type="dxa" w:w="1403"/>
            <w:shd w:val="clear" w:color="auto" w:fill="D9D9D9"/>
          </w:tcPr>
          <w:p>
            <w:pPr>
              <w:keepNext/>
              <w:widowControl/>
              <w:spacing w:before="0" w:after="0" w:line="240" w:lineRule="auto"/>
              <w:ind w:firstLine="0" w:left="0"/>
              <w:jc w:val="left"/>
            </w:pPr>
            <w:r>
              <w:rPr>
                <w:b/>
                <w:sz w:val="20"/>
              </w:rPr>
              <w:t>Interpretation</w:t>
            </w:r>
          </w:p>
        </w:tc>
      </w:tr>
      <w:tr>
        <w:trPr/>
        <w:tc>
          <w:tcPr>
            <w:tcW w:type="dxa" w:w="2665"/>
          </w:tcPr>
          <w:p>
            <w:pPr>
              <w:keepNext w:val="0"/>
              <w:widowControl/>
              <w:spacing w:before="0" w:after="0" w:line="240" w:lineRule="auto"/>
              <w:ind w:firstLine="0" w:left="0"/>
              <w:jc w:val="left"/>
            </w:pPr>
            <w:r>
              <w:rPr>
                <w:sz w:val="20"/>
              </w:rPr>
              <w:t>Functional Suitability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Performance Efficiency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Usability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Reliability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Security and Privacy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Compatibility and Portability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Overall</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discussion of the overall result: the overall weighted mean and its interpretation, the highest- and lowest-rated characteristics, any difference between IT experts and clinical users, and the main themes of the qualitative feedback in Section D of the instrument.]</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 xml:space="preserve">This section answers the fifth problem of the study by comparing Toothwise-assisted screening with the current manual process, using the dentist's findings as the reference. </w:t>
      </w:r>
      <w:r>
        <w:rPr>
          <w:b/>
          <w:highlight w:val="yellow"/>
        </w:rPr>
        <w:t>[TBD – this comparison had not been conducted when this chapter was drafted.]</w:t>
      </w:r>
    </w:p>
    <w:p>
      <w:pPr>
        <w:keepNext/>
        <w:widowControl/>
        <w:spacing w:before="160" w:after="80" w:line="276" w:lineRule="auto"/>
        <w:ind w:firstLine="0" w:left="0"/>
        <w:jc w:val="left"/>
      </w:pPr>
      <w:r>
        <w:rPr>
          <w:b/>
        </w:rPr>
        <w:t>Table 39 Screening Time: Manual Process versus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888"/>
        <w:gridCol w:w="1584"/>
        <w:gridCol w:w="1584"/>
        <w:gridCol w:w="1584"/>
      </w:tblGrid>
      <w:tr>
        <w:trPr>
          <w:cantSplit/>
          <w:tblHeader/>
        </w:trPr>
        <w:tc>
          <w:tcPr>
            <w:tcW w:type="dxa" w:w="3888"/>
            <w:shd w:val="clear" w:color="auto" w:fill="D9D9D9"/>
          </w:tcPr>
          <w:p>
            <w:pPr>
              <w:keepNext/>
              <w:widowControl/>
              <w:spacing w:before="0" w:after="0" w:line="240" w:lineRule="auto"/>
              <w:ind w:firstLine="0" w:left="0"/>
              <w:jc w:val="left"/>
            </w:pPr>
            <w:r>
              <w:rPr>
                <w:b/>
                <w:sz w:val="22"/>
              </w:rPr>
              <w:t>Measure</w:t>
            </w:r>
          </w:p>
        </w:tc>
        <w:tc>
          <w:tcPr>
            <w:tcW w:type="dxa" w:w="1584"/>
            <w:shd w:val="clear" w:color="auto" w:fill="D9D9D9"/>
          </w:tcPr>
          <w:p>
            <w:pPr>
              <w:keepNext/>
              <w:widowControl/>
              <w:spacing w:before="0" w:after="0" w:line="240" w:lineRule="auto"/>
              <w:ind w:firstLine="0" w:left="0"/>
              <w:jc w:val="left"/>
            </w:pPr>
            <w:r>
              <w:rPr>
                <w:b/>
                <w:sz w:val="22"/>
              </w:rPr>
              <w:t>Manual process</w:t>
            </w:r>
          </w:p>
        </w:tc>
        <w:tc>
          <w:tcPr>
            <w:tcW w:type="dxa" w:w="1584"/>
            <w:shd w:val="clear" w:color="auto" w:fill="D9D9D9"/>
          </w:tcPr>
          <w:p>
            <w:pPr>
              <w:keepNext/>
              <w:widowControl/>
              <w:spacing w:before="0" w:after="0" w:line="240" w:lineRule="auto"/>
              <w:ind w:firstLine="0" w:left="0"/>
              <w:jc w:val="left"/>
            </w:pPr>
            <w:r>
              <w:rPr>
                <w:b/>
                <w:sz w:val="22"/>
              </w:rPr>
              <w:t>With Toothwise</w:t>
            </w:r>
          </w:p>
        </w:tc>
        <w:tc>
          <w:tcPr>
            <w:tcW w:type="dxa" w:w="1584"/>
            <w:shd w:val="clear" w:color="auto" w:fill="D9D9D9"/>
          </w:tcPr>
          <w:p>
            <w:pPr>
              <w:keepNext/>
              <w:widowControl/>
              <w:spacing w:before="0" w:after="0" w:line="240" w:lineRule="auto"/>
              <w:ind w:firstLine="0" w:left="0"/>
              <w:jc w:val="left"/>
            </w:pPr>
            <w:r>
              <w:rPr>
                <w:b/>
                <w:sz w:val="22"/>
              </w:rPr>
              <w:t>Difference</w:t>
            </w:r>
          </w:p>
        </w:tc>
      </w:tr>
      <w:tr>
        <w:trPr/>
        <w:tc>
          <w:tcPr>
            <w:tcW w:type="dxa" w:w="3888"/>
          </w:tcPr>
          <w:p>
            <w:pPr>
              <w:keepNext w:val="0"/>
              <w:widowControl/>
              <w:spacing w:before="0" w:after="0" w:line="240" w:lineRule="auto"/>
              <w:ind w:firstLine="0" w:left="0"/>
              <w:jc w:val="left"/>
            </w:pPr>
            <w:r>
              <w:rPr>
                <w:sz w:val="22"/>
              </w:rPr>
              <w:t>Number of screenings timed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sz w:val="22"/>
              </w:rPr>
              <w:t>—</w:t>
            </w:r>
          </w:p>
        </w:tc>
      </w:tr>
      <w:tr>
        <w:trPr/>
        <w:tc>
          <w:tcPr>
            <w:tcW w:type="dxa" w:w="3888"/>
          </w:tcPr>
          <w:p>
            <w:pPr>
              <w:keepNext w:val="0"/>
              <w:widowControl/>
              <w:spacing w:before="0" w:after="0" w:line="240" w:lineRule="auto"/>
              <w:ind w:firstLine="0" w:left="0"/>
              <w:jc w:val="left"/>
            </w:pPr>
            <w:r>
              <w:rPr>
                <w:sz w:val="22"/>
              </w:rPr>
              <w:t>Mean screening and documentation time per patient</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r>
      <w:tr>
        <w:trPr/>
        <w:tc>
          <w:tcPr>
            <w:tcW w:type="dxa" w:w="3888"/>
          </w:tcPr>
          <w:p>
            <w:pPr>
              <w:keepNext w:val="0"/>
              <w:widowControl/>
              <w:spacing w:before="0" w:after="0" w:line="240" w:lineRule="auto"/>
              <w:ind w:firstLine="0" w:left="0"/>
              <w:jc w:val="left"/>
            </w:pPr>
            <w:r>
              <w:rPr>
                <w:sz w:val="22"/>
              </w:rPr>
              <w:t>Standard deviation</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sz w:val="22"/>
              </w:rPr>
              <w:t>—</w:t>
            </w:r>
          </w:p>
        </w:tc>
      </w:tr>
      <w:tr>
        <w:trPr/>
        <w:tc>
          <w:tcPr>
            <w:tcW w:type="dxa" w:w="3888"/>
          </w:tcPr>
          <w:p>
            <w:pPr>
              <w:keepNext w:val="0"/>
              <w:widowControl/>
              <w:spacing w:before="0" w:after="0" w:line="240" w:lineRule="auto"/>
              <w:ind w:firstLine="0" w:left="0"/>
              <w:jc w:val="left"/>
            </w:pPr>
            <w:r>
              <w:rPr>
                <w:sz w:val="22"/>
              </w:rPr>
              <w:t>Statistical test (e.g., paired t-test) and p-value</w:t>
            </w:r>
          </w:p>
        </w:tc>
        <w:tc>
          <w:tcPr>
            <w:tcW w:type="dxa" w:w="1584"/>
          </w:tcPr>
          <w:p>
            <w:pPr>
              <w:keepNext w:val="0"/>
              <w:widowControl/>
              <w:spacing w:before="0" w:after="0" w:line="240" w:lineRule="auto"/>
              <w:ind w:firstLine="0" w:left="0"/>
              <w:jc w:val="left"/>
            </w:pPr>
            <w:r>
              <w:rPr>
                <w:sz w:val="22"/>
              </w:rPr>
              <w:t>—</w:t>
            </w:r>
          </w:p>
        </w:tc>
        <w:tc>
          <w:tcPr>
            <w:tcW w:type="dxa" w:w="1584"/>
          </w:tcPr>
          <w:p>
            <w:pPr>
              <w:keepNext w:val="0"/>
              <w:widowControl/>
              <w:spacing w:before="0" w:after="0" w:line="240" w:lineRule="auto"/>
              <w:ind w:firstLine="0" w:left="0"/>
              <w:jc w:val="left"/>
            </w:pPr>
            <w:r>
              <w:rPr>
                <w:sz w:val="22"/>
              </w:rPr>
              <w:t>—</w:t>
            </w:r>
          </w:p>
        </w:tc>
        <w:tc>
          <w:tcPr>
            <w:tcW w:type="dxa" w:w="1584"/>
          </w:tcPr>
          <w:p>
            <w:pPr>
              <w:keepNext w:val="0"/>
              <w:widowControl/>
              <w:spacing w:before="0" w:after="0" w:line="240" w:lineRule="auto"/>
              <w:ind w:firstLine="0" w:left="0"/>
              <w:jc w:val="left"/>
            </w:pPr>
            <w:r>
              <w:rPr>
                <w:b/>
                <w:sz w:val="22"/>
                <w:highlight w:val="yellow"/>
              </w:rPr>
              <w:t>[TBD]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40 Screening Consistency against the Dentist's Findings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320"/>
        <w:gridCol w:w="2160"/>
        <w:gridCol w:w="2160"/>
      </w:tblGrid>
      <w:tr>
        <w:trPr>
          <w:cantSplit/>
          <w:tblHeader/>
        </w:trPr>
        <w:tc>
          <w:tcPr>
            <w:tcW w:type="dxa" w:w="4320"/>
            <w:shd w:val="clear" w:color="auto" w:fill="D9D9D9"/>
          </w:tcPr>
          <w:p>
            <w:pPr>
              <w:keepNext/>
              <w:widowControl/>
              <w:spacing w:before="0" w:after="0" w:line="240" w:lineRule="auto"/>
              <w:ind w:firstLine="0" w:left="0"/>
              <w:jc w:val="left"/>
            </w:pPr>
            <w:r>
              <w:rPr>
                <w:b/>
                <w:sz w:val="22"/>
              </w:rPr>
              <w:t>Measure</w:t>
            </w:r>
          </w:p>
        </w:tc>
        <w:tc>
          <w:tcPr>
            <w:tcW w:type="dxa" w:w="2160"/>
            <w:shd w:val="clear" w:color="auto" w:fill="D9D9D9"/>
          </w:tcPr>
          <w:p>
            <w:pPr>
              <w:keepNext/>
              <w:widowControl/>
              <w:spacing w:before="0" w:after="0" w:line="240" w:lineRule="auto"/>
              <w:ind w:firstLine="0" w:left="0"/>
              <w:jc w:val="left"/>
            </w:pPr>
            <w:r>
              <w:rPr>
                <w:b/>
                <w:sz w:val="22"/>
              </w:rPr>
              <w:t>Manual process</w:t>
            </w:r>
          </w:p>
        </w:tc>
        <w:tc>
          <w:tcPr>
            <w:tcW w:type="dxa" w:w="2160"/>
            <w:shd w:val="clear" w:color="auto" w:fill="D9D9D9"/>
          </w:tcPr>
          <w:p>
            <w:pPr>
              <w:keepNext/>
              <w:widowControl/>
              <w:spacing w:before="0" w:after="0" w:line="240" w:lineRule="auto"/>
              <w:ind w:firstLine="0" w:left="0"/>
              <w:jc w:val="left"/>
            </w:pPr>
            <w:r>
              <w:rPr>
                <w:b/>
                <w:sz w:val="22"/>
              </w:rPr>
              <w:t>With Toothwise</w:t>
            </w:r>
          </w:p>
        </w:tc>
      </w:tr>
      <w:tr>
        <w:trPr/>
        <w:tc>
          <w:tcPr>
            <w:tcW w:type="dxa" w:w="4320"/>
          </w:tcPr>
          <w:p>
            <w:pPr>
              <w:keepNext w:val="0"/>
              <w:widowControl/>
              <w:spacing w:before="0" w:after="0" w:line="240" w:lineRule="auto"/>
              <w:ind w:firstLine="0" w:left="0"/>
              <w:jc w:val="left"/>
            </w:pPr>
            <w:r>
              <w:rPr>
                <w:sz w:val="22"/>
              </w:rPr>
              <w:t>Agreement with the dentist's findings (%)</w:t>
            </w:r>
          </w:p>
        </w:tc>
        <w:tc>
          <w:tcPr>
            <w:tcW w:type="dxa" w:w="2160"/>
          </w:tcPr>
          <w:p>
            <w:pPr>
              <w:keepNext w:val="0"/>
              <w:widowControl/>
              <w:spacing w:before="0" w:after="0" w:line="240" w:lineRule="auto"/>
              <w:ind w:firstLine="0" w:left="0"/>
              <w:jc w:val="left"/>
            </w:pPr>
            <w:r>
              <w:rPr>
                <w:b/>
                <w:sz w:val="22"/>
                <w:highlight w:val="yellow"/>
              </w:rPr>
              <w:t>[TBD]</w:t>
            </w:r>
          </w:p>
        </w:tc>
        <w:tc>
          <w:tcPr>
            <w:tcW w:type="dxa" w:w="2160"/>
          </w:tcPr>
          <w:p>
            <w:pPr>
              <w:keepNext w:val="0"/>
              <w:widowControl/>
              <w:spacing w:before="0" w:after="0" w:line="240" w:lineRule="auto"/>
              <w:ind w:firstLine="0" w:left="0"/>
              <w:jc w:val="left"/>
            </w:pPr>
            <w:r>
              <w:rPr>
                <w:b/>
                <w:sz w:val="22"/>
                <w:highlight w:val="yellow"/>
              </w:rPr>
              <w:t>[TBD]</w:t>
            </w:r>
          </w:p>
        </w:tc>
      </w:tr>
      <w:tr>
        <w:trPr/>
        <w:tc>
          <w:tcPr>
            <w:tcW w:type="dxa" w:w="4320"/>
          </w:tcPr>
          <w:p>
            <w:pPr>
              <w:keepNext w:val="0"/>
              <w:widowControl/>
              <w:spacing w:before="0" w:after="0" w:line="240" w:lineRule="auto"/>
              <w:ind w:firstLine="0" w:left="0"/>
              <w:jc w:val="left"/>
            </w:pPr>
            <w:r>
              <w:rPr>
                <w:sz w:val="22"/>
              </w:rPr>
              <w:t>Cohen's kappa against the dentist's findings</w:t>
            </w:r>
          </w:p>
        </w:tc>
        <w:tc>
          <w:tcPr>
            <w:tcW w:type="dxa" w:w="2160"/>
          </w:tcPr>
          <w:p>
            <w:pPr>
              <w:keepNext w:val="0"/>
              <w:widowControl/>
              <w:spacing w:before="0" w:after="0" w:line="240" w:lineRule="auto"/>
              <w:ind w:firstLine="0" w:left="0"/>
              <w:jc w:val="left"/>
            </w:pPr>
            <w:r>
              <w:rPr>
                <w:b/>
                <w:sz w:val="22"/>
                <w:highlight w:val="yellow"/>
              </w:rPr>
              <w:t>[TBD]</w:t>
            </w:r>
          </w:p>
        </w:tc>
        <w:tc>
          <w:tcPr>
            <w:tcW w:type="dxa" w:w="2160"/>
          </w:tcPr>
          <w:p>
            <w:pPr>
              <w:keepNext w:val="0"/>
              <w:widowControl/>
              <w:spacing w:before="0" w:after="0" w:line="240" w:lineRule="auto"/>
              <w:ind w:firstLine="0" w:left="0"/>
              <w:jc w:val="left"/>
            </w:pPr>
            <w:r>
              <w:rPr>
                <w:b/>
                <w:sz w:val="22"/>
                <w:highlight w:val="yellow"/>
              </w:rPr>
              <w:t>[TBD]</w:t>
            </w:r>
          </w:p>
        </w:tc>
      </w:tr>
      <w:tr>
        <w:trPr/>
        <w:tc>
          <w:tcPr>
            <w:tcW w:type="dxa" w:w="4320"/>
          </w:tcPr>
          <w:p>
            <w:pPr>
              <w:keepNext w:val="0"/>
              <w:widowControl/>
              <w:spacing w:before="0" w:after="0" w:line="240" w:lineRule="auto"/>
              <w:ind w:firstLine="0" w:left="0"/>
              <w:jc w:val="left"/>
            </w:pPr>
            <w:r>
              <w:rPr>
                <w:sz w:val="22"/>
              </w:rPr>
              <w:t>Findings missed (false negatives)</w:t>
            </w:r>
          </w:p>
        </w:tc>
        <w:tc>
          <w:tcPr>
            <w:tcW w:type="dxa" w:w="2160"/>
          </w:tcPr>
          <w:p>
            <w:pPr>
              <w:keepNext w:val="0"/>
              <w:widowControl/>
              <w:spacing w:before="0" w:after="0" w:line="240" w:lineRule="auto"/>
              <w:ind w:firstLine="0" w:left="0"/>
              <w:jc w:val="left"/>
            </w:pPr>
            <w:r>
              <w:rPr>
                <w:b/>
                <w:sz w:val="22"/>
                <w:highlight w:val="yellow"/>
              </w:rPr>
              <w:t>[TBD]</w:t>
            </w:r>
          </w:p>
        </w:tc>
        <w:tc>
          <w:tcPr>
            <w:tcW w:type="dxa" w:w="2160"/>
          </w:tcPr>
          <w:p>
            <w:pPr>
              <w:keepNext w:val="0"/>
              <w:widowControl/>
              <w:spacing w:before="0" w:after="0" w:line="240" w:lineRule="auto"/>
              <w:ind w:firstLine="0" w:left="0"/>
              <w:jc w:val="left"/>
            </w:pPr>
            <w:r>
              <w:rPr>
                <w:b/>
                <w:sz w:val="22"/>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interpretation of the time and consistency results.]</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