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Protocolo de Calibração da Camada Epistemológica</w:t>
      </w:r>
    </w:p>
    <w:p>
      <w:pPr>
        <w:pStyle w:val="BodyText"/>
      </w:pPr>
      <w:r>
        <w:rPr>
          <w:bCs/>
          <w:b/>
        </w:rPr>
        <w:t xml:space="preserve">Verificação de viabilidade da tipologia ternária multi-rótulo (EE · IC · DN)</w:t>
      </w:r>
    </w:p>
    <w:p>
      <w:pPr>
        <w:pStyle w:val="BodyText"/>
      </w:pPr>
      <w:r>
        <w:rPr>
          <w:iCs/>
          <w:i/>
        </w:rPr>
        <w:t xml:space="preserve">Fernando Leite · Pós-doutorado FAPESP, FGV EAESP · Supervisão: Profa. Maria Alexandra Viegas Cortez da Cunha</w:t>
      </w:r>
    </w:p>
    <w:p>
      <w:pPr>
        <w:pStyle w:val="BodyText"/>
      </w:pPr>
      <w:r>
        <w:t xml:space="preserve">28 de junho de 2026</w:t>
      </w:r>
    </w:p>
    <w:bookmarkStart w:id="20" w:name="contexto-e-função-deste-documento"/>
    <w:p>
      <w:pPr>
        <w:pStyle w:val="Heading2"/>
      </w:pPr>
      <w:r>
        <w:t xml:space="preserve">§0 Contexto e função deste documento</w:t>
      </w:r>
    </w:p>
    <w:p>
      <w:pPr>
        <w:pStyle w:val="FirstParagraph"/>
      </w:pPr>
      <w:r>
        <w:t xml:space="preserve">A tipologia epistemológica do projeto foi decidida em bases conceituais: três categorias positivas, empírico-explicativa (EE), interpretativo-compreensiva (IC) e doutrinário-normativa (DN), anotadas em esquema multi-rótulo, sem exclusividade mútua. DN deixa de ser categoria derivada por exclusão e passa a ser anotada diretamente, em pé de igualdade com EE e IC. A justificativa teórica está registrada no Codebook (DA-08) e no Addendum 1 ao pré-registro OSF, e replica o tratamento positivo das três posturas em Orlikowski &amp; Baroudi (1991) e Chen &amp; Hirschheim (2004).</w:t>
      </w:r>
    </w:p>
    <w:p>
      <w:pPr>
        <w:pStyle w:val="BodyText"/>
      </w:pPr>
      <w:r>
        <w:t xml:space="preserve">Essa decisão dispensa o piloto formal de comparação tipológica (documento</w:t>
      </w:r>
      <w:r>
        <w:t xml:space="preserve"> </w:t>
      </w:r>
      <w:r>
        <w:rPr>
          <w:iCs/>
          <w:i/>
        </w:rPr>
        <w:t xml:space="preserve">Tipologia Epistemológica: Protocolo do Piloto de Decisão</w:t>
      </w:r>
      <w:r>
        <w:t xml:space="preserve">, agora arquivado como registro histórico). O que ela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dispensa é uma verificação empírica mínima antes da anotação completa: saber se DN, como categoria positiva, é confiavelmente identificável por dois anotadores independentes. Sem essa verificação, um eventual colapso de confiabilidade de DN só apareceria depois de centenas de artigos anotados.</w:t>
      </w:r>
    </w:p>
    <w:p>
      <w:pPr>
        <w:pStyle w:val="BodyText"/>
      </w:pPr>
      <w:r>
        <w:t xml:space="preserve">Este protocolo descreve essa verificação: uma sessão de calibração com anotação independente de uma pequena amostra, cálculo de α por categoria com foco em DN, e um critério explícito de entrada na anotação completa.</w:t>
      </w:r>
    </w:p>
    <w:p>
      <w:pPr>
        <w:pStyle w:val="BodyText"/>
      </w:pPr>
      <w:r>
        <w:rPr>
          <w:bCs/>
          <w:b/>
        </w:rPr>
        <w:t xml:space="preserve">DELIMITAÇÃO.</w:t>
      </w:r>
      <w:r>
        <w:t xml:space="preserve"> </w:t>
      </w:r>
      <w:r>
        <w:t xml:space="preserve">A calibração é diagnóstica, não confirmatória. Seu α não é o gate de aceitação do Gold Standard (α ≥ 0,55 para a camada epi, registrado no pré-registro OSF e na DA-06 do Codebook). É um piso de viabilidade: abaixo dele, refina-se o guia e recalibra-se antes de prosseguir.</w:t>
      </w:r>
    </w:p>
    <w:bookmarkEnd w:id="20"/>
    <w:bookmarkStart w:id="21" w:name="objetivo"/>
    <w:p>
      <w:pPr>
        <w:pStyle w:val="Heading2"/>
      </w:pPr>
      <w:r>
        <w:t xml:space="preserve">§1 Objetivo</w:t>
      </w:r>
    </w:p>
    <w:p>
      <w:pPr>
        <w:pStyle w:val="FirstParagraph"/>
      </w:pPr>
      <w:r>
        <w:t xml:space="preserve">Responder, antes da anotação completa, a uma única pergunta operacional:</w:t>
      </w:r>
    </w:p>
    <w:p>
      <w:pPr>
        <w:pStyle w:val="BodyText"/>
      </w:pPr>
      <w:r>
        <w:t xml:space="preserve">DN, anotada como categoria positiva, é identificável por anotadores independentes com concordância suficiente para sustentar a anotação completa?</w:t>
      </w:r>
    </w:p>
    <w:p>
      <w:pPr>
        <w:pStyle w:val="BodyText"/>
      </w:pPr>
      <w:r>
        <w:t xml:space="preserve">Subordinadas a ela, três verificações secundárias: (a) a distribuição preliminar dos rótulos multi-rótulo, incluindo a frequência de combinações (EE+IC, EE+DN, IC+DN); (b) a frequência de casos sem nenhum dos três marcadores (all-zero), que sinalizam categorias fora do esquema; (c) os pontos de fricção concretos entre categorias, para refinar o guia antes da escala.</w:t>
      </w:r>
    </w:p>
    <w:bookmarkEnd w:id="21"/>
    <w:bookmarkStart w:id="22" w:name="desenho"/>
    <w:p>
      <w:pPr>
        <w:pStyle w:val="Heading2"/>
      </w:pPr>
      <w:r>
        <w:t xml:space="preserve">§2 Desenho</w:t>
      </w:r>
    </w:p>
    <w:p>
      <w:pPr>
        <w:pStyle w:val="FirstParagraph"/>
      </w:pPr>
      <w:r>
        <w:t xml:space="preserve">A calibração combina anotação independente e discussão conjunta, nesta ordem: a independência precede a discussão, ou o α não tem valor.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Amostra:</w:t>
      </w:r>
      <w:r>
        <w:t xml:space="preserve"> </w:t>
      </w:r>
      <w:r>
        <w:t xml:space="preserve">20 a 30 artigos sorteados da subamostra representativa do corpus, estratificados por cluster disciplinar. Sem sobreamostragem de periódicos jurídicos, pois a calibração não estima prevalência, e enriquecer DN artificialmente mascararia o problema de confiabilidade que ela quer detectar. Se, após a primeira rodada, houver menos de cerca de cinco casos positivos de DN, acrescentam-se 5 a 10 artigos de estratos onde DN se concentra, analisados à parte, apenas para dar substrato ao α_DN.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Anotadores:</w:t>
      </w:r>
      <w:r>
        <w:t xml:space="preserve"> </w:t>
      </w:r>
      <w:r>
        <w:t xml:space="preserve">os dois anotadores humanos do projeto (ann1, ann2), independentemente. Claude não participa como anotador: ter coautorado o codebook cria circularidade, e o coeficiente mediria consistência humano-LLM, não confiabilidade inter-humana.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Sessão separada de cluster:</w:t>
      </w:r>
      <w:r>
        <w:t xml:space="preserve"> </w:t>
      </w:r>
      <w:r>
        <w:t xml:space="preserve">a calibração da camada epi ocorre em sessão distinta da de cluster, com intervalo mínimo de 24 horas (regra R4 do Protocolo de Anotação), para preservar a ortogonalidade dos eixos.</w:t>
      </w:r>
    </w:p>
    <w:bookmarkEnd w:id="22"/>
    <w:bookmarkStart w:id="23" w:name="esquema-de-anotação"/>
    <w:p>
      <w:pPr>
        <w:pStyle w:val="Heading2"/>
      </w:pPr>
      <w:r>
        <w:t xml:space="preserve">§3 Esquema de anotação</w:t>
      </w:r>
    </w:p>
    <w:p>
      <w:pPr>
        <w:pStyle w:val="FirstParagraph"/>
      </w:pPr>
      <w:r>
        <w:t xml:space="preserve">Cada artigo recebe três marcadores binários independentes. Qualquer combinação é válida. Os nomes de coluna seguem o esquema canônico do Codebook e a planilha de calibração.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registra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artigo (já preenchido)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ann1 / ann2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anotador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epi_positivista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postura empírico-explicativa (positivista)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epi_interpretativa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postura interpretativo-compreensiva (interpretativa)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epi_doutrinario_normativa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postura doutrinário-normativa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confiança global na codificação (1 = baixa, 3 = 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breve; obrigatória quando confianca = 1</w:t>
            </w:r>
          </w:p>
        </w:tc>
      </w:tr>
    </w:tbl>
    <w:p>
      <w:pPr>
        <w:pStyle w:val="BodyText"/>
      </w:pPr>
      <w:r>
        <w:t xml:space="preserve">Regra do all-zero: se os três marcadores ficarem em 0, o artigo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DN por default. Registre confianca = 1, descreva em notas por que nenhuma categoria se aplica, e leve o caso à discussão conjunta. Casos all-zero recorrentes indicam categoria epistemológica fora do esquema (teoria crítica pura, modelagem formal, revisão sistemática meta-científica) e são achado relevante, não ruído.</w:t>
      </w:r>
    </w:p>
    <w:p>
      <w:pPr>
        <w:pStyle w:val="BodyText"/>
      </w:pPr>
      <w:r>
        <w:t xml:space="preserve">As definições operacionais das três categorias, a regra de ouro e as heurísticas de leitura estão no</w:t>
      </w:r>
      <w:r>
        <w:t xml:space="preserve"> </w:t>
      </w:r>
      <w:r>
        <w:rPr>
          <w:iCs/>
          <w:i/>
        </w:rPr>
        <w:t xml:space="preserve">Guia de Anotação de Posturas</w:t>
      </w:r>
      <w:r>
        <w:t xml:space="preserve"> </w:t>
      </w:r>
      <w:r>
        <w:t xml:space="preserve">v4, instrumento de referência durante a calibração. O critério de DN é disjuntivo: a faceta doutrinal (dn:modo) ou a faceta normativo-prescritiva (dn:norm) basta, isoladamente, para epi_doutrinario_normativa = 1 (registrado no Addendum 2; detalhado no Guia).</w:t>
      </w:r>
    </w:p>
    <w:bookmarkEnd w:id="23"/>
    <w:bookmarkStart w:id="24" w:name="procedimento"/>
    <w:p>
      <w:pPr>
        <w:pStyle w:val="Heading2"/>
      </w:pPr>
      <w:r>
        <w:t xml:space="preserve">§4 Procedimento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Sorteio.</w:t>
      </w:r>
      <w:r>
        <w:t xml:space="preserve"> </w:t>
      </w:r>
      <w:r>
        <w:t xml:space="preserve">Gerar a amostra de calibração com semente fixa (42), registrando os doc_id selecionados.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Anotação independente.</w:t>
      </w:r>
      <w:r>
        <w:t xml:space="preserve"> </w:t>
      </w:r>
      <w:r>
        <w:t xml:space="preserve">Cada anotador preenche sua planilha sozinho, sem consultar o rótulo de cluster nem discutir os itens com o outro anotador. Exporta como calib_ann1.csv / calib_ann2.csv.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Cálculo de α.</w:t>
      </w:r>
      <w:r>
        <w:t xml:space="preserve"> </w:t>
      </w:r>
      <w:r>
        <w:t xml:space="preserve">Antes de qualquer discussão, calcular α de Krippendorff por categoria: α_EE, α_IC e α_DN, tratando cada marcador como variável binária. α_DN é a métrica de decisão.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Discussão conjunta.</w:t>
      </w:r>
      <w:r>
        <w:t xml:space="preserve"> </w:t>
      </w:r>
      <w:r>
        <w:t xml:space="preserve">Anotadores e coordenador comparam as planilhas, percorrem cada divergência e definem a linha de consenso. Cada divergência discutida alimenta o refinamento do guia (novo falso amigo, nova regra de fronteira).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Decisão.</w:t>
      </w:r>
      <w:r>
        <w:t xml:space="preserve"> </w:t>
      </w:r>
      <w:r>
        <w:t xml:space="preserve">Aplicar o critério de entrada (§6).</w:t>
      </w:r>
    </w:p>
    <w:bookmarkEnd w:id="24"/>
    <w:bookmarkStart w:id="25" w:name="métricas"/>
    <w:p>
      <w:pPr>
        <w:pStyle w:val="Heading2"/>
      </w:pPr>
      <w:r>
        <w:t xml:space="preserve">§5 Métricas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α_DN (decisão):</w:t>
      </w:r>
      <w:r>
        <w:t xml:space="preserve"> </w:t>
      </w:r>
      <w:r>
        <w:t xml:space="preserve">α de Krippendorff sobre o marcador epi_doutrinario_normativa, com intervalo de confiança quando o n permitir. Calculado com o pacote irrCAC (canônico, DA-06). Reporta-se também o AC1 de Gwet ao lado de α, como diagnóstico do paradoxo de prevalência do kappa na baixa base de DN.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α_EE, α_IC (diagnóstico):</w:t>
      </w:r>
      <w:r>
        <w:t xml:space="preserve"> </w:t>
      </w:r>
      <w:r>
        <w:t xml:space="preserve">mesma conta para os marcadores epi_positivista e epi_interpretativa; servem para localizar onde a confiabilidade se concentra ou se perde.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Distribuição de rótulos:</w:t>
      </w:r>
      <w:r>
        <w:t xml:space="preserve"> </w:t>
      </w:r>
      <w:r>
        <w:t xml:space="preserve">contagem de cada padrão (EE só, IC só, DN só, EE+IC, EE+DN, IC+DN, EE+IC+DN, all-zero), sobre a amostra de calibração.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Taxa de all-zero:</w:t>
      </w:r>
      <w:r>
        <w:t xml:space="preserve"> </w:t>
      </w:r>
      <w:r>
        <w:t xml:space="preserve">proporção de artigos sem nenhum marcador, com inspeção qualitativa dos casos.</w:t>
      </w:r>
    </w:p>
    <w:p>
      <w:pPr>
        <w:pStyle w:val="FirstParagraph"/>
      </w:pPr>
      <w:r>
        <w:rPr>
          <w:bCs/>
          <w:b/>
        </w:rPr>
        <w:t xml:space="preserve">NOTA.</w:t>
      </w:r>
      <w:r>
        <w:t xml:space="preserve"> </w:t>
      </w:r>
      <w:r>
        <w:t xml:space="preserve">Com n entre 20 e 30, α é instável e seu intervalo de confiança é largo. O número orienta a decisão de prosseguir ou refinar; não é estimativa de prevalência nem substitui o α do Gold Standard completo.</w:t>
      </w:r>
    </w:p>
    <w:bookmarkEnd w:id="25"/>
    <w:bookmarkStart w:id="26" w:name="critério-de-entrada-na-anotação-completa"/>
    <w:p>
      <w:pPr>
        <w:pStyle w:val="Heading2"/>
      </w:pPr>
      <w:r>
        <w:t xml:space="preserve">§6 Critério de entrada na anotação completa</w:t>
      </w:r>
    </w:p>
    <w:p>
      <w:pPr>
        <w:pStyle w:val="FirstParagraph"/>
      </w:pPr>
      <w:r>
        <w:t xml:space="preserve">Fixado antes de observar os resultados, por integridade. Os limiares são calibráveis com a supervisora, mas registrados a priori.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α_DN ≥ 0,667 e all-zero raro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 identificável; esquema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Prosseguir para a anotação completa do Gold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α_DN &lt; 0,667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 difuso para os anotadores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Refinar o guia (definições, fronteiras, falsos amigos) e recalibrar com nova amostra antes de prosseguir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all-zero frequente (≳ 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categoria(s) epistemológica(s) fora do esquema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Discutir com a supervisora a inclusão de uma quarta categoria ou um código outro, e documentar no Codebook antes de prosseguir</w:t>
            </w:r>
          </w:p>
        </w:tc>
      </w:tr>
    </w:tbl>
    <w:p>
      <w:pPr>
        <w:pStyle w:val="BodyText"/>
      </w:pPr>
      <w:r>
        <w:t xml:space="preserve">O piso α_DN ≥ 0,667 é deliberadamente mais exigente que o gate de aceitação do Gold Standard (α ≥ 0,55). A inversão é intencional. A calibração é um filtro inicial e barato, sobre 20 a 30 artigos, voltado ao desenvolvimento do instrumento: o piso alto impede que o guia avance para a anotação completa enquanto o critério de DN, a categoria mais sujeita a deriva entre anotadores, não estiver sendo aplicado de forma consistente. O gate do Gold Standard (0,55) é mais permissivo porque a concordância tende a cair à medida que a amostra cresce e casos de fronteira mais difíceis entram, e é o limiar de aceitação pré-registrado. Filtro inicial estrito seguido de gate de aceitação mais permissivo é controle de qualidade em dois estágios. O valor 0,667 corresponde ao limiar de Krippendorff para conclusões tentativas. Este limiar está registrado no Addendum 2 ao pré-registro OSF e</w:t>
      </w:r>
      <w:r>
        <w:t xml:space="preserve"> </w:t>
      </w:r>
      <w:r>
        <w:rPr>
          <w:bCs/>
          <w:b/>
        </w:rPr>
        <w:t xml:space="preserve">requer sign-off da Profa. Cunha</w:t>
      </w:r>
      <w:r>
        <w:t xml:space="preserve"> </w:t>
      </w:r>
      <w:r>
        <w:t xml:space="preserve">antes do início da calibração.</w:t>
      </w:r>
    </w:p>
    <w:bookmarkEnd w:id="26"/>
    <w:bookmarkStart w:id="27" w:name="produtos"/>
    <w:p>
      <w:pPr>
        <w:pStyle w:val="Heading2"/>
      </w:pPr>
      <w:r>
        <w:t xml:space="preserve">§7 Produtos</w:t>
      </w:r>
    </w:p>
    <w:p>
      <w:pPr>
        <w:numPr>
          <w:ilvl w:val="0"/>
          <w:numId w:val="1004"/>
        </w:numPr>
      </w:pPr>
      <w:r>
        <w:t xml:space="preserve">calib_ann1.csv, calib_ann2.csv, calib_gold.csv (linha de consenso).</w:t>
      </w:r>
    </w:p>
    <w:p>
      <w:pPr>
        <w:numPr>
          <w:ilvl w:val="0"/>
          <w:numId w:val="1004"/>
        </w:numPr>
      </w:pPr>
      <w:r>
        <w:t xml:space="preserve">Relatório curto: α por categoria, distribuição de rótulos, lista de divergências e refinamentos do guia decorrentes.</w:t>
      </w:r>
    </w:p>
    <w:p>
      <w:pPr>
        <w:numPr>
          <w:ilvl w:val="0"/>
          <w:numId w:val="1004"/>
        </w:numPr>
      </w:pPr>
      <w:r>
        <w:t xml:space="preserve">Entrada de Lab Notebook documentando decisão, justificativa, ação e pendências.</w:t>
      </w:r>
    </w:p>
    <w:p>
      <w:pPr>
        <w:numPr>
          <w:ilvl w:val="0"/>
          <w:numId w:val="1004"/>
        </w:numPr>
      </w:pPr>
      <w:r>
        <w:t xml:space="preserve">Guia de Anotação de Posturas atualizado, se a discussão gerar novas regras de fronteira.</w:t>
      </w:r>
    </w:p>
    <w:bookmarkEnd w:id="27"/>
    <w:bookmarkStart w:id="28" w:name="premissas-e-limitações"/>
    <w:p>
      <w:pPr>
        <w:pStyle w:val="Heading2"/>
      </w:pPr>
      <w:r>
        <w:t xml:space="preserve">§8 Premissas e limitações</w:t>
      </w:r>
    </w:p>
    <w:p>
      <w:pPr>
        <w:numPr>
          <w:ilvl w:val="0"/>
          <w:numId w:val="1005"/>
        </w:numPr>
      </w:pPr>
      <w:r>
        <w:t xml:space="preserve">A confiabilidade de DN como categoria positiva é a questão em verificação, não pressuposto: a calibração existe para não assumi-la.</w:t>
      </w:r>
    </w:p>
    <w:p>
      <w:pPr>
        <w:numPr>
          <w:ilvl w:val="0"/>
          <w:numId w:val="1005"/>
        </w:numPr>
      </w:pPr>
      <w:r>
        <w:t xml:space="preserve">O n pequeno limita a precisão de α; por isso o critério é um piso conservador, e a decisão pondera também a inspeção qualitativa das divergências.</w:t>
      </w:r>
    </w:p>
    <w:p>
      <w:pPr>
        <w:numPr>
          <w:ilvl w:val="0"/>
          <w:numId w:val="1005"/>
        </w:numPr>
      </w:pPr>
      <w:r>
        <w:t xml:space="preserve">A calibração não estima prevalência de misto nem separabilidade textual de DN (questões do antigo piloto formal, agora fora de escopo); estima apenas a viabilidade da codificação humana.</w:t>
      </w:r>
    </w:p>
    <w:p>
      <w:pPr>
        <w:numPr>
          <w:ilvl w:val="0"/>
          <w:numId w:val="1005"/>
        </w:numPr>
      </w:pPr>
      <w:r>
        <w:t xml:space="preserve">A amostra de calibração é consumida pela calibração e não integra o Gold Standard, para não confundir material de treino do anotador com material de avaliação.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venir Nex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venir Nex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2026-06-28T09:26:36Z</dcterms:created>
  <dcterms:modified xsi:type="dcterms:W3CDTF">2026-06-28T09:26:36Z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