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Tutorial: Sessão de Calibração Inter-anotador</w:t>
      </w:r>
    </w:p>
    <w:p>
      <w:pPr>
        <w:pStyle w:val="BodyText"/>
      </w:pPr>
      <w:r>
        <w:rPr>
          <w:iCs/>
          <w:i/>
        </w:rPr>
        <w:t xml:space="preserve">Camada epistemológica · Tipologia ternária multi-rótulo</w:t>
      </w:r>
    </w:p>
    <w:p>
      <w:pPr>
        <w:pStyle w:val="BodyText"/>
      </w:pPr>
      <w:r>
        <w:rPr>
          <w:iCs/>
          <w:i/>
        </w:rPr>
        <w:t xml:space="preserve">Projeto FAPESP, Mapeamento Cientométrico de Governança Digital</w:t>
      </w:r>
    </w:p>
    <w:p>
      <w:pPr>
        <w:pStyle w:val="BodyText"/>
      </w:pPr>
      <w:r>
        <w:t xml:space="preserve">Fernando Leite · FGV EAESP · Junho de 2026</w:t>
      </w:r>
    </w:p>
    <w:bookmarkStart w:id="20" w:name="por-que-fazer-a-calibração"/>
    <w:p>
      <w:pPr>
        <w:pStyle w:val="Heading1"/>
      </w:pPr>
      <w:r>
        <w:t xml:space="preserve">Por que fazer a calibração</w:t>
      </w:r>
    </w:p>
    <w:p>
      <w:pPr>
        <w:pStyle w:val="FirstParagraph"/>
      </w:pPr>
      <w:r>
        <w:t xml:space="preserve">A calibração não é uma formalidade: é o único momento em que você descobre se duas pessoas lendo o mesmo abstract chegam ao mesmo diagnóstico epistemológico. Se chegam, a camada epi é operacional e pode ser usada para treinar o classificador. Se não chegam, o problema está no guia de anotação, e é muito melhor descobrir isso com 25 artigos do que com 500.</w:t>
      </w:r>
    </w:p>
    <w:p>
      <w:pPr>
        <w:pStyle w:val="BodyText"/>
      </w:pPr>
      <w:r>
        <w:t xml:space="preserve">O indicador central é o Krippendorff α para a postura doutrinário-normativa. Ela é a mais sutil das três e a que mais frequentemente gera divergência. O piso é α ≥ 0,40 (codificado em pilot/config.py; registrado no OSF Addendum 1). Abaixo desse limiar, o guia é revisado e a calibração é repetida, não se entra na anotação completa.</w:t>
      </w:r>
    </w:p>
    <w:bookmarkEnd w:id="20"/>
    <w:bookmarkStart w:id="21" w:name="o-que-você-vai-precisar"/>
    <w:p>
      <w:pPr>
        <w:pStyle w:val="Heading1"/>
      </w:pPr>
      <w:r>
        <w:t xml:space="preserve">O que você vai precisar</w:t>
      </w:r>
    </w:p>
    <w:p>
      <w:pPr>
        <w:pStyle w:val="FirstParagraph"/>
      </w:pPr>
      <w:r>
        <w:t xml:space="preserve">Materiais (todos prontos):</w:t>
      </w:r>
    </w:p>
    <w:p>
      <w:pPr>
        <w:numPr>
          <w:ilvl w:val="0"/>
          <w:numId w:val="1001"/>
        </w:numPr>
      </w:pPr>
      <w:r>
        <w:t xml:space="preserve">anotacao_calibracao.csv, 25 artigos com título e abstract; colunas vazias para as três posturas, confiança e notas</w:t>
      </w:r>
    </w:p>
    <w:p>
      <w:pPr>
        <w:numPr>
          <w:ilvl w:val="0"/>
          <w:numId w:val="1001"/>
        </w:numPr>
      </w:pPr>
      <w:r>
        <w:t xml:space="preserve">Guia de Anotação v4, critérios operacionais das três posturas</w:t>
      </w:r>
    </w:p>
    <w:p>
      <w:pPr>
        <w:numPr>
          <w:ilvl w:val="0"/>
          <w:numId w:val="1001"/>
        </w:numPr>
      </w:pPr>
      <w:r>
        <w:t xml:space="preserve">Protocolo de Anotação v10, §3, definições de detalhe e exemplos trabalhados</w:t>
      </w:r>
    </w:p>
    <w:p>
      <w:pPr>
        <w:numPr>
          <w:ilvl w:val="0"/>
          <w:numId w:val="1001"/>
        </w:numPr>
      </w:pPr>
      <w:r>
        <w:t xml:space="preserve">pilot/run_labels.py, calcula α automaticamente após as anotações</w:t>
      </w:r>
    </w:p>
    <w:p>
      <w:pPr>
        <w:pStyle w:val="FirstParagraph"/>
      </w:pPr>
      <w:r>
        <w:t xml:space="preserve">Pessoas:</w:t>
      </w:r>
    </w:p>
    <w:p>
      <w:pPr>
        <w:numPr>
          <w:ilvl w:val="0"/>
          <w:numId w:val="1002"/>
        </w:numPr>
      </w:pPr>
      <w:r>
        <w:t xml:space="preserve">Você (ann1)</w:t>
      </w:r>
    </w:p>
    <w:p>
      <w:pPr>
        <w:numPr>
          <w:ilvl w:val="0"/>
          <w:numId w:val="1002"/>
        </w:numPr>
      </w:pPr>
      <w:r>
        <w:t xml:space="preserve">Segundo anotador (ann2), a recrutar e briefar</w:t>
      </w:r>
    </w:p>
    <w:p>
      <w:pPr>
        <w:pStyle w:val="FirstParagraph"/>
      </w:pPr>
      <w:r>
        <w:t xml:space="preserve">Tempo estimado:</w:t>
      </w:r>
    </w:p>
    <w:p>
      <w:pPr>
        <w:numPr>
          <w:ilvl w:val="0"/>
          <w:numId w:val="1003"/>
        </w:numPr>
      </w:pPr>
      <w:r>
        <w:t xml:space="preserve">Preparação: 30 minutos</w:t>
      </w:r>
    </w:p>
    <w:p>
      <w:pPr>
        <w:numPr>
          <w:ilvl w:val="0"/>
          <w:numId w:val="1003"/>
        </w:numPr>
      </w:pPr>
      <w:r>
        <w:t xml:space="preserve">Anotação por anotador: 2 a 3 horas (25 artigos, ~6 minutos por artigo)</w:t>
      </w:r>
    </w:p>
    <w:p>
      <w:pPr>
        <w:numPr>
          <w:ilvl w:val="0"/>
          <w:numId w:val="1003"/>
        </w:numPr>
      </w:pPr>
      <w:r>
        <w:t xml:space="preserve">Adjudicação (sessão conjunta): 1 a 2 horas</w:t>
      </w:r>
    </w:p>
    <w:p>
      <w:pPr>
        <w:numPr>
          <w:ilvl w:val="0"/>
          <w:numId w:val="1003"/>
        </w:numPr>
      </w:pPr>
      <w:r>
        <w:t xml:space="preserve">Cálculo e interpretação: 10 minutos</w:t>
      </w:r>
    </w:p>
    <w:bookmarkEnd w:id="21"/>
    <w:bookmarkStart w:id="25" w:name="etapa-1-preparar-o-ambiente-de-anotação"/>
    <w:p>
      <w:pPr>
        <w:pStyle w:val="Heading1"/>
      </w:pPr>
      <w:r>
        <w:t xml:space="preserve">Etapa 1, Preparar o ambiente de anotação</w:t>
      </w:r>
    </w:p>
    <w:bookmarkStart w:id="22" w:name="abrir-o-csv-no-google-sheets"/>
    <w:p>
      <w:pPr>
        <w:pStyle w:val="Heading2"/>
      </w:pPr>
      <w:r>
        <w:t xml:space="preserve">1.1 Abrir o CSV no Google Sheets</w:t>
      </w:r>
    </w:p>
    <w:p>
      <w:pPr>
        <w:pStyle w:val="FirstParagraph"/>
      </w:pPr>
      <w:r>
        <w:t xml:space="preserve">Abra o arquivo anotacao_calibracao.csv no Google Sheets (Arquivo → Importar → fazer upload). O Sheets preserva o CSV sem alterar os doc_ids.</w:t>
      </w:r>
    </w:p>
    <w:p>
      <w:pPr>
        <w:pStyle w:val="BodyText"/>
      </w:pPr>
      <w:r>
        <w:t xml:space="preserve">A planilha deve ter as seguintes colunas, nesta ordem:</w:t>
      </w:r>
    </w:p>
    <w:p>
      <w:pPr>
        <w:pStyle w:val="BodyText"/>
      </w:pPr>
      <w:r>
        <w:t xml:space="preserve">doc_id | subsample | stratum | titulo | nome_periodico | ano | abstract | epi_positivista | epi_interpretativa | epi_doutrinario_normativa | confianca | notas |</w:t>
      </w:r>
    </w:p>
    <w:p>
      <w:pPr>
        <w:pStyle w:val="BodyText"/>
      </w:pPr>
      <w:r>
        <w:t xml:space="preserve">As colunas epi_positivista, epi_interpretativa, epi_doutrinario_normativa, confianca e notas estarão vazias, são elas que você e o segundo anotador vão preencher.</w:t>
      </w:r>
    </w:p>
    <w:bookmarkEnd w:id="22"/>
    <w:bookmarkStart w:id="23" w:name="criar-duas-cópias-independentes"/>
    <w:p>
      <w:pPr>
        <w:pStyle w:val="Heading2"/>
      </w:pPr>
      <w:r>
        <w:t xml:space="preserve">1.2 Criar duas cópias independentes</w:t>
      </w:r>
    </w:p>
    <w:p>
      <w:pPr>
        <w:pStyle w:val="FirstParagraph"/>
      </w:pPr>
      <w:r>
        <w:t xml:space="preserve">Crie uma cópia para cada anotador. No Sheets: Arquivo → Fazer uma cópia.</w:t>
      </w:r>
    </w:p>
    <w:p>
      <w:pPr>
        <w:pStyle w:val="BodyText"/>
      </w:pPr>
      <w:r>
        <w:t xml:space="preserve">Nomeie:</w:t>
      </w:r>
    </w:p>
    <w:p>
      <w:pPr>
        <w:numPr>
          <w:ilvl w:val="0"/>
          <w:numId w:val="1004"/>
        </w:numPr>
      </w:pPr>
      <w:r>
        <w:t xml:space="preserve">anotacao_calibracao_ann1.gsheet (sua cópia)</w:t>
      </w:r>
    </w:p>
    <w:p>
      <w:pPr>
        <w:numPr>
          <w:ilvl w:val="0"/>
          <w:numId w:val="1004"/>
        </w:numPr>
      </w:pPr>
      <w:r>
        <w:t xml:space="preserve">anotacao_calibracao_ann2.gsheet (cópia do segundo anotador)</w:t>
      </w:r>
    </w:p>
    <w:p>
      <w:pPr>
        <w:pStyle w:val="FirstParagraph"/>
      </w:pPr>
      <w:r>
        <w:t xml:space="preserve">Compartilhe a cópia ann2 apenas com o segundo anotador, com permissão de edição. Não compartilhe a ann1 com ele antes de ambos terminarem, a independência das anotações é o que dá valor ao α.</w:t>
      </w:r>
    </w:p>
    <w:bookmarkEnd w:id="23"/>
    <w:bookmarkStart w:id="24" w:name="congelar-as-colunas-de-contexto"/>
    <w:p>
      <w:pPr>
        <w:pStyle w:val="Heading2"/>
      </w:pPr>
      <w:r>
        <w:t xml:space="preserve">1.3 Congelar as colunas de contexto</w:t>
      </w:r>
    </w:p>
    <w:p>
      <w:pPr>
        <w:pStyle w:val="FirstParagraph"/>
      </w:pPr>
      <w:r>
        <w:t xml:space="preserve">No Sheets, congele as colunas A–G (doc_id até abstract) para que não sejam editadas acidentalmente: selecione a coluna H, Exibir → Congelar → Até a coluna G.</w:t>
      </w:r>
    </w:p>
    <w:bookmarkEnd w:id="24"/>
    <w:bookmarkEnd w:id="25"/>
    <w:bookmarkStart w:id="26" w:name="etapa-2-briefar-o-segundo-anotador"/>
    <w:p>
      <w:pPr>
        <w:pStyle w:val="Heading1"/>
      </w:pPr>
      <w:r>
        <w:t xml:space="preserve">Etapa 2, Briefar o segundo anotador</w:t>
      </w:r>
    </w:p>
    <w:p>
      <w:pPr>
        <w:pStyle w:val="FirstParagraph"/>
      </w:pPr>
      <w:r>
        <w:t xml:space="preserve">Compartilhe com ele, por e-mail ou drive, antes da sessão de anotação:</w:t>
      </w:r>
    </w:p>
    <w:p>
      <w:pPr>
        <w:numPr>
          <w:ilvl w:val="0"/>
          <w:numId w:val="1005"/>
        </w:numPr>
      </w:pPr>
      <w:r>
        <w:t xml:space="preserve">Guia de Anotação v4, leitura obrigatória, atenção especial ao §3 (definições) e §7 (exemplos trabalhados)</w:t>
      </w:r>
    </w:p>
    <w:p>
      <w:pPr>
        <w:numPr>
          <w:ilvl w:val="0"/>
          <w:numId w:val="1005"/>
        </w:numPr>
      </w:pPr>
      <w:r>
        <w:t xml:space="preserve">Protocolo de Anotação v10, §3.1–3.3, definições de detalhe</w:t>
      </w:r>
    </w:p>
    <w:p>
      <w:pPr>
        <w:numPr>
          <w:ilvl w:val="0"/>
          <w:numId w:val="1005"/>
        </w:numPr>
      </w:pPr>
      <w:r>
        <w:t xml:space="preserve">A planilha ann2 (compartilhada no Sheets)</w:t>
      </w:r>
    </w:p>
    <w:p>
      <w:pPr>
        <w:pStyle w:val="FirstParagraph"/>
      </w:pPr>
      <w:r>
        <w:t xml:space="preserve">Instruções que ele precisa receber explicitamente:</w:t>
      </w:r>
    </w:p>
    <w:p>
      <w:pPr>
        <w:numPr>
          <w:ilvl w:val="0"/>
          <w:numId w:val="1006"/>
        </w:numPr>
      </w:pPr>
      <w:r>
        <w:t xml:space="preserve">Preencher as três colunas (0 ou 1) de forma independente para cada artigo</w:t>
      </w:r>
    </w:p>
    <w:p>
      <w:pPr>
        <w:numPr>
          <w:ilvl w:val="0"/>
          <w:numId w:val="1006"/>
        </w:numPr>
      </w:pPr>
      <w:r>
        <w:t xml:space="preserve">Não discutir casos com você antes de ambos terminarem a planilha inteira</w:t>
      </w:r>
    </w:p>
    <w:p>
      <w:pPr>
        <w:numPr>
          <w:ilvl w:val="0"/>
          <w:numId w:val="1006"/>
        </w:numPr>
      </w:pPr>
      <w:r>
        <w:t xml:space="preserve">Preencher confianca com 1 (baixa), 2 (razoável) ou 3 (alta)</w:t>
      </w:r>
    </w:p>
    <w:p>
      <w:pPr>
        <w:numPr>
          <w:ilvl w:val="0"/>
          <w:numId w:val="1006"/>
        </w:numPr>
      </w:pPr>
      <w:r>
        <w:t xml:space="preserve">Anotar na coluna notas qualquer dúvida ou observação sobre casos difíceis</w:t>
      </w:r>
    </w:p>
    <w:p>
      <w:pPr>
        <w:numPr>
          <w:ilvl w:val="0"/>
          <w:numId w:val="1006"/>
        </w:numPr>
      </w:pPr>
      <w:r>
        <w:t xml:space="preserve">Exportar como CSV (anotacao_calibracao_ann2.csv) ao terminar e enviar para você</w:t>
      </w:r>
    </w:p>
    <w:bookmarkEnd w:id="26"/>
    <w:bookmarkStart w:id="31" w:name="etapa-3-conduzir-a-anotação-independente"/>
    <w:p>
      <w:pPr>
        <w:pStyle w:val="Heading1"/>
      </w:pPr>
      <w:r>
        <w:t xml:space="preserve">Etapa 3, Conduzir a anotação (independente)</w:t>
      </w:r>
    </w:p>
    <w:p>
      <w:pPr>
        <w:pStyle w:val="FirstParagraph"/>
      </w:pPr>
      <w:r>
        <w:t xml:space="preserve">Cada anotador faz a sua sessão sozinho, sem comunicação com o outro durante o processo.</w:t>
      </w:r>
    </w:p>
    <w:bookmarkStart w:id="27" w:name="protocolo-de-leitura-para-cada-artigo"/>
    <w:p>
      <w:pPr>
        <w:pStyle w:val="Heading2"/>
      </w:pPr>
      <w:r>
        <w:t xml:space="preserve">3.1 Protocolo de leitura para cada artigo</w:t>
      </w:r>
    </w:p>
    <w:p>
      <w:pPr>
        <w:pStyle w:val="FirstParagraph"/>
      </w:pPr>
      <w:r>
        <w:t xml:space="preserve">Para cada linha da planilha:</w:t>
      </w:r>
    </w:p>
    <w:p>
      <w:pPr>
        <w:pStyle w:val="BodyText"/>
      </w:pPr>
      <w:r>
        <w:rPr>
          <w:bCs/>
          <w:b/>
        </w:rPr>
        <w:t xml:space="preserve">Passo 1.</w:t>
      </w:r>
      <w:r>
        <w:t xml:space="preserve"> </w:t>
      </w:r>
      <w:r>
        <w:t xml:space="preserve">Leia o título para ter contexto temático.</w:t>
      </w:r>
    </w:p>
    <w:p>
      <w:pPr>
        <w:pStyle w:val="BodyText"/>
      </w:pPr>
      <w:r>
        <w:rPr>
          <w:bCs/>
          <w:b/>
        </w:rPr>
        <w:t xml:space="preserve">Passo 2.</w:t>
      </w:r>
      <w:r>
        <w:t xml:space="preserve"> </w:t>
      </w:r>
      <w:r>
        <w:t xml:space="preserve">Leia o abstract inteiro uma vez sem tomar decisão.</w:t>
      </w:r>
    </w:p>
    <w:p>
      <w:pPr>
        <w:pStyle w:val="BodyText"/>
      </w:pPr>
      <w:r>
        <w:rPr>
          <w:bCs/>
          <w:b/>
        </w:rPr>
        <w:t xml:space="preserve">Passo 3.</w:t>
      </w:r>
      <w:r>
        <w:t xml:space="preserve"> </w:t>
      </w:r>
      <w:r>
        <w:t xml:space="preserve">Releia mirando duas zonas: a zona do método (como os dados foram produzidos/analisados) e a zona da conclusão (que tipo de afirmação o artigo faz sobre o mundo).</w:t>
      </w:r>
    </w:p>
    <w:p>
      <w:pPr>
        <w:pStyle w:val="BodyText"/>
      </w:pPr>
      <w:r>
        <w:rPr>
          <w:bCs/>
          <w:b/>
        </w:rPr>
        <w:t xml:space="preserve">Passo 4.</w:t>
      </w:r>
      <w:r>
        <w:t xml:space="preserve"> </w:t>
      </w:r>
      <w:r>
        <w:t xml:space="preserve">Avalie os três flags de forma independente, na ordem abaixo.</w:t>
      </w:r>
    </w:p>
    <w:bookmarkEnd w:id="27"/>
    <w:bookmarkStart w:id="28" w:name="sequência-de-avaliação-dos-flags"/>
    <w:p>
      <w:pPr>
        <w:pStyle w:val="Heading2"/>
      </w:pPr>
      <w:r>
        <w:t xml:space="preserve">3.2 Sequência de avaliação dos flags</w:t>
      </w:r>
    </w:p>
    <w:p>
      <w:pPr>
        <w:pStyle w:val="FirstParagraph"/>
      </w:pPr>
      <w:r>
        <w:rPr>
          <w:bCs/>
          <w:b/>
        </w:rPr>
        <w:t xml:space="preserve">epi_positivista:</w:t>
      </w:r>
      <w:r>
        <w:t xml:space="preserve"> </w:t>
      </w:r>
      <w:r>
        <w:t xml:space="preserve">Há hipóteses, amostra (N), estatística, regressão, SEM, experimento, survey, ou afirmação sobre o que causa o quê? → Se sim, marque 1.</w:t>
      </w:r>
    </w:p>
    <w:p>
      <w:pPr>
        <w:pStyle w:val="BodyText"/>
      </w:pPr>
      <w:r>
        <w:rPr>
          <w:bCs/>
          <w:b/>
        </w:rPr>
        <w:t xml:space="preserve">epi_interpretativa:</w:t>
      </w:r>
      <w:r>
        <w:t xml:space="preserve"> </w:t>
      </w:r>
      <w:r>
        <w:t xml:space="preserve">Há etnografia, estudo de caso com pretensão hermenêutica, entrevistas com objetivo compreensivo, análise de significados situados? → Se sim, marque 1.</w:t>
      </w:r>
    </w:p>
    <w:p>
      <w:pPr>
        <w:pStyle w:val="BodyText"/>
      </w:pPr>
      <w:r>
        <w:rPr>
          <w:bCs/>
          <w:b/>
        </w:rPr>
        <w:t xml:space="preserve">epi_doutrinario_normativa:</w:t>
      </w:r>
      <w:r>
        <w:t xml:space="preserve"> </w:t>
      </w:r>
      <w:r>
        <w:t xml:space="preserve">Há argumentação doutrinária (jurídica, ética principiológica, filosofia), registro prescritivo (</w:t>
      </w:r>
      <w:r>
        <w:t xml:space="preserve">“</w:t>
      </w:r>
      <w:r>
        <w:t xml:space="preserve">deve-se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ought to</w:t>
      </w:r>
      <w:r>
        <w:t xml:space="preserve">”</w:t>
      </w:r>
      <w:r>
        <w:t xml:space="preserve">), proposição de princípios, sem evidência empírica sistematizada? → Se sim, marque 1. Este flag pode coexistir com os outros dois.</w:t>
      </w:r>
    </w:p>
    <w:p>
      <w:pPr>
        <w:pStyle w:val="BodyText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classifique pelo tipo de afirmação, não pelo tópico. Um abstract sobre transparência pode ser positivista (survey), interpretativo (etnografia) ou doutrinário-normativo (ensaio principiológico).</w:t>
      </w:r>
    </w:p>
    <w:bookmarkEnd w:id="28"/>
    <w:bookmarkStart w:id="29" w:name="casos-difíceis"/>
    <w:p>
      <w:pPr>
        <w:pStyle w:val="Heading2"/>
      </w:pPr>
      <w:r>
        <w:t xml:space="preserve">3.3 Casos difíceis</w:t>
      </w:r>
    </w:p>
    <w:p>
      <w:pPr>
        <w:pStyle w:val="FirstParagraph"/>
      </w:pPr>
      <w:r>
        <w:t xml:space="preserve">Quando o abstract é ambíguo: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Abreviou demais:</w:t>
      </w:r>
      <w:r>
        <w:t xml:space="preserve"> </w:t>
      </w:r>
      <w:r>
        <w:t xml:space="preserve">apenas lista tópicos sem revelar método → marque os três em 0 e notas:</w:t>
      </w:r>
      <w:r>
        <w:t xml:space="preserve"> </w:t>
      </w:r>
      <w:r>
        <w:t xml:space="preserve">“</w:t>
      </w:r>
      <w:r>
        <w:t xml:space="preserve">abstract uninformativo</w:t>
      </w:r>
      <w:r>
        <w:t xml:space="preserve">”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Parece empírico mas é superficial:</w:t>
      </w:r>
      <w:r>
        <w:t xml:space="preserve"> </w:t>
      </w:r>
      <w:r>
        <w:t xml:space="preserve">survey de baixíssima qualidade ainda é positivista, tem dado e afirma o que é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Crítico sem evidência:</w:t>
      </w:r>
      <w:r>
        <w:t xml:space="preserve"> </w:t>
      </w:r>
      <w:r>
        <w:t xml:space="preserve">se a crítica é apenas normativa (sem dados), marque doutrinário-normativa. Se a crítica é sustentada por análise empírica, marque interpretativa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Genuinamente indecidível:</w:t>
      </w:r>
      <w:r>
        <w:t xml:space="preserve"> </w:t>
      </w:r>
      <w:r>
        <w:t xml:space="preserve">marque 0 naquele flag e registre em notas, esses casos serão a pauta da adjudicação</w:t>
      </w:r>
    </w:p>
    <w:p>
      <w:pPr>
        <w:pStyle w:val="FirstParagraph"/>
      </w:pPr>
      <w:r>
        <w:rPr>
          <w:bCs/>
          <w:b/>
        </w:rPr>
        <w:t xml:space="preserve">Nunca deixe célula em branco.</w:t>
      </w:r>
      <w:r>
        <w:t xml:space="preserve"> </w:t>
      </w:r>
      <w:r>
        <w:t xml:space="preserve">Marque 0 e registre a dúvida em notas; isso é tratado na adjudicação, não durante a anotação individual.</w:t>
      </w:r>
    </w:p>
    <w:bookmarkEnd w:id="29"/>
    <w:bookmarkStart w:id="30" w:name="escala-de-confiança"/>
    <w:p>
      <w:pPr>
        <w:pStyle w:val="Heading2"/>
      </w:pPr>
      <w:r>
        <w:t xml:space="preserve">3.4 Escala de confiança</w:t>
      </w:r>
    </w:p>
    <w:p>
      <w:pPr>
        <w:numPr>
          <w:ilvl w:val="0"/>
          <w:numId w:val="1008"/>
        </w:numPr>
      </w:pPr>
      <w:r>
        <w:t xml:space="preserve">1: tenho uma direção mas com dúvida substancial</w:t>
      </w:r>
    </w:p>
    <w:p>
      <w:pPr>
        <w:numPr>
          <w:ilvl w:val="0"/>
          <w:numId w:val="1008"/>
        </w:numPr>
      </w:pPr>
      <w:r>
        <w:t xml:space="preserve">2: razoavelmente seguro; pequena dúvida residual</w:t>
      </w:r>
    </w:p>
    <w:p>
      <w:pPr>
        <w:numPr>
          <w:ilvl w:val="0"/>
          <w:numId w:val="1008"/>
        </w:numPr>
      </w:pPr>
      <w:r>
        <w:t xml:space="preserve">3: sem dúvida; o abstract é inequívoco</w:t>
      </w:r>
    </w:p>
    <w:p>
      <w:pPr>
        <w:pStyle w:val="FirstParagraph"/>
      </w:pPr>
      <w:r>
        <w:t xml:space="preserve">A confiança é útil na adjudicação: divergências com confiança alta em ambos os anotadores indicam que o guia precisa de refinamento naquele critério.</w:t>
      </w:r>
    </w:p>
    <w:bookmarkEnd w:id="30"/>
    <w:bookmarkEnd w:id="31"/>
    <w:bookmarkStart w:id="34" w:name="Xda7dbcd8e4117a5e8e57c835a06df4d915aaddf"/>
    <w:p>
      <w:pPr>
        <w:pStyle w:val="Heading1"/>
      </w:pPr>
      <w:r>
        <w:t xml:space="preserve">Etapa 4, Coletar as anotações e montar o arquivo</w:t>
      </w:r>
    </w:p>
    <w:p>
      <w:pPr>
        <w:pStyle w:val="FirstParagraph"/>
      </w:pPr>
      <w:r>
        <w:t xml:space="preserve">Quando os dois anotadores terminarem (de forma independente), você vai construir um único arquivo annotations.csv com as duas anotações lado a lado, uma linha por (artigo, anotador).</w:t>
      </w:r>
    </w:p>
    <w:bookmarkStart w:id="32" w:name="exportar-cada-planilha-como-csv"/>
    <w:p>
      <w:pPr>
        <w:pStyle w:val="Heading2"/>
      </w:pPr>
      <w:r>
        <w:t xml:space="preserve">4.1 Exportar cada planilha como CSV</w:t>
      </w:r>
    </w:p>
    <w:p>
      <w:pPr>
        <w:pStyle w:val="FirstParagraph"/>
      </w:pPr>
      <w:r>
        <w:t xml:space="preserve">No Google Sheets: Arquivo → Fazer download → Valores separados por vírgula (.csv).</w:t>
      </w:r>
    </w:p>
    <w:p>
      <w:pPr>
        <w:pStyle w:val="BodyText"/>
      </w:pPr>
      <w:r>
        <w:t xml:space="preserve">Nomeie os arquivos:</w:t>
      </w:r>
    </w:p>
    <w:p>
      <w:pPr>
        <w:numPr>
          <w:ilvl w:val="0"/>
          <w:numId w:val="1009"/>
        </w:numPr>
      </w:pPr>
      <w:r>
        <w:t xml:space="preserve">ann1.csv (suas anotações)</w:t>
      </w:r>
    </w:p>
    <w:p>
      <w:pPr>
        <w:numPr>
          <w:ilvl w:val="0"/>
          <w:numId w:val="1009"/>
        </w:numPr>
      </w:pPr>
      <w:r>
        <w:t xml:space="preserve">ann2.csv (anotações do segundo anotador)</w:t>
      </w:r>
    </w:p>
    <w:bookmarkEnd w:id="32"/>
    <w:bookmarkStart w:id="33" w:name="montar-o-arquivo-final"/>
    <w:p>
      <w:pPr>
        <w:pStyle w:val="Heading2"/>
      </w:pPr>
      <w:r>
        <w:t xml:space="preserve">4.2 Montar o arquivo final</w:t>
      </w:r>
    </w:p>
    <w:p>
      <w:pPr>
        <w:pStyle w:val="FirstParagraph"/>
      </w:pPr>
      <w:r>
        <w:t xml:space="preserve">Execute o script abaixo no terminal (ou numa célula do Colab):</w:t>
      </w:r>
    </w:p>
    <w:p>
      <w:pPr>
        <w:pStyle w:val="BodyText"/>
      </w:pPr>
      <w:r>
        <w:t xml:space="preserve">import pandas as pd</w:t>
      </w:r>
    </w:p>
    <w:p>
      <w:pPr>
        <w:pStyle w:val="BodyText"/>
      </w:pPr>
      <w:r>
        <w:t xml:space="preserve">base = pd.read_csv(</w:t>
      </w:r>
      <w:r>
        <w:t xml:space="preserve">“</w:t>
      </w:r>
      <w:r>
        <w:t xml:space="preserve">anotacao_calibracao.csv</w:t>
      </w:r>
      <w:r>
        <w:t xml:space="preserve">”</w:t>
      </w:r>
      <w:r>
        <w:t xml:space="preserve">)[[</w:t>
      </w:r>
      <w:r>
        <w:t xml:space="preserve">“</w:t>
      </w:r>
      <w:r>
        <w:t xml:space="preserve">doc_id</w:t>
      </w:r>
      <w:r>
        <w:t xml:space="preserve">”</w:t>
      </w:r>
      <w:r>
        <w:t xml:space="preserve">,</w:t>
      </w:r>
      <w:r>
        <w:t xml:space="preserve">“</w:t>
      </w:r>
      <w:r>
        <w:t xml:space="preserve">subsample</w:t>
      </w:r>
      <w:r>
        <w:t xml:space="preserve">”</w:t>
      </w:r>
      <w:r>
        <w:t xml:space="preserve">]]</w:t>
      </w:r>
      <w:r>
        <w:t xml:space="preserve"> </w:t>
      </w:r>
      <w:r>
        <w:t xml:space="preserve">cols_epi = [</w:t>
      </w:r>
      <w:r>
        <w:t xml:space="preserve">“</w:t>
      </w:r>
      <w:r>
        <w:t xml:space="preserve">epi_positivista</w:t>
      </w:r>
      <w:r>
        <w:t xml:space="preserve">”</w:t>
      </w:r>
      <w:r>
        <w:t xml:space="preserve">,</w:t>
      </w:r>
      <w:r>
        <w:t xml:space="preserve">“</w:t>
      </w:r>
      <w:r>
        <w:t xml:space="preserve">epi_interpretativa</w:t>
      </w:r>
      <w:r>
        <w:t xml:space="preserve">”</w:t>
      </w:r>
      <w:r>
        <w:t xml:space="preserve">,</w:t>
      </w:r>
      <w:r>
        <w:t xml:space="preserve">“</w:t>
      </w:r>
      <w:r>
        <w:t xml:space="preserve">epi_doutrinario_normativa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ann1 = pd.read_csv(</w:t>
      </w:r>
      <w:r>
        <w:t xml:space="preserve">“</w:t>
      </w:r>
      <w:r>
        <w:t xml:space="preserve">ann1.csv</w:t>
      </w:r>
      <w:r>
        <w:t xml:space="preserve">”</w:t>
      </w:r>
      <w:r>
        <w:t xml:space="preserve">)[[</w:t>
      </w:r>
      <w:r>
        <w:t xml:space="preserve">“</w:t>
      </w:r>
      <w:r>
        <w:t xml:space="preserve">doc_id</w:t>
      </w:r>
      <w:r>
        <w:t xml:space="preserve">”</w:t>
      </w:r>
      <w:r>
        <w:t xml:space="preserve">] + cols_epi].assign(annotator=</w:t>
      </w:r>
      <w:r>
        <w:t xml:space="preserve">“</w:t>
      </w:r>
      <w:r>
        <w:t xml:space="preserve">ann1</w:t>
      </w:r>
      <w:r>
        <w:t xml:space="preserve">”</w:t>
      </w:r>
      <w:r>
        <w:t xml:space="preserve">)</w:t>
      </w:r>
      <w:r>
        <w:t xml:space="preserve"> </w:t>
      </w:r>
      <w:r>
        <w:t xml:space="preserve">ann2 = pd.read_csv(</w:t>
      </w:r>
      <w:r>
        <w:t xml:space="preserve">“</w:t>
      </w:r>
      <w:r>
        <w:t xml:space="preserve">ann2.csv</w:t>
      </w:r>
      <w:r>
        <w:t xml:space="preserve">”</w:t>
      </w:r>
      <w:r>
        <w:t xml:space="preserve">)[[</w:t>
      </w:r>
      <w:r>
        <w:t xml:space="preserve">“</w:t>
      </w:r>
      <w:r>
        <w:t xml:space="preserve">doc_id</w:t>
      </w:r>
      <w:r>
        <w:t xml:space="preserve">”</w:t>
      </w:r>
      <w:r>
        <w:t xml:space="preserve">] + cols_epi].assign(annotator=</w:t>
      </w:r>
      <w:r>
        <w:t xml:space="preserve">“</w:t>
      </w:r>
      <w:r>
        <w:t xml:space="preserve">ann2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annotations = pd.concat([ann1, ann2])</w:t>
      </w:r>
      <w:r>
        <w:t xml:space="preserve"> </w:t>
      </w:r>
      <w:r>
        <w:t xml:space="preserve">annotations = annotations.merge(base, on=</w:t>
      </w:r>
      <w:r>
        <w:t xml:space="preserve">“</w:t>
      </w:r>
      <w:r>
        <w:t xml:space="preserve">doc_id</w:t>
      </w:r>
      <w:r>
        <w:t xml:space="preserve">”</w:t>
      </w:r>
      <w:r>
        <w:t xml:space="preserve">)</w:t>
      </w:r>
      <w:r>
        <w:t xml:space="preserve"> </w:t>
      </w:r>
      <w:r>
        <w:t xml:space="preserve">annotations = annotations[[</w:t>
      </w:r>
      <w:r>
        <w:t xml:space="preserve">“</w:t>
      </w:r>
      <w:r>
        <w:t xml:space="preserve">doc_id</w:t>
      </w:r>
      <w:r>
        <w:t xml:space="preserve">”</w:t>
      </w:r>
      <w:r>
        <w:t xml:space="preserve">,</w:t>
      </w:r>
      <w:r>
        <w:t xml:space="preserve">“</w:t>
      </w:r>
      <w:r>
        <w:t xml:space="preserve">subsample</w:t>
      </w:r>
      <w:r>
        <w:t xml:space="preserve">”</w:t>
      </w:r>
      <w:r>
        <w:t xml:space="preserve">,</w:t>
      </w:r>
      <w:r>
        <w:t xml:space="preserve">“</w:t>
      </w:r>
      <w:r>
        <w:t xml:space="preserve">annotator</w:t>
      </w:r>
      <w:r>
        <w:t xml:space="preserve">”</w:t>
      </w:r>
      <w:r>
        <w:t xml:space="preserve">] + cols_epi]</w:t>
      </w:r>
      <w:r>
        <w:t xml:space="preserve"> </w:t>
      </w:r>
      <w:r>
        <w:t xml:space="preserve">annotations.to_csv(</w:t>
      </w:r>
      <w:r>
        <w:t xml:space="preserve">“</w:t>
      </w:r>
      <w:r>
        <w:t xml:space="preserve">annotations.csv</w:t>
      </w:r>
      <w:r>
        <w:t xml:space="preserve">”</w:t>
      </w:r>
      <w:r>
        <w:t xml:space="preserve">, index=False)</w:t>
      </w:r>
      <w:r>
        <w:t xml:space="preserve"> </w:t>
      </w:r>
      <w:r>
        <w:t xml:space="preserve">print(f”annotations.csv: {len(annotations)} linhas ({len(annotations)//2} artigos × 2 anotadores)“)</w:t>
      </w:r>
    </w:p>
    <w:p>
      <w:pPr>
        <w:pStyle w:val="BodyText"/>
      </w:pPr>
      <w:r>
        <w:t xml:space="preserve">Esperado: 50 linhas (25 artigos × 2 anotadores). Confira antes de calcular o α.</w:t>
      </w:r>
    </w:p>
    <w:bookmarkEnd w:id="33"/>
    <w:bookmarkEnd w:id="34"/>
    <w:bookmarkStart w:id="37" w:name="etapa-5-calcular-a-concordância"/>
    <w:p>
      <w:pPr>
        <w:pStyle w:val="Heading1"/>
      </w:pPr>
      <w:r>
        <w:t xml:space="preserve">Etapa 5, Calcular a concordância</w:t>
      </w:r>
    </w:p>
    <w:p>
      <w:pPr>
        <w:pStyle w:val="FirstParagraph"/>
      </w:pPr>
      <w:r>
        <w:t xml:space="preserve">Com o annotations.csv montado, execute:</w:t>
      </w:r>
    </w:p>
    <w:p>
      <w:pPr>
        <w:pStyle w:val="BodyText"/>
      </w:pPr>
      <w:r>
        <w:t xml:space="preserve">cd /caminho/para/repo/pilot</w:t>
      </w:r>
      <w:r>
        <w:t xml:space="preserve"> </w:t>
      </w:r>
      <w:r>
        <w:t xml:space="preserve">python run_labels.py annotations.csv</w:t>
      </w:r>
    </w:p>
    <w:bookmarkStart w:id="35" w:name="o-que-o-output-vai-mostrar"/>
    <w:p>
      <w:pPr>
        <w:pStyle w:val="Heading2"/>
      </w:pPr>
      <w:r>
        <w:t xml:space="preserve">5.1 O que o output vai mostrar</w:t>
      </w:r>
    </w:p>
    <w:p>
      <w:pPr>
        <w:pStyle w:val="FirstParagraph"/>
      </w:pPr>
      <w:r>
        <w:rPr>
          <w:bCs/>
          <w:b/>
        </w:rPr>
        <w:t xml:space="preserve">Krippendorff α por postura.</w:t>
      </w:r>
      <w:r>
        <w:t xml:space="preserve"> </w:t>
      </w:r>
      <w:r>
        <w:t xml:space="preserve">O número que decide o resultado é o α de epi_doutrinario_normativa.</w:t>
      </w:r>
    </w:p>
    <w:p>
      <w:pPr>
        <w:pStyle w:val="BodyText"/>
      </w:pPr>
      <w:r>
        <w:rPr>
          <w:bCs/>
          <w:b/>
        </w:rPr>
        <w:t xml:space="preserve">Distribuição de padrões.</w:t>
      </w:r>
      <w:r>
        <w:t xml:space="preserve"> </w:t>
      </w:r>
      <w:r>
        <w:t xml:space="preserve">Quantos artigos receberam cada combinação de flags (por padrão: ann1 ou ann2, o primeiro disponível). Se mais de 15% estiverem em (0,0,0), o alerta aparece.</w:t>
      </w:r>
    </w:p>
    <w:p>
      <w:pPr>
        <w:pStyle w:val="BodyText"/>
      </w:pPr>
      <w:r>
        <w:rPr>
          <w:bCs/>
          <w:b/>
        </w:rPr>
        <w:t xml:space="preserve">Veredicto do gate.</w:t>
      </w:r>
      <w:r>
        <w:t xml:space="preserve"> </w:t>
      </w:r>
      <w:r>
        <w:t xml:space="preserve">APROVADO (α ≥ 0,40) ou REPROVADO.</w:t>
      </w:r>
    </w:p>
    <w:bookmarkEnd w:id="35"/>
    <w:bookmarkStart w:id="36" w:name="exemplo-de-output-esperado"/>
    <w:p>
      <w:pPr>
        <w:pStyle w:val="Heading2"/>
      </w:pPr>
      <w:r>
        <w:t xml:space="preserve">5.2 Exemplo de output esperado</w:t>
      </w:r>
    </w:p>
    <w:p>
      <w:pPr>
        <w:pStyle w:val="FirstParagraph"/>
      </w:pPr>
      <w:r>
        <w:t xml:space="preserve">== Calibração inter-anotador (n=25, 2 anotadores: ann1, ann2) ==</w:t>
      </w:r>
    </w:p>
    <w:p>
      <w:pPr>
        <w:pStyle w:val="BodyText"/>
      </w:pPr>
      <w:r>
        <w:t xml:space="preserve">– Krippendorff α por postura (intervalar) –</w:t>
      </w:r>
      <w:r>
        <w:t xml:space="preserve"> </w:t>
      </w:r>
      <w:r>
        <w:t xml:space="preserve">epi_positivista : α = 0.712</w:t>
      </w:r>
      <w:r>
        <w:t xml:space="preserve"> </w:t>
      </w:r>
      <w:r>
        <w:t xml:space="preserve">epi_interpretativa : α = 0.641</w:t>
      </w:r>
      <w:r>
        <w:t xml:space="preserve"> </w:t>
      </w:r>
      <w:r>
        <w:t xml:space="preserve">epi_doutrinario_normativa : α = 0.453 ← [OK ≥ 0.40]</w:t>
      </w:r>
    </w:p>
    <w:p>
      <w:pPr>
        <w:pStyle w:val="BodyText"/>
      </w:pPr>
      <w:r>
        <w:t xml:space="preserve">– Distribuição de padrões (ann1, n=25) –</w:t>
      </w:r>
      <w:r>
        <w:t xml:space="preserve"> </w:t>
      </w:r>
      <w:r>
        <w:t xml:space="preserve">(1, 0, 0) pos : 13 52.0% ████████████</w:t>
      </w:r>
      <w:r>
        <w:t xml:space="preserve"> </w:t>
      </w:r>
      <w:r>
        <w:t xml:space="preserve">(0, 0, 0) all-zero : 4 16.0% ███</w:t>
      </w:r>
      <w:r>
        <w:t xml:space="preserve"> </w:t>
      </w:r>
      <w:r>
        <w:t xml:space="preserve">(1, 1, 0) pos + int : 4 16.0% ███</w:t>
      </w:r>
      <w:r>
        <w:t xml:space="preserve"> </w:t>
      </w:r>
      <w:r>
        <w:t xml:space="preserve">(0, 1, 0) int : 2 8.0% ██</w:t>
      </w:r>
      <w:r>
        <w:t xml:space="preserve"> </w:t>
      </w:r>
      <w:r>
        <w:t xml:space="preserve">(0, 0, 1) dn : 2 8.0% ██</w:t>
      </w:r>
    </w:p>
    <w:p>
      <w:pPr>
        <w:pStyle w:val="BodyText"/>
      </w:pPr>
      <w:r>
        <w:t xml:space="preserve">– Alertas –</w:t>
      </w:r>
      <w:r>
        <w:t xml:space="preserve"> </w:t>
      </w:r>
      <w:r>
        <w:t xml:space="preserve">all-zero = 16.0% [ALERTA] &gt; 15%, reconsiderar esquema de categorias.</w:t>
      </w:r>
    </w:p>
    <w:p>
      <w:pPr>
        <w:pStyle w:val="BodyText"/>
      </w:pPr>
      <w:r>
        <w:t xml:space="preserve">– Veredicto do gate –</w:t>
      </w:r>
      <w:r>
        <w:t xml:space="preserve"> </w:t>
      </w:r>
      <w:r>
        <w:t xml:space="preserve">APROVADO, α_doutrinario_normativa = 0.453 ≥ 0.40</w:t>
      </w:r>
    </w:p>
    <w:p>
      <w:pPr>
        <w:pStyle w:val="BodyText"/>
      </w:pPr>
      <w:r>
        <w:t xml:space="preserve">Neste exemplo hipotético, o gate está aprovado pelo α, mas o all-zero está acima de 15%, os dois anotadores precisam discutir se os casos (0,0,0) são genuinamente inconclusivos ou se há um critério que faltou no guia.</w:t>
      </w:r>
    </w:p>
    <w:bookmarkEnd w:id="36"/>
    <w:bookmarkEnd w:id="37"/>
    <w:bookmarkStart w:id="41" w:name="etapa-6-sessão-de-adjudicação"/>
    <w:p>
      <w:pPr>
        <w:pStyle w:val="Heading1"/>
      </w:pPr>
      <w:r>
        <w:t xml:space="preserve">Etapa 6, Sessão de adjudicação</w:t>
      </w:r>
    </w:p>
    <w:p>
      <w:pPr>
        <w:pStyle w:val="FirstParagraph"/>
      </w:pPr>
      <w:r>
        <w:t xml:space="preserve">A adjudicação é uma sessão conjunta em que os dois anotadores comparam as escolhas artigo a artigo e definem o rótulo gold (consenso).</w:t>
      </w:r>
    </w:p>
    <w:bookmarkStart w:id="38" w:name="preparar-o-arquivo-de-comparação"/>
    <w:p>
      <w:pPr>
        <w:pStyle w:val="Heading2"/>
      </w:pPr>
      <w:r>
        <w:t xml:space="preserve">6.1 Preparar o arquivo de comparação</w:t>
      </w:r>
    </w:p>
    <w:p>
      <w:pPr>
        <w:pStyle w:val="FirstParagraph"/>
      </w:pPr>
      <w:r>
        <w:t xml:space="preserve">Antes da sessão, monte uma planilha de divergências:</w:t>
      </w:r>
    </w:p>
    <w:p>
      <w:pPr>
        <w:pStyle w:val="BodyText"/>
      </w:pPr>
      <w:r>
        <w:t xml:space="preserve">import pandas as pd</w:t>
      </w:r>
    </w:p>
    <w:p>
      <w:pPr>
        <w:pStyle w:val="BodyText"/>
      </w:pPr>
      <w:r>
        <w:t xml:space="preserve">df = pd.read_csv(</w:t>
      </w:r>
      <w:r>
        <w:t xml:space="preserve">“</w:t>
      </w:r>
      <w:r>
        <w:t xml:space="preserve">annotations.csv</w:t>
      </w:r>
      <w:r>
        <w:t xml:space="preserve">”</w:t>
      </w:r>
      <w:r>
        <w:t xml:space="preserve">)</w:t>
      </w:r>
      <w:r>
        <w:t xml:space="preserve"> </w:t>
      </w:r>
      <w:r>
        <w:t xml:space="preserve">cols = [</w:t>
      </w:r>
      <w:r>
        <w:t xml:space="preserve">“</w:t>
      </w:r>
      <w:r>
        <w:t xml:space="preserve">epi_positivista</w:t>
      </w:r>
      <w:r>
        <w:t xml:space="preserve">”</w:t>
      </w:r>
      <w:r>
        <w:t xml:space="preserve">,</w:t>
      </w:r>
      <w:r>
        <w:t xml:space="preserve">“</w:t>
      </w:r>
      <w:r>
        <w:t xml:space="preserve">epi_interpretativa</w:t>
      </w:r>
      <w:r>
        <w:t xml:space="preserve">”</w:t>
      </w:r>
      <w:r>
        <w:t xml:space="preserve">,</w:t>
      </w:r>
      <w:r>
        <w:t xml:space="preserve">“</w:t>
      </w:r>
      <w:r>
        <w:t xml:space="preserve">epi_doutrinario_normativa</w:t>
      </w:r>
      <w:r>
        <w:t xml:space="preserve">”</w:t>
      </w:r>
      <w:r>
        <w:t xml:space="preserve">]</w:t>
      </w:r>
      <w:r>
        <w:t xml:space="preserve"> </w:t>
      </w:r>
      <w:r>
        <w:t xml:space="preserve">ann1 = df[df.annotator==</w:t>
      </w:r>
      <w:r>
        <w:t xml:space="preserve">“</w:t>
      </w:r>
      <w:r>
        <w:t xml:space="preserve">ann1</w:t>
      </w:r>
      <w:r>
        <w:t xml:space="preserve">”</w:t>
      </w:r>
      <w:r>
        <w:t xml:space="preserve">].set_index(</w:t>
      </w:r>
      <w:r>
        <w:t xml:space="preserve">“</w:t>
      </w:r>
      <w:r>
        <w:t xml:space="preserve">doc_id</w:t>
      </w:r>
      <w:r>
        <w:t xml:space="preserve">”</w:t>
      </w:r>
      <w:r>
        <w:t xml:space="preserve">)[cols]</w:t>
      </w:r>
      <w:r>
        <w:t xml:space="preserve"> </w:t>
      </w:r>
      <w:r>
        <w:t xml:space="preserve">ann2 = df[df.annotator==</w:t>
      </w:r>
      <w:r>
        <w:t xml:space="preserve">“</w:t>
      </w:r>
      <w:r>
        <w:t xml:space="preserve">ann2</w:t>
      </w:r>
      <w:r>
        <w:t xml:space="preserve">”</w:t>
      </w:r>
      <w:r>
        <w:t xml:space="preserve">].set_index(</w:t>
      </w:r>
      <w:r>
        <w:t xml:space="preserve">“</w:t>
      </w:r>
      <w:r>
        <w:t xml:space="preserve">doc_id</w:t>
      </w:r>
      <w:r>
        <w:t xml:space="preserve">”</w:t>
      </w:r>
      <w:r>
        <w:t xml:space="preserve">)[cols]</w:t>
      </w:r>
      <w:r>
        <w:t xml:space="preserve"> </w:t>
      </w:r>
      <w:r>
        <w:t xml:space="preserve">divergencias = ann1.compare(ann2)</w:t>
      </w:r>
      <w:r>
        <w:t xml:space="preserve"> </w:t>
      </w:r>
      <w:r>
        <w:t xml:space="preserve">print(f”Artigos com ao menos uma divergência: {len(divergencias)}</w:t>
      </w:r>
      <w:r>
        <w:t xml:space="preserve">“</w:t>
      </w:r>
      <w:r>
        <w:t xml:space="preserve">)</w:t>
      </w:r>
      <w:r>
        <w:t xml:space="preserve"> </w:t>
      </w:r>
      <w:r>
        <w:t xml:space="preserve">divergencias.to_csv(</w:t>
      </w:r>
      <w:r>
        <w:t xml:space="preserve">”</w:t>
      </w:r>
      <w:r>
        <w:t xml:space="preserve">divergencias.csv”)</w:t>
      </w:r>
    </w:p>
    <w:p>
      <w:pPr>
        <w:pStyle w:val="BodyText"/>
      </w:pPr>
      <w:r>
        <w:t xml:space="preserve">Abra divergencias.csv no Sheets para usar durante a sessão.</w:t>
      </w:r>
    </w:p>
    <w:bookmarkEnd w:id="38"/>
    <w:bookmarkStart w:id="39" w:name="conduzir-a-adjudicação"/>
    <w:p>
      <w:pPr>
        <w:pStyle w:val="Heading2"/>
      </w:pPr>
      <w:r>
        <w:t xml:space="preserve">6.2 Conduzir a adjudicação</w:t>
      </w:r>
    </w:p>
    <w:p>
      <w:pPr>
        <w:pStyle w:val="FirstParagraph"/>
      </w:pPr>
      <w:r>
        <w:t xml:space="preserve">Para cada artigo com divergência:</w:t>
      </w:r>
    </w:p>
    <w:p>
      <w:pPr>
        <w:numPr>
          <w:ilvl w:val="0"/>
          <w:numId w:val="1010"/>
        </w:numPr>
      </w:pPr>
      <w:r>
        <w:t xml:space="preserve">Ambos os anotadores leem o abstract em silêncio novamente</w:t>
      </w:r>
    </w:p>
    <w:p>
      <w:pPr>
        <w:numPr>
          <w:ilvl w:val="0"/>
          <w:numId w:val="1010"/>
        </w:numPr>
      </w:pPr>
      <w:r>
        <w:t xml:space="preserve">O anotador que marcou 1 explica em uma frase por quê</w:t>
      </w:r>
    </w:p>
    <w:p>
      <w:pPr>
        <w:numPr>
          <w:ilvl w:val="0"/>
          <w:numId w:val="1010"/>
        </w:numPr>
      </w:pPr>
      <w:r>
        <w:t xml:space="preserve">O anotador que marcou 0 explica em uma frase por quê</w:t>
      </w:r>
    </w:p>
    <w:p>
      <w:pPr>
        <w:numPr>
          <w:ilvl w:val="0"/>
          <w:numId w:val="1010"/>
        </w:numPr>
      </w:pPr>
      <w:r>
        <w:t xml:space="preserve">Discutem até convergir num critério compartilhado, não num compromisso (</w:t>
      </w:r>
      <w:r>
        <w:t xml:space="preserve">“</w:t>
      </w:r>
      <w:r>
        <w:t xml:space="preserve">vamos colocar 1 aqui porque é difícil</w:t>
      </w:r>
      <w:r>
        <w:t xml:space="preserve">”</w:t>
      </w:r>
      <w:r>
        <w:t xml:space="preserve">)</w:t>
      </w:r>
    </w:p>
    <w:p>
      <w:pPr>
        <w:numPr>
          <w:ilvl w:val="0"/>
          <w:numId w:val="1010"/>
        </w:numPr>
      </w:pPr>
      <w:r>
        <w:t xml:space="preserve">Registram o gold e o critério que resolveu a divergência</w:t>
      </w:r>
    </w:p>
    <w:p>
      <w:pPr>
        <w:pStyle w:val="FirstParagraph"/>
      </w:pPr>
      <w:r>
        <w:rPr>
          <w:bCs/>
          <w:b/>
        </w:rPr>
        <w:t xml:space="preserve">Atenção:</w:t>
      </w:r>
      <w:r>
        <w:t xml:space="preserve"> </w:t>
      </w:r>
      <w:r>
        <w:t xml:space="preserve">o objetivo não é apenas resolver os 25 artigos, é calibrar o critério para os 400+ que virão. Toda divergência tem um ensinamento sobre onde o guia é ambíguo.</w:t>
      </w:r>
    </w:p>
    <w:bookmarkEnd w:id="39"/>
    <w:bookmarkStart w:id="40" w:name="documentar-os-critérios-emergentes"/>
    <w:p>
      <w:pPr>
        <w:pStyle w:val="Heading2"/>
      </w:pPr>
      <w:r>
        <w:t xml:space="preserve">6.3 Documentar os critérios emergentes</w:t>
      </w:r>
    </w:p>
    <w:p>
      <w:pPr>
        <w:pStyle w:val="FirstParagraph"/>
      </w:pPr>
      <w:r>
        <w:t xml:space="preserve">Crie um arquivo notas_adjudicacao.md com os padrões que apareceram. Exemplo:</w:t>
      </w:r>
    </w:p>
    <w:bookmarkEnd w:id="40"/>
    <w:bookmarkEnd w:id="41"/>
    <w:bookmarkStart w:id="45" w:name="X82a2698aa42bc3d61fdf5c5a886a8751cfc8399"/>
    <w:p>
      <w:pPr>
        <w:pStyle w:val="Heading1"/>
      </w:pPr>
      <w:r>
        <w:t xml:space="preserve">Critérios emergentes, Calibração epi, Junho 2026</w:t>
      </w:r>
    </w:p>
    <w:bookmarkStart w:id="42" w:name="Xd3cae43768d6f8b3a271eb49667342ecdd8d219"/>
    <w:p>
      <w:pPr>
        <w:pStyle w:val="Heading2"/>
      </w:pPr>
      <w:r>
        <w:t xml:space="preserve">Caso tipo 1: abstract prescritivo sem dado, mas em tom acadêmico neutro</w:t>
      </w:r>
    </w:p>
    <w:p>
      <w:pPr>
        <w:pStyle w:val="FirstParagraph"/>
      </w:pPr>
      <w:r>
        <w:t xml:space="preserve">Decisão: doutrinário-normativa = 1 se a conclusão for proposição normativa,</w:t>
      </w:r>
      <w:r>
        <w:t xml:space="preserve"> </w:t>
      </w:r>
      <w:r>
        <w:t xml:space="preserve">independente do tom.</w:t>
      </w:r>
      <w:r>
        <w:t xml:space="preserve"> </w:t>
      </w:r>
      <w:r>
        <w:t xml:space="preserve">“</w:t>
      </w:r>
      <w:r>
        <w:t xml:space="preserve">We propose a framework for…</w:t>
      </w:r>
      <w:r>
        <w:t xml:space="preserve">”</w:t>
      </w:r>
      <w:r>
        <w:t xml:space="preserve"> </w:t>
      </w:r>
      <w:r>
        <w:t xml:space="preserve">basta.</w:t>
      </w:r>
    </w:p>
    <w:bookmarkEnd w:id="42"/>
    <w:bookmarkStart w:id="43" w:name="X60b310ed5926adc60c0d5d37d056d0a3fe301df"/>
    <w:p>
      <w:pPr>
        <w:pStyle w:val="Heading2"/>
      </w:pPr>
      <w:r>
        <w:t xml:space="preserve">Caso tipo 2: revisão sistemática sem hipóteses</w:t>
      </w:r>
    </w:p>
    <w:p>
      <w:pPr>
        <w:pStyle w:val="FirstParagraph"/>
      </w:pPr>
      <w:r>
        <w:t xml:space="preserve">Decisão: positivista = 1 (tem dado sistematizado e afirma o que a literatura mostra).</w:t>
      </w:r>
    </w:p>
    <w:p>
      <w:pPr>
        <w:pStyle w:val="BodyText"/>
      </w:pPr>
      <w:r>
        <w:t xml:space="preserve">Esses critérios emergentes são o insumo para uma eventual revisão do Guia (§3).</w:t>
      </w:r>
    </w:p>
    <w:bookmarkEnd w:id="43"/>
    <w:bookmarkStart w:id="44" w:name="construir-o-arquivo-gold"/>
    <w:p>
      <w:pPr>
        <w:pStyle w:val="Heading2"/>
      </w:pPr>
      <w:r>
        <w:t xml:space="preserve">6.4 Construir o arquivo gold</w:t>
      </w:r>
    </w:p>
    <w:p>
      <w:pPr>
        <w:pStyle w:val="FirstParagraph"/>
      </w:pPr>
      <w:r>
        <w:t xml:space="preserve">Após a adjudicação, adicione as linhas gold ao annotations.csv:</w:t>
      </w:r>
    </w:p>
    <w:p>
      <w:pPr>
        <w:pStyle w:val="BodyText"/>
      </w:pPr>
      <w:r>
        <w:t xml:space="preserve">import pandas as pd</w:t>
      </w:r>
    </w:p>
    <w:p>
      <w:pPr>
        <w:pStyle w:val="BodyText"/>
      </w:pPr>
      <w:r>
        <w:t xml:space="preserve">gold_data = {</w:t>
      </w:r>
      <w:r>
        <w:t xml:space="preserve"> </w:t>
      </w:r>
      <w:r>
        <w:t xml:space="preserve">“</w:t>
      </w:r>
      <w:r>
        <w:t xml:space="preserve">doc_id</w:t>
      </w:r>
      <w:r>
        <w:t xml:space="preserve">”</w:t>
      </w:r>
      <w:r>
        <w:t xml:space="preserve">: […], # lista de todos os 25 doc_ids</w:t>
      </w:r>
      <w:r>
        <w:t xml:space="preserve"> </w:t>
      </w:r>
      <w:r>
        <w:t xml:space="preserve">“</w:t>
      </w:r>
      <w:r>
        <w:t xml:space="preserve">subsample</w:t>
      </w:r>
      <w:r>
        <w:t xml:space="preserve">”</w:t>
      </w:r>
      <w:r>
        <w:t xml:space="preserve">: […], # subsample de cada um</w:t>
      </w:r>
      <w:r>
        <w:t xml:space="preserve"> </w:t>
      </w:r>
      <w:r>
        <w:t xml:space="preserve">“</w:t>
      </w:r>
      <w:r>
        <w:t xml:space="preserve">annotator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epi_positivista</w:t>
      </w:r>
      <w:r>
        <w:t xml:space="preserve">”</w:t>
      </w:r>
      <w:r>
        <w:t xml:space="preserve">: […], # seu consenso</w:t>
      </w:r>
      <w:r>
        <w:t xml:space="preserve"> </w:t>
      </w:r>
      <w:r>
        <w:t xml:space="preserve">“</w:t>
      </w:r>
      <w:r>
        <w:t xml:space="preserve">epi_interpretativa</w:t>
      </w:r>
      <w:r>
        <w:t xml:space="preserve">”</w:t>
      </w:r>
      <w:r>
        <w:t xml:space="preserve">: […],</w:t>
      </w:r>
      <w:r>
        <w:t xml:space="preserve"> </w:t>
      </w:r>
      <w:r>
        <w:t xml:space="preserve">“</w:t>
      </w:r>
      <w:r>
        <w:t xml:space="preserve">epi_doutrinario_normativa</w:t>
      </w:r>
      <w:r>
        <w:t xml:space="preserve">”</w:t>
      </w:r>
      <w:r>
        <w:t xml:space="preserve">: […],</w:t>
      </w:r>
      <w:r>
        <w:t xml:space="preserve"> </w:t>
      </w:r>
      <w:r>
        <w:t xml:space="preserve">}</w:t>
      </w:r>
      <w:r>
        <w:t xml:space="preserve"> </w:t>
      </w:r>
      <w:r>
        <w:t xml:space="preserve">gold = pd.DataFrame(gold_data)</w:t>
      </w:r>
      <w:r>
        <w:t xml:space="preserve"> </w:t>
      </w:r>
      <w:r>
        <w:t xml:space="preserve">df = pd.read_csv(</w:t>
      </w:r>
      <w:r>
        <w:t xml:space="preserve">“</w:t>
      </w:r>
      <w:r>
        <w:t xml:space="preserve">annotations.csv</w:t>
      </w:r>
      <w:r>
        <w:t xml:space="preserve">”</w:t>
      </w:r>
      <w:r>
        <w:t xml:space="preserve">)</w:t>
      </w:r>
      <w:r>
        <w:t xml:space="preserve"> </w:t>
      </w:r>
      <w:r>
        <w:t xml:space="preserve">final = pd.concat([df, gold])</w:t>
      </w:r>
      <w:r>
        <w:t xml:space="preserve"> </w:t>
      </w:r>
      <w:r>
        <w:t xml:space="preserve">final.to_csv(</w:t>
      </w:r>
      <w:r>
        <w:t xml:space="preserve">“</w:t>
      </w:r>
      <w:r>
        <w:t xml:space="preserve">annotations.csv</w:t>
      </w:r>
      <w:r>
        <w:t xml:space="preserve">”</w:t>
      </w:r>
      <w:r>
        <w:t xml:space="preserve">, index=False)</w:t>
      </w:r>
      <w:r>
        <w:t xml:space="preserve"> </w:t>
      </w:r>
      <w:r>
        <w:t xml:space="preserve">print(f”annotations.csv final: {len(final)} linhas (ann1 + ann2 + gold)“)</w:t>
      </w:r>
    </w:p>
    <w:bookmarkEnd w:id="44"/>
    <w:bookmarkEnd w:id="45"/>
    <w:bookmarkStart w:id="50" w:name="Xd073edd8a1c8ff1ad85b0acc45fb1802d18e0d0"/>
    <w:p>
      <w:pPr>
        <w:pStyle w:val="Heading1"/>
      </w:pPr>
      <w:r>
        <w:t xml:space="preserve">Etapa 7, Interpretar o resultado e decidir</w:t>
      </w:r>
    </w:p>
    <w:bookmarkStart w:id="46" w:name="cenário-a-aprovado-sem-alertas"/>
    <w:p>
      <w:pPr>
        <w:pStyle w:val="Heading2"/>
      </w:pPr>
      <w:r>
        <w:t xml:space="preserve">Cenário A, APROVADO, sem alertas</w:t>
      </w:r>
    </w:p>
    <w:p>
      <w:pPr>
        <w:pStyle w:val="FirstParagraph"/>
      </w:pPr>
      <w:r>
        <w:t xml:space="preserve">α_doutrinario_normativa ≥ 0,40 e all-zero ≤ 15%.</w:t>
      </w:r>
    </w:p>
    <w:p>
      <w:pPr>
        <w:pStyle w:val="BodyText"/>
      </w:pPr>
      <w:r>
        <w:t xml:space="preserve">Você e o segundo anotador estão alinhados o suficiente para começar o Gold Standard. Comunique o resultado à supervisora (Profa. Cunha) com o output do run_labels.py e o notas_adjudicacao.md. Registre no Lab Notebook.</w:t>
      </w:r>
    </w:p>
    <w:p>
      <w:pPr>
        <w:pStyle w:val="BodyText"/>
      </w:pPr>
      <w:r>
        <w:t xml:space="preserve">Próximo passo: escalonar para 400–500 artigos (Gold Standard).</w:t>
      </w:r>
    </w:p>
    <w:bookmarkEnd w:id="46"/>
    <w:bookmarkStart w:id="47" w:name="X8f48b9a8be12e05ca8ace6475524988d0af8b3f"/>
    <w:p>
      <w:pPr>
        <w:pStyle w:val="Heading2"/>
      </w:pPr>
      <w:r>
        <w:t xml:space="preserve">Cenário B, APROVADO, mas all-zero acima de 15%</w:t>
      </w:r>
    </w:p>
    <w:p>
      <w:pPr>
        <w:pStyle w:val="FirstParagraph"/>
      </w:pPr>
      <w:r>
        <w:t xml:space="preserve">O gate de α passou, mas muitos artigos ficaram inconclusivos. Antes de escalar, discuta com a supervisora:</w:t>
      </w:r>
    </w:p>
    <w:p>
      <w:pPr>
        <w:numPr>
          <w:ilvl w:val="0"/>
          <w:numId w:val="1011"/>
        </w:numPr>
      </w:pPr>
      <w:r>
        <w:t xml:space="preserve">Os casos (0,0,0) são genuinamente inconclusivos, ou o esquema está perdendo uma categoria?</w:t>
      </w:r>
    </w:p>
    <w:p>
      <w:pPr>
        <w:numPr>
          <w:ilvl w:val="0"/>
          <w:numId w:val="1011"/>
        </w:numPr>
      </w:pPr>
      <w:r>
        <w:t xml:space="preserve">Se ≥ 20% dos artigos de um cluster específico são inconclusivos, vale investigar por cluster</w:t>
      </w:r>
    </w:p>
    <w:bookmarkEnd w:id="47"/>
    <w:bookmarkStart w:id="48" w:name="cenário-c-reprovado"/>
    <w:p>
      <w:pPr>
        <w:pStyle w:val="Heading2"/>
      </w:pPr>
      <w:r>
        <w:t xml:space="preserve">Cenário C, REPROVADO</w:t>
      </w:r>
    </w:p>
    <w:p>
      <w:pPr>
        <w:pStyle w:val="FirstParagraph"/>
      </w:pPr>
      <w:r>
        <w:t xml:space="preserve">α_doutrinario_normativa &lt; 0,40.</w:t>
      </w:r>
    </w:p>
    <w:p>
      <w:pPr>
        <w:pStyle w:val="BodyText"/>
      </w:pPr>
      <w:r>
        <w:t xml:space="preserve">Não entre na anotação completa. Protocolo de recuperação:</w:t>
      </w:r>
    </w:p>
    <w:p>
      <w:pPr>
        <w:numPr>
          <w:ilvl w:val="0"/>
          <w:numId w:val="1012"/>
        </w:numPr>
      </w:pPr>
      <w:r>
        <w:t xml:space="preserve">Examine os artigos com maior divergência (ambos com confiança ≥ 2 mas flags opostos)</w:t>
      </w:r>
    </w:p>
    <w:p>
      <w:pPr>
        <w:numPr>
          <w:ilvl w:val="0"/>
          <w:numId w:val="1012"/>
        </w:numPr>
      </w:pPr>
      <w:r>
        <w:t xml:space="preserve">Identifique o padrão de discordância: os dois anotadores divergem em doutrinário-normativa? Em interpretativa?</w:t>
      </w:r>
    </w:p>
    <w:p>
      <w:pPr>
        <w:numPr>
          <w:ilvl w:val="0"/>
          <w:numId w:val="1012"/>
        </w:numPr>
      </w:pPr>
      <w:r>
        <w:t xml:space="preserve">Revise o Guia v4 §3.3 para o padrão problemático; adicione um exemplo trabalhado se necessário</w:t>
      </w:r>
    </w:p>
    <w:p>
      <w:pPr>
        <w:numPr>
          <w:ilvl w:val="0"/>
          <w:numId w:val="1012"/>
        </w:numPr>
      </w:pPr>
      <w:r>
        <w:t xml:space="preserve">Repita a calibração com 15–20 artigos novos (não os mesmos, o efeito de aprendizado invalida a medição)</w:t>
      </w:r>
    </w:p>
    <w:p>
      <w:pPr>
        <w:numPr>
          <w:ilvl w:val="0"/>
          <w:numId w:val="1012"/>
        </w:numPr>
      </w:pPr>
      <w:r>
        <w:t xml:space="preserve">Reporte a supervisora antes de repetir</w:t>
      </w:r>
    </w:p>
    <w:bookmarkEnd w:id="48"/>
    <w:bookmarkStart w:id="49" w:name="X2534440da58a31b193ac193108baceb68e6e543"/>
    <w:p>
      <w:pPr>
        <w:pStyle w:val="Heading2"/>
      </w:pPr>
      <w:r>
        <w:t xml:space="preserve">Cenário D, α negativo ou muito próximo de zero</w:t>
      </w:r>
    </w:p>
    <w:p>
      <w:pPr>
        <w:pStyle w:val="FirstParagraph"/>
      </w:pPr>
      <w:r>
        <w:t xml:space="preserve">Isto indica que os anotadores estão invertidos em algum critério (um marca 1 onde o outro sempre marca 0). Revejam juntos os exemplos do Guia §7 antes de qualquer outra ação.</w:t>
      </w:r>
    </w:p>
    <w:bookmarkEnd w:id="49"/>
    <w:bookmarkEnd w:id="50"/>
    <w:bookmarkStart w:id="52" w:name="etapa-8-registrar-e-arquivar"/>
    <w:p>
      <w:pPr>
        <w:pStyle w:val="Heading1"/>
      </w:pPr>
      <w:r>
        <w:t xml:space="preserve">Etapa 8, Registrar e arquivar</w:t>
      </w:r>
    </w:p>
    <w:p>
      <w:pPr>
        <w:pStyle w:val="FirstParagraph"/>
      </w:pPr>
      <w:r>
        <w:t xml:space="preserve">Após a sessão, registre no Lab Notebook:</w:t>
      </w:r>
    </w:p>
    <w:bookmarkStart w:id="51" w:name="yyyy-mm-dd-sessão-de-calibração-epi"/>
    <w:p>
      <w:pPr>
        <w:pStyle w:val="Heading2"/>
      </w:pPr>
      <w:r>
        <w:t xml:space="preserve">YYYY-MM-DD, Sessão de calibração epi</w:t>
      </w:r>
    </w:p>
    <w:p>
      <w:pPr>
        <w:pStyle w:val="FirstParagraph"/>
      </w:pPr>
      <w:r>
        <w:t xml:space="preserve">Anotadores: ann1 (Fernando Leite), ann2 ([nome])</w:t>
      </w:r>
      <w:r>
        <w:t xml:space="preserve"> </w:t>
      </w:r>
      <w:r>
        <w:t xml:space="preserve">Artigos: 25 (sample_calib.csv, seed 42)</w:t>
      </w:r>
      <w:r>
        <w:t xml:space="preserve"> </w:t>
      </w:r>
      <w:r>
        <w:t xml:space="preserve">α epi_positivista: X.XXX</w:t>
      </w:r>
      <w:r>
        <w:t xml:space="preserve"> </w:t>
      </w:r>
      <w:r>
        <w:t xml:space="preserve">α epi_interpretativa: X.XXX</w:t>
      </w:r>
      <w:r>
        <w:t xml:space="preserve"> </w:t>
      </w:r>
      <w:r>
        <w:t xml:space="preserve">α epi_doutrinario_normativa: X.XXX [APROVADO/REPROVADO]</w:t>
      </w:r>
      <w:r>
        <w:t xml:space="preserve"> </w:t>
      </w:r>
      <w:r>
        <w:t xml:space="preserve">all-zero rate: X.X%</w:t>
      </w:r>
      <w:r>
        <w:t xml:space="preserve"> </w:t>
      </w:r>
      <w:r>
        <w:t xml:space="preserve">Resultado: [APROVADO/REPROVADO/REPROVADO, repetir]</w:t>
      </w:r>
      <w:r>
        <w:t xml:space="preserve"> </w:t>
      </w:r>
      <w:r>
        <w:t xml:space="preserve">Critérios emergentes: [resumo de notas_adjudicacao.md]</w:t>
      </w:r>
      <w:r>
        <w:t xml:space="preserve"> </w:t>
      </w:r>
      <w:r>
        <w:t xml:space="preserve">Próximo passo: […]</w:t>
      </w:r>
    </w:p>
    <w:p>
      <w:pPr>
        <w:pStyle w:val="BodyText"/>
      </w:pPr>
      <w:r>
        <w:t xml:space="preserve">Arquive no repositório:</w:t>
      </w:r>
    </w:p>
    <w:p>
      <w:pPr>
        <w:numPr>
          <w:ilvl w:val="0"/>
          <w:numId w:val="1013"/>
        </w:numPr>
      </w:pPr>
      <w:r>
        <w:t xml:space="preserve">annotations.csv → pilot/data/annotations_calib_YYYY-MM-DD.csv</w:t>
      </w:r>
    </w:p>
    <w:p>
      <w:pPr>
        <w:numPr>
          <w:ilvl w:val="0"/>
          <w:numId w:val="1013"/>
        </w:numPr>
      </w:pPr>
      <w:r>
        <w:t xml:space="preserve">notas_adjudicacao.md → Lab Notebook/</w:t>
      </w:r>
    </w:p>
    <w:bookmarkEnd w:id="51"/>
    <w:bookmarkEnd w:id="52"/>
    <w:bookmarkStart w:id="53" w:name="X9c6101fee406b50e8382a2152d596d7ce84394c"/>
    <w:p>
      <w:pPr>
        <w:pStyle w:val="Heading1"/>
      </w:pPr>
      <w:r>
        <w:t xml:space="preserve">Referência rápida, Campos do arquivo de anotação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preencher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epi_positivista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Postura empírico-explicativa presente?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epi_interpretativa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Postura interpretativo-compreensiva presente?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epi_doutrinario_normativa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Postura doutrinário-normativa presente?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Quão seguro estou desta anotação?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(baixa) a 3 (alta)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observação sobre o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livre</w:t>
            </w:r>
          </w:p>
        </w:tc>
      </w:tr>
    </w:tbl>
    <w:p>
      <w:pPr>
        <w:pStyle w:val="BodyText"/>
      </w:pPr>
      <w:r>
        <w:t xml:space="preserve">Os três flags são independentes. Qualquer combinação é válida. (0,0,0) = inconclusivo, não deriva nenhuma postura.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venir Nex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venir Nex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2026-06-28T15:18:13Z</dcterms:created>
  <dcterms:modified xsi:type="dcterms:W3CDTF">2026-06-28T15:18:13Z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