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Guia de Anotação</w:t>
      </w:r>
      <w:r>
        <w:t xml:space="preserve">** de Posturas Epistemológicas**</w:t>
      </w:r>
    </w:p>
    <w:p>
      <w:pPr>
        <w:pStyle w:val="BodyText"/>
      </w:pPr>
      <w:r>
        <w:rPr>
          <w:bCs/>
          <w:b/>
        </w:rPr>
        <w:t xml:space="preserve">Tipologia ternária multi-rótulo, EE · IC · DN</w:t>
      </w:r>
    </w:p>
    <w:p>
      <w:pPr>
        <w:pStyle w:val="BodyText"/>
      </w:pPr>
      <w:r>
        <w:rPr>
          <w:iCs/>
          <w:i/>
        </w:rPr>
        <w:t xml:space="preserve">Fernando Leite · Pós-doutorado FAPESP, FGV</w:t>
      </w:r>
      <w:r>
        <w:rPr>
          <w:iCs/>
          <w:i/>
        </w:rPr>
        <w:t xml:space="preserve"> </w:t>
      </w:r>
    </w:p>
    <w:p>
      <w:pPr>
        <w:pStyle w:val="BodyText"/>
      </w:pPr>
      <w:r>
        <w:t xml:space="preserve">Versão 4.0 · 1 de junho de 2026</w:t>
      </w:r>
    </w:p>
    <w:bookmarkStart w:id="20" w:name="introdução"/>
    <w:p>
      <w:pPr>
        <w:pStyle w:val="Heading2"/>
      </w:pPr>
      <w:r>
        <w:t xml:space="preserve">§0 Introdução</w:t>
      </w:r>
    </w:p>
    <w:p>
      <w:pPr>
        <w:pStyle w:val="FirstParagraph"/>
      </w:pPr>
      <w:r>
        <w:t xml:space="preserve">Um dos eixos analíticos centrais da pesquisa sobre o campo de produção em Governança Digital são as posturas epistemológicas: a concepção de conhecimento, a visão de mundo que permeia a definição do objeto de estudo e define os contornos das abordagens teórico-metodológicas mobilizadas para estudá-lo.</w:t>
      </w:r>
    </w:p>
    <w:p>
      <w:pPr>
        <w:pStyle w:val="BodyText"/>
      </w:pPr>
      <w:r>
        <w:t xml:space="preserve">O projeto adota três posturas, tratadas como categorias positivas e independentes: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EE, empírico-explicativa</w:t>
      </w:r>
      <w:r>
        <w:t xml:space="preserve"> </w:t>
      </w:r>
      <w:r>
        <w:t xml:space="preserve">(positivista)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IC, interpretativo-compreensiva</w:t>
      </w:r>
      <w:r>
        <w:t xml:space="preserve"> </w:t>
      </w:r>
      <w:r>
        <w:t xml:space="preserve">(interpretativa)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DN, doutrinário-normativa</w:t>
      </w:r>
    </w:p>
    <w:p>
      <w:pPr>
        <w:pStyle w:val="FirstParagraph"/>
      </w:pPr>
      <w:r>
        <w:t xml:space="preserve">A anotação é</w:t>
      </w:r>
      <w:r>
        <w:t xml:space="preserve"> </w:t>
      </w:r>
      <w:r>
        <w:rPr>
          <w:bCs/>
          <w:b/>
        </w:rPr>
        <w:t xml:space="preserve">multi-rótulo</w:t>
      </w:r>
      <w:r>
        <w:t xml:space="preserve">: cada postura é um marcador binário próprio, e um artigo pode ativar uma, duas ou as três. Não há exclusividade mútua e não há categoria derivada, DN é anotada diretamente, como EE e IC. Esta é a mudança em relação às versões anteriores deste guia, que tratavam DN como resíduo por exclusão e mantinham um esquema de chave dupla. A justificativa da escolha está no Codebook (DA-08).</w:t>
      </w:r>
    </w:p>
    <w:p>
      <w:pPr>
        <w:pStyle w:val="BodyText"/>
      </w:pPr>
      <w:r>
        <w:t xml:space="preserve">O Quadro Comparativo de Posturas (EE/IC/DN) está no Anexo A, ao final.</w:t>
      </w:r>
    </w:p>
    <w:p>
      <w:pPr>
        <w:pStyle w:val="BodyText"/>
      </w:pPr>
      <w:r>
        <w:rPr>
          <w:bCs/>
          <w:b/>
        </w:rPr>
        <w:t xml:space="preserve">ALERTA</w:t>
      </w:r>
      <w:r>
        <w:t xml:space="preserve"> </w:t>
      </w:r>
      <w:r>
        <w:t xml:space="preserve">A camada epistemológica é anotada em sessão separada da de cluster, em dia diferente, sem consultar o rótulo de cluster já atribuído (R4, §6). A separação evita contaminação cognitiva e preserva a ortogonalidade que o projeto pretende testar. |</w:t>
      </w:r>
    </w:p>
    <w:bookmarkEnd w:id="20"/>
    <w:bookmarkStart w:id="21" w:name="o-que-você-anota-três-marcadores"/>
    <w:p>
      <w:pPr>
        <w:pStyle w:val="Heading2"/>
      </w:pPr>
      <w:r>
        <w:t xml:space="preserve">§1 O que você anota: três marcadores</w:t>
      </w:r>
    </w:p>
    <w:p>
      <w:pPr>
        <w:pStyle w:val="FirstParagraph"/>
      </w:pPr>
      <w:r>
        <w:t xml:space="preserve">Para cada artigo, três marcadores binários independentes: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epi_positivista (0 = não / 1 = sim):</w:t>
      </w:r>
      <w:r>
        <w:t xml:space="preserve"> </w:t>
      </w:r>
      <w:r>
        <w:t xml:space="preserve">o artigo adota postura empírico-explicativa (busca padrões, efeitos, fatores).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epi_interpretativa (0 = não / 1 = sim):</w:t>
      </w:r>
      <w:r>
        <w:t xml:space="preserve"> </w:t>
      </w:r>
      <w:r>
        <w:t xml:space="preserve">o artigo adota postura interpretativo-compreensiva (busca significados e processos situados).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epi_doutrinario_normativa (0 = não / 1 = sim):</w:t>
      </w:r>
      <w:r>
        <w:t xml:space="preserve"> </w:t>
      </w:r>
      <w:r>
        <w:t xml:space="preserve">o artigo adota postura doutrinário-normativa (prescreve ou elabora conceitualmente, sem evidência empírica sistematizada).</w:t>
      </w:r>
    </w:p>
    <w:p>
      <w:pPr>
        <w:pStyle w:val="FirstParagraph"/>
      </w:pPr>
      <w:r>
        <w:t xml:space="preserve">Qualquer combinação é legítima. Os casos mais comuns são de marcador único (só EE, só IC, só DN). Combinações de dois marcadores são esperadas e informativas, por exemplo, um artigo jurídico que ancora a prescrição em dados empíricos (DN+EE), ou uma análise hermenêutica que culmina em proposta normativa (IC+DN). O caso EE+IC é o clássico métodos mistos.</w:t>
      </w:r>
    </w:p>
    <w:p>
      <w:pPr>
        <w:pStyle w:val="BodyText"/>
      </w:pPr>
      <w:r>
        <w:rPr>
          <w:bCs/>
          <w:b/>
        </w:rPr>
        <w:t xml:space="preserve">Regra do all-zero.</w:t>
      </w:r>
      <w:r>
        <w:t xml:space="preserve"> </w:t>
      </w:r>
      <w:r>
        <w:t xml:space="preserve">Se os três marcadores ficarem em 0, o artigo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DN por default. Marque confianca = 1, descreva em notas por que nenhuma categoria se aplica, e leve o caso à calibração. Casos assim, teoria crítica pura, modelagem formal sem teste, revisão sistemática meta-científica, são informação metodológica, não erro. |</w:t>
      </w:r>
    </w:p>
    <w:bookmarkEnd w:id="21"/>
    <w:bookmarkStart w:id="23" w:name="a-regra-de-ouro-da-epistemologia"/>
    <w:p>
      <w:pPr>
        <w:pStyle w:val="Heading2"/>
      </w:pPr>
      <w:r>
        <w:t xml:space="preserve">§2 A Regra de Ouro da Epistemologia</w:t>
      </w:r>
    </w:p>
    <w:p>
      <w:pPr>
        <w:pStyle w:val="FirstParagraph"/>
      </w:pPr>
      <w:r>
        <w:t xml:space="preserve">A disciplina se anuncia; a epistemologia se esconde. Classifique pelo tipo de afirmação e pelo método, nunca pelo tópico.</w:t>
      </w:r>
    </w:p>
    <w:p>
      <w:pPr>
        <w:pStyle w:val="BodyText"/>
      </w:pPr>
      <w:r>
        <w:t xml:space="preserve">A postura epistemológica é quase sempre implícita: transparece em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o estudo foi conduzido e no que se propõe a concluir, não no assunto de que trata.</w:t>
      </w:r>
    </w:p>
    <w:p>
      <w:pPr>
        <w:pStyle w:val="BodyText"/>
      </w:pPr>
      <w:r>
        <w:rPr>
          <w:bCs/>
          <w:b/>
        </w:rPr>
        <w:t xml:space="preserve">O mesmo</w:t>
      </w:r>
      <w:r>
        <w:t xml:space="preserve">** ****tópico**** ****pode**** ****admitir**** as ****três**** posturas.**</w:t>
      </w:r>
      <w:r>
        <w:t xml:space="preserve"> </w:t>
      </w:r>
      <w:r>
        <w:t xml:space="preserve">“</w:t>
      </w:r>
      <w:r>
        <w:t xml:space="preserve">Transparência</w:t>
      </w:r>
      <w:r>
        <w:t xml:space="preserve">”</w:t>
      </w:r>
      <w:r>
        <w:t xml:space="preserve"> </w:t>
      </w:r>
      <w:r>
        <w:t xml:space="preserve">pode ser objeto de um</w:t>
      </w:r>
      <w:r>
        <w:t xml:space="preserve"> </w:t>
      </w:r>
      <w:r>
        <w:rPr>
          <w:iCs/>
          <w:i/>
        </w:rPr>
        <w:t xml:space="preserve">survey</w:t>
      </w:r>
      <w:r>
        <w:t xml:space="preserve"> </w:t>
      </w:r>
      <w:r>
        <w:t xml:space="preserve">causal (EE), de uma etnografia sobre como servidores a vivenciam (IC) ou de um ensaio que a defende como dever jurídico (DN).</w:t>
      </w:r>
    </w:p>
    <w:bookmarkStart w:id="22" w:name="protocolo-de-leitura"/>
    <w:p>
      <w:pPr>
        <w:pStyle w:val="Heading3"/>
      </w:pPr>
      <w:r>
        <w:t xml:space="preserve">2.2 Protocolo de leitura</w:t>
      </w:r>
    </w:p>
    <w:p>
      <w:pPr>
        <w:pStyle w:val="FirstParagraph"/>
      </w:pPr>
      <w:r>
        <w:t xml:space="preserve">Leia o</w:t>
      </w:r>
      <w:r>
        <w:t xml:space="preserve"> </w:t>
      </w:r>
      <w:r>
        <w:rPr>
          <w:iCs/>
          <w:i/>
        </w:rPr>
        <w:t xml:space="preserve">abstract</w:t>
      </w:r>
      <w:r>
        <w:t xml:space="preserve"> </w:t>
      </w:r>
      <w:r>
        <w:t xml:space="preserve">uma vez por inteiro e releia mirando duas zonas: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Zona do método.</w:t>
      </w:r>
      <w:r>
        <w:t xml:space="preserve"> </w:t>
      </w:r>
      <w:r>
        <w:t xml:space="preserve">Como os dados (se houver) foram produzidos e analisados?</w:t>
      </w:r>
      <w:r>
        <w:t xml:space="preserve"> </w:t>
      </w:r>
      <w:r>
        <w:t xml:space="preserve">“</w:t>
      </w:r>
      <w:r>
        <w:t xml:space="preserve">we conducted a survey…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drawing on interviews…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using PLS-SEM…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ethnographic…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 argue that…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 propose…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Zona da conclusão / contribuição.</w:t>
      </w:r>
      <w:r>
        <w:t xml:space="preserve"> </w:t>
      </w:r>
      <w:r>
        <w:t xml:space="preserve">Que resultado o artigo entrega? Achados e efeitos? Uma compreensão situada? Uma prescrição ou princípio?</w:t>
      </w:r>
    </w:p>
    <w:p>
      <w:pPr>
        <w:pStyle w:val="FirstParagraph"/>
      </w:pPr>
      <w:r>
        <w:t xml:space="preserve">Então, a pergunta diagnóstica, aplicada de forma independente a cada postura:</w:t>
      </w:r>
    </w:p>
    <w:p>
      <w:pPr>
        <w:pStyle w:val="BodyText"/>
      </w:pPr>
      <w:r>
        <w:rPr>
          <w:bCs/>
          <w:b/>
        </w:rPr>
        <w:t xml:space="preserve">REGRA</w:t>
      </w:r>
      <w:r>
        <w:t xml:space="preserve"> </w:t>
      </w:r>
      <w:r>
        <w:t xml:space="preserve">Que tipos de afirmação este artigo faz sobre o mundo? Causal/explicativa → marque EE. Compreensiva/hermenêutica → marque IC. Normativa/prescritiva sem dado → marque DN. Um artigo pode fazer mais de um tipo. |</w:t>
      </w:r>
    </w:p>
    <w:bookmarkEnd w:id="22"/>
    <w:bookmarkEnd w:id="23"/>
    <w:bookmarkStart w:id="29" w:name="definição-operacional-das-categorias"/>
    <w:p>
      <w:pPr>
        <w:pStyle w:val="Heading2"/>
      </w:pPr>
      <w:r>
        <w:t xml:space="preserve">§3 Definição operacional das categorias</w:t>
      </w:r>
    </w:p>
    <w:bookmarkStart w:id="24" w:name="ee-empírico-explicativa-positivista"/>
    <w:p>
      <w:pPr>
        <w:pStyle w:val="Heading3"/>
      </w:pPr>
      <w:r>
        <w:t xml:space="preserve">3.1 EE, Empírico-Explicativa (positivista)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Em uma frase:</w:t>
      </w:r>
      <w:r>
        <w:t xml:space="preserve"> </w:t>
      </w:r>
      <w:r>
        <w:t xml:space="preserve">busca padrões, efeitos e fatores. Pergunta</w:t>
      </w:r>
      <w:r>
        <w:t xml:space="preserve"> </w:t>
      </w:r>
      <w:r>
        <w:t xml:space="preserve">“</w:t>
      </w:r>
      <w:r>
        <w:t xml:space="preserve">qual o efeito de X sobre Y?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Lógica:</w:t>
      </w:r>
      <w:r>
        <w:t xml:space="preserve"> </w:t>
      </w:r>
      <w:r>
        <w:t xml:space="preserve">nomotética, generaliza para além do caso; visa validade externa e replicabilidade.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abstract:</w:t>
      </w:r>
      <w:r>
        <w:t xml:space="preserve"> </w:t>
      </w:r>
      <w:r>
        <w:t xml:space="preserve">hipóteses, variáveis e construtos, amostra (N), estatística; afirmações sobre o que é e o que causa o quê. Inclui o</w:t>
      </w:r>
      <w:r>
        <w:t xml:space="preserve"> </w:t>
      </w:r>
      <w:r>
        <w:rPr>
          <w:iCs/>
          <w:i/>
        </w:rPr>
        <w:t xml:space="preserve">survey</w:t>
      </w:r>
      <w:r>
        <w:t xml:space="preserve"> </w:t>
      </w:r>
      <w:r>
        <w:t xml:space="preserve">descritivo.</w:t>
      </w:r>
    </w:p>
    <w:bookmarkEnd w:id="24"/>
    <w:bookmarkStart w:id="25" w:name="Xd7edd8568613e375bf387f2d9942026040574c3"/>
    <w:p>
      <w:pPr>
        <w:pStyle w:val="Heading3"/>
      </w:pPr>
      <w:r>
        <w:t xml:space="preserve">3.2 IC, Interpretativo-Compreensiva (interpretativa)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Em uma frase:</w:t>
      </w:r>
      <w:r>
        <w:t xml:space="preserve"> </w:t>
      </w:r>
      <w:r>
        <w:t xml:space="preserve">busca significados e processos situados. Pergunta</w:t>
      </w:r>
      <w:r>
        <w:t xml:space="preserve"> </w:t>
      </w:r>
      <w:r>
        <w:t xml:space="preserve">“</w:t>
      </w:r>
      <w:r>
        <w:t xml:space="preserve">como X faz sentido / é apropriado em Y?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Lógica:</w:t>
      </w:r>
      <w:r>
        <w:t xml:space="preserve"> </w:t>
      </w:r>
      <w:r>
        <w:t xml:space="preserve">idiográfica, foca o particular e o contextual; generalização analítica (para a teoria), não estatística.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abstract:</w:t>
      </w:r>
      <w:r>
        <w:t xml:space="preserve"> </w:t>
      </w:r>
      <w:r>
        <w:t xml:space="preserve">caso profundo, etnografia, entrevistas, significado,</w:t>
      </w:r>
      <w:r>
        <w:t xml:space="preserve"> </w:t>
      </w:r>
      <w:r>
        <w:rPr>
          <w:iCs/>
          <w:i/>
        </w:rPr>
        <w:t xml:space="preserve">sensemaking</w:t>
      </w:r>
      <w:r>
        <w:t xml:space="preserve">, construção social, descrição densa, reflexividade.</w:t>
      </w:r>
    </w:p>
    <w:bookmarkEnd w:id="25"/>
    <w:bookmarkStart w:id="26" w:name="dn-doutrinário-normativa"/>
    <w:p>
      <w:pPr>
        <w:pStyle w:val="Heading3"/>
      </w:pPr>
      <w:r>
        <w:t xml:space="preserve">3.3 DN, Doutrinário-Normativa</w:t>
      </w:r>
    </w:p>
    <w:p>
      <w:pPr>
        <w:pStyle w:val="FirstParagraph"/>
      </w:pPr>
      <w:r>
        <w:t xml:space="preserve">DN é categoria plena e positiva: você a marca diretamente quando o artigo prescreve ou elabora conceitualmente, sem ancorar a conclusão em evidência empírica sistematizada. DN nem explica nem compreende fenômenos.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Em uma frase:</w:t>
      </w:r>
      <w:r>
        <w:t xml:space="preserve"> </w:t>
      </w:r>
      <w:r>
        <w:t xml:space="preserve">argumenta sobre o que deve ser, por princípio, dever, norma ou coerência conceitual, sem evidência empírica sistematizada.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Lógica:</w:t>
      </w:r>
      <w:r>
        <w:t xml:space="preserve"> </w:t>
      </w:r>
      <w:r>
        <w:t xml:space="preserve">nem nomotética nem idiográfica no sentido empírico; pretensão universalista-principiológica ou conceitual; a autoridade vem da norma, não do dado.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 abstract (sinais positivos):</w:t>
      </w:r>
      <w:r>
        <w:t xml:space="preserve"> </w:t>
      </w:r>
      <w:r>
        <w:t xml:space="preserve">ausência de dado primário; tom prescritivo (</w:t>
      </w:r>
      <w:r>
        <w:t xml:space="preserve">“</w:t>
      </w:r>
      <w:r>
        <w:t xml:space="preserve">deve-se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ought to / should</w:t>
      </w:r>
      <w:r>
        <w:t xml:space="preserve">”</w:t>
      </w:r>
      <w:r>
        <w:t xml:space="preserve">); proposição de princípios ou de um</w:t>
      </w:r>
      <w:r>
        <w:t xml:space="preserve"> </w:t>
      </w:r>
      <w:r>
        <w:t xml:space="preserve">“</w:t>
      </w:r>
      <w:r>
        <w:t xml:space="preserve">normative framework</w:t>
      </w:r>
      <w:r>
        <w:t xml:space="preserve">”</w:t>
      </w:r>
      <w:r>
        <w:t xml:space="preserve">; argumentação por princípio e analogia; aparato jurídico (doutrina, jurisprudência) ou filosófico.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Três registros sob o mesmo rótulo:</w:t>
      </w:r>
      <w:r>
        <w:t xml:space="preserve"> </w:t>
      </w:r>
      <w:r>
        <w:t xml:space="preserve">dogmática jurídica, ética principialista e filosofia da informação. São distintos no léxico, mas partilham a postura: conhecer é prescrever ou elaborar a norma.</w:t>
      </w:r>
    </w:p>
    <w:p>
      <w:pPr>
        <w:pStyle w:val="FirstParagraph"/>
      </w:pPr>
      <w:r>
        <w:t xml:space="preserve">DN não exclui EE nem IC. Um artigo que prescreve um dever jurídico (DN)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sustenta a prescrição em análise sistemática de jurisprudência (EE) recebe os dois marcadores. O que distingue DN é o modo normativo/conceitual da afirmação, não a ausência das outras posturas.</w:t>
      </w:r>
    </w:p>
    <w:p>
      <w:pPr>
        <w:pStyle w:val="BodyText"/>
      </w:pPr>
      <w:r>
        <w:rPr>
          <w:bCs/>
          <w:b/>
        </w:rPr>
        <w:t xml:space="preserve">Critério disjuntivo (registrado no Addendum 2 ao pré-registro OSF):</w:t>
      </w:r>
      <w:r>
        <w:t xml:space="preserve"> </w:t>
      </w:r>
      <w:r>
        <w:t xml:space="preserve">basta uma das duas facetas para epi_doutrinario_normativa = 1: a faceta doutrinal (dn:modo, argumentação por princípio, aparato jurídico, coerência conceitual) ou a faceta normativo-prescritiva (dn:norm, proposição de norma, dever, framework prescritivo). Quando ambas estiverem presentes, o artigo recebe dn:ambos. Registre a faceta identificada no campo notas (dn:modo, dn:norm ou dn:ambos), mesmo em rodadas de calibração, esse registro é usado pelo pipeline para diagnóstico.</w:t>
      </w:r>
    </w:p>
    <w:bookmarkEnd w:id="26"/>
    <w:bookmarkStart w:id="27" w:name="combinações-multi-rótulo"/>
    <w:p>
      <w:pPr>
        <w:pStyle w:val="Heading3"/>
      </w:pPr>
      <w:r>
        <w:t xml:space="preserve">3.4 Combinações (multi-rótulo)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EE + IC (métodos mistos):</w:t>
      </w:r>
      <w:r>
        <w:t xml:space="preserve"> </w:t>
      </w:r>
      <w:r>
        <w:t xml:space="preserve">fase quantitativa explanatória somada à fase qualitativa com pretensão hermenêutica genuína.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DN + EE:</w:t>
      </w:r>
      <w:r>
        <w:t xml:space="preserve"> </w:t>
      </w:r>
      <w:r>
        <w:t xml:space="preserve">prescrição ou doutrina ancorada em dado sistematizado (jurisprudência analisada empiricamente, princípio testado contra survey).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DN + IC:</w:t>
      </w:r>
      <w:r>
        <w:t xml:space="preserve"> </w:t>
      </w:r>
      <w:r>
        <w:t xml:space="preserve">elaboração normativa que se apoia em compreensão situada (estudo de caso interpretativo que culmina em proposta de princípio). É a fronteira mais delicada, ver §3.5.</w:t>
      </w:r>
    </w:p>
    <w:p>
      <w:pPr>
        <w:pStyle w:val="FirstParagraph"/>
      </w:pPr>
      <w:r>
        <w:rPr>
          <w:bCs/>
          <w:b/>
        </w:rPr>
        <w:t xml:space="preserve">ALERTA</w:t>
      </w:r>
      <w:r>
        <w:t xml:space="preserve"> </w:t>
      </w:r>
      <w:r>
        <w:t xml:space="preserve">Não confunda método qualitativo com postura interpretativa.</w:t>
      </w:r>
      <w:r>
        <w:t xml:space="preserve"> </w:t>
      </w:r>
      <w:r>
        <w:t xml:space="preserve">“</w:t>
      </w:r>
      <w:r>
        <w:t xml:space="preserve">Análise qualitativa de conteúdo</w:t>
      </w:r>
      <w:r>
        <w:t xml:space="preserve">”</w:t>
      </w:r>
      <w:r>
        <w:t xml:space="preserve"> </w:t>
      </w:r>
      <w:r>
        <w:t xml:space="preserve">sobre amostra grande, reduzida à contagem de códigos, é EE com método qualitativo periférico, não ativa IC. Para IC, a fase interpretativa precisa de pretensão hermenêutica clara.</w:t>
      </w:r>
    </w:p>
    <w:bookmarkEnd w:id="27"/>
    <w:bookmarkStart w:id="28" w:name="a-fronteira-dn-vs.-ic"/>
    <w:p>
      <w:pPr>
        <w:pStyle w:val="Heading3"/>
      </w:pPr>
      <w:r>
        <w:t xml:space="preserve">3.5 A fronteira DN vs. IC</w:t>
      </w:r>
    </w:p>
    <w:p>
      <w:pPr>
        <w:pStyle w:val="FirstParagraph"/>
      </w:pPr>
      <w:r>
        <w:t xml:space="preserve">Tese normativa ancorada em análise empírica de um corpus (por exemplo,</w:t>
      </w:r>
      <w:r>
        <w:t xml:space="preserve"> </w:t>
      </w:r>
      <w:r>
        <w:rPr>
          <w:iCs/>
          <w:i/>
        </w:rPr>
        <w:t xml:space="preserve">discourse analysis</w:t>
      </w:r>
      <w:r>
        <w:t xml:space="preserve"> </w:t>
      </w:r>
      <w:r>
        <w:t xml:space="preserve">de 30 documentos com argumento por um modelo mais democrático) ativa IC pela evidência sistematizada e ativa DN apenas se a prescrição for um componente próprio e desenvolvido, não um fecho retórico.</w:t>
      </w:r>
      <w:r>
        <w:t xml:space="preserve"> </w:t>
      </w:r>
      <w:r>
        <w:t xml:space="preserve">“</w:t>
      </w:r>
      <w:r>
        <w:t xml:space="preserve">Crítica</w:t>
      </w:r>
      <w:r>
        <w:t xml:space="preserve">”</w:t>
      </w:r>
      <w:r>
        <w:t xml:space="preserve"> </w:t>
      </w:r>
      <w:r>
        <w:t xml:space="preserve">sozinha não basta para DN. Na dúvida entre marcar só IC ou IC+DN, pergunte: a prescrição é elaborada com aparato próprio (princípios, doutrina), ou é só a conclusão prática da interpretação? No segundo caso, só IC.</w:t>
      </w:r>
    </w:p>
    <w:bookmarkEnd w:id="28"/>
    <w:bookmarkEnd w:id="29"/>
    <w:bookmarkStart w:id="32" w:name="heurísticas-as-pistas-no-abstract"/>
    <w:p>
      <w:pPr>
        <w:pStyle w:val="Heading2"/>
      </w:pPr>
      <w:r>
        <w:t xml:space="preserve">§4 Heurísticas: as pistas no abstract</w:t>
      </w:r>
    </w:p>
    <w:p>
      <w:pPr>
        <w:pStyle w:val="FirstParagraph"/>
      </w:pPr>
      <w:r>
        <w:t xml:space="preserve">A postura é implícita; trabalhe com pistas, ponderando o conjunto e, sobretudo, o tipo de afirmação. Nenhuma pista isolada decide.</w:t>
      </w:r>
    </w:p>
    <w:bookmarkStart w:id="30" w:name="tabela-de-pistas-por-postura"/>
    <w:p>
      <w:pPr>
        <w:pStyle w:val="Heading3"/>
      </w:pPr>
      <w:r>
        <w:t xml:space="preserve">4.1 Tabela de pistas por postura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Pistas lexicais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Pistas estruturais e de 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hipótese, variável, construto, determinants, factors affecting, effect of, impact of, predictors, perceived usefulness, behavioral intention, satisfaction, significância, validade, confiabilidade.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hipóteses numeradas (H1, H2…); N declarado; estatística (p &lt; 0,05, β, R², χ²); survey, SEM/PLS-SEM, regressão, experimento;</w:t>
            </w:r>
            <w:r>
              <w:t xml:space="preserve"> </w:t>
            </w:r>
            <w:r>
              <w:t xml:space="preserve">“</w:t>
            </w:r>
            <w:r>
              <w:t xml:space="preserve">results show that X significantly affects Y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significado, sentido, interpretação, sensemaking, construção social, apropriação, experiência vivida, prática situada, reflexividade, hermenêutica, narrativa, enactment, thick description.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hipóteses; pequeno-N intencional (</w:t>
            </w:r>
            <w:r>
              <w:t xml:space="preserve">“</w:t>
            </w:r>
            <w:r>
              <w:t xml:space="preserve">our case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27 interviews</w:t>
            </w:r>
            <w:r>
              <w:t xml:space="preserve">”</w:t>
            </w:r>
            <w:r>
              <w:t xml:space="preserve">); etnografia, estudo de caso em profundidade, observação participante, grounded theory;</w:t>
            </w:r>
            <w:r>
              <w:t xml:space="preserve"> </w:t>
            </w:r>
            <w:r>
              <w:t xml:space="preserve">“</w:t>
            </w:r>
            <w:r>
              <w:t xml:space="preserve">we explore / seek to understand how…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doutrinário, normativo, princípio, dever, direito (fundamental), jurisprudencial, axiológico, dignidade, devido processo, ética,</w:t>
            </w:r>
            <w:r>
              <w:t xml:space="preserve"> </w:t>
            </w:r>
            <w:r>
              <w:t xml:space="preserve">“</w:t>
            </w:r>
            <w:r>
              <w:t xml:space="preserve">ought to / should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we propose principles for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normative framework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dado primário ou sistematizado como base da conclusão; conclusão como proposição normativa (</w:t>
            </w:r>
            <w:r>
              <w:t xml:space="preserve">“</w:t>
            </w:r>
            <w:r>
              <w:t xml:space="preserve">deve-se</w:t>
            </w:r>
            <w:r>
              <w:t xml:space="preserve">”</w:t>
            </w:r>
            <w:r>
              <w:t xml:space="preserve">); argumentação por princípio/analogia; citação jurídica ou filosófica, não empírica.</w:t>
            </w:r>
          </w:p>
        </w:tc>
      </w:tr>
    </w:tbl>
    <w:bookmarkEnd w:id="30"/>
    <w:bookmarkStart w:id="31" w:name="falsos-amigos-sinalizadores-negativos"/>
    <w:p>
      <w:pPr>
        <w:pStyle w:val="Heading3"/>
      </w:pPr>
      <w:r>
        <w:t xml:space="preserve">4.2 Falsos amigos (sinalizadores negativos)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que o abstract parece dizer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Classificação correta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Estudo de caso</w:t>
            </w:r>
            <w:r>
              <w:t xml:space="preserve">”</w:t>
            </w:r>
            <w:r>
              <w:t xml:space="preserve"> </w:t>
            </w:r>
            <w:r>
              <w:t xml:space="preserve">para descrever uma implementação funcional, sem dimensão hermenêutica.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 (método qualitativo descritivo), não 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Interpretação</w:t>
            </w:r>
            <w:r>
              <w:t xml:space="preserve">”</w:t>
            </w:r>
            <w:r>
              <w:t xml:space="preserve"> </w:t>
            </w:r>
            <w:r>
              <w:t xml:space="preserve">em sentido leigo, sem ancoragem hermenêutica.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ativa 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Crítica</w:t>
            </w:r>
            <w:r>
              <w:t xml:space="preserve">”</w:t>
            </w:r>
            <w:r>
              <w:t xml:space="preserve"> </w:t>
            </w:r>
            <w:r>
              <w:t xml:space="preserve">a um modelo ou política, isoladamente.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basta para DN. Há análise empírica? → IC. Prescrição própria e desenvolvida? → some DN.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Análise qualitativa de conteúdo</w:t>
            </w:r>
            <w:r>
              <w:t xml:space="preserve">”</w:t>
            </w:r>
            <w:r>
              <w:t xml:space="preserve"> </w:t>
            </w:r>
            <w:r>
              <w:t xml:space="preserve">sobre amostra grande, reduzida a contagem de códigos.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 com método qualitativo periférico; não ativa 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descritivo raso, sem teoria nem hipótese forte.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 mesmo assim, tem dado e afirma o que é. Baixa qualidade não vira DN.</w:t>
            </w:r>
          </w:p>
        </w:tc>
      </w:tr>
    </w:tbl>
    <w:bookmarkEnd w:id="31"/>
    <w:bookmarkEnd w:id="32"/>
    <w:bookmarkStart w:id="33" w:name="árvore-de-decisão"/>
    <w:p>
      <w:pPr>
        <w:pStyle w:val="Heading2"/>
      </w:pPr>
      <w:r>
        <w:t xml:space="preserve">§5 Árvore de decisão</w:t>
      </w:r>
    </w:p>
    <w:p>
      <w:pPr>
        <w:pStyle w:val="FirstParagraph"/>
      </w:pPr>
      <w:r>
        <w:t xml:space="preserve">Diferente das versões anteriores, a árvore não é sequencial-excludente: você avalia as três posturas e marca cada uma que se aplique.</w:t>
      </w:r>
    </w:p>
    <w:p>
      <w:pPr>
        <w:pStyle w:val="BodyText"/>
      </w:pPr>
      <w:r>
        <w:rPr>
          <w:bCs/>
          <w:b/>
        </w:rPr>
        <w:t xml:space="preserve">Passo 1, Há evidência empírica sistematizada?</w:t>
      </w:r>
    </w:p>
    <w:p>
      <w:pPr>
        <w:pStyle w:val="BodyText"/>
      </w:pPr>
      <w:r>
        <w:t xml:space="preserve">Procure dado primário ou secundário tratado de forma sistemática (survey, experimento, entrevistas, etnografia, corpus, dados administrativos).</w:t>
      </w:r>
    </w:p>
    <w:p>
      <w:pPr>
        <w:pStyle w:val="BodyText"/>
      </w:pPr>
      <w:r>
        <w:rPr>
          <w:bCs/>
          <w:b/>
        </w:rPr>
        <w:t xml:space="preserve">Passo 2, Se há evidência, que tipo de afirmação ela sustenta?</w:t>
      </w:r>
    </w:p>
    <w:p>
      <w:pPr>
        <w:numPr>
          <w:ilvl w:val="0"/>
          <w:numId w:val="1008"/>
        </w:numPr>
      </w:pPr>
      <w:r>
        <w:t xml:space="preserve">Causal/explicativa, generalização estatística →</w:t>
      </w:r>
      <w:r>
        <w:t xml:space="preserve"> </w:t>
      </w:r>
      <w:r>
        <w:rPr>
          <w:bCs/>
          <w:b/>
        </w:rPr>
        <w:t xml:space="preserve">epi_positivista = 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Compreensiva/situada, com pretensão hermenêutica genuína →</w:t>
      </w:r>
      <w:r>
        <w:t xml:space="preserve"> </w:t>
      </w:r>
      <w:r>
        <w:rPr>
          <w:bCs/>
          <w:b/>
        </w:rPr>
        <w:t xml:space="preserve">epi_interpretativa = 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Ambas (sequencial ou paralela) → marque os dois.</w:t>
      </w:r>
    </w:p>
    <w:p>
      <w:pPr>
        <w:pStyle w:val="FirstParagraph"/>
      </w:pPr>
      <w:r>
        <w:rPr>
          <w:bCs/>
          <w:b/>
        </w:rPr>
        <w:t xml:space="preserve">Passo 3, Há um componente normativo/doutrinário próprio?</w:t>
      </w:r>
    </w:p>
    <w:p>
      <w:pPr>
        <w:pStyle w:val="BodyText"/>
      </w:pPr>
      <w:r>
        <w:t xml:space="preserve">Procure prescrição desenvolvida, elaboração de princípios, aparato jurídico ou filosófico. Se houver, mesmo coexistindo com evidência empírica,</w:t>
      </w:r>
      <w:r>
        <w:t xml:space="preserve"> </w:t>
      </w:r>
      <w:r>
        <w:rPr>
          <w:bCs/>
          <w:b/>
        </w:rPr>
        <w:t xml:space="preserve">epi_doutrinario_normativa = 1</w:t>
      </w:r>
      <w:r>
        <w:t xml:space="preserve">. Se a única coisa que o artigo faz é prescrever/elaborar, sem evidência, então só epi_doutrinario_normativa = 1 (e ee = ic = 0).</w:t>
      </w:r>
    </w:p>
    <w:p>
      <w:pPr>
        <w:pStyle w:val="BodyText"/>
      </w:pPr>
      <w:r>
        <w:rPr>
          <w:bCs/>
          <w:b/>
        </w:rPr>
        <w:t xml:space="preserve">Passo 4, Consolide.</w:t>
      </w:r>
    </w:p>
    <w:p>
      <w:pPr>
        <w:pStyle w:val="BodyText"/>
      </w:pPr>
      <w:r>
        <w:t xml:space="preserve">Registre os três marcadores. Confira contra a regra do all-zero: se ficaram todos em 0, marque confianca = 1 e escale.</w:t>
      </w:r>
    </w:p>
    <w:p>
      <w:pPr>
        <w:pStyle w:val="BodyText"/>
      </w:pPr>
      <w:r>
        <w:rPr>
          <w:bCs/>
          <w:b/>
        </w:rPr>
        <w:t xml:space="preserve">Passo 5, Indeterminação.</w:t>
      </w:r>
    </w:p>
    <w:p>
      <w:pPr>
        <w:pStyle w:val="BodyText"/>
      </w:pPr>
      <w:r>
        <w:t xml:space="preserve">Se o sinal textual é genuinamente indeterminado entre marcar ou não uma postura, registre confianca = 1 e descreva a dúvida em notas. Incerteza honesta é decisão correta, não falha.</w:t>
      </w:r>
    </w:p>
    <w:bookmarkEnd w:id="33"/>
    <w:bookmarkStart w:id="34" w:name="regras-formais-e-higiene-cognitiva"/>
    <w:p>
      <w:pPr>
        <w:pStyle w:val="Heading2"/>
      </w:pPr>
      <w:r>
        <w:t xml:space="preserve">§6 Regras formais e higiene cognitiva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R1, Independência das posturas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EE, IC e DN são marcadores independentes. A presença de um não impede a presença dos outros.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R2, Qualidade ≠ postura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qualidade do trabalho não altera a postura. Empírico fraco continua EE; não vira DN por ser raso.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R3, Tipo de afirmação 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dúvida entre vocabulário e tipo de afirmação, decide o tipo de afirmação (causal / compreensiva / normativa).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R4, Independência dos eixos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anotada sem consultar o cluster, em sessão separada (≥ 24h). Preserva a ortogonalidade.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R5, Calibração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Sessões conjuntas periódicas; acompanhamento do α (meta operacional ≥ 0,40; foco em α_DN); cada divergência discutida até convergência de critério.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R6, All-zero não é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marcadores em 0 nunca derivam DN automaticamente. Marque confianca = 1 e escale para a reunião de calibração.</w:t>
            </w:r>
          </w:p>
        </w:tc>
      </w:tr>
    </w:tbl>
    <w:bookmarkEnd w:id="34"/>
    <w:bookmarkStart w:id="35" w:name="exemplos-trabalhados"/>
    <w:p>
      <w:pPr>
        <w:pStyle w:val="Heading2"/>
      </w:pPr>
      <w:r>
        <w:t xml:space="preserve">§7 Exemplos trabalhados</w:t>
      </w:r>
    </w:p>
    <w:p>
      <w:pPr>
        <w:pStyle w:val="FirstParagraph"/>
      </w:pPr>
      <w:r>
        <w:rPr>
          <w:bCs/>
          <w:b/>
        </w:rPr>
        <w:t xml:space="preserve">Exemplo 1, EE claro</w:t>
      </w:r>
    </w:p>
    <w:p>
      <w:pPr>
        <w:pStyle w:val="BodyText"/>
      </w:pPr>
      <w:r>
        <w:rPr>
          <w:bCs/>
          <w:b/>
        </w:rPr>
        <w:t xml:space="preserve">ABSTRACT (composite)</w:t>
      </w:r>
      <w:r>
        <w:t xml:space="preserve"> </w:t>
      </w:r>
      <w:r>
        <w:rPr>
          <w:iCs/>
          <w:i/>
        </w:rPr>
        <w:t xml:space="preserve">Drawing on UTAUT, this study tests the determinants of citizens’ intention to use a municipal e-service. A survey of 612 respondents is analyzed with PLS-SEM; performance expectancy and trust significantly predict behavioral intention.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Raciocínio.</w:t>
      </w:r>
      <w:r>
        <w:t xml:space="preserve"> </w:t>
      </w:r>
      <w:r>
        <w:t xml:space="preserve">Hipóteses derivadas de UTAUT, N=612, PLS-SEM, efeitos significativos. Afirmação causal-explicativa, sem componente interpretativo ou normativo.</w:t>
      </w:r>
    </w:p>
    <w:p>
      <w:pPr>
        <w:pStyle w:val="BodyText"/>
      </w:pPr>
      <w:r>
        <w:t xml:space="preserve">→ epi_positivista=1 · epi_interpretativa=0 · epi_doutrinario_normativa=0</w:t>
      </w:r>
    </w:p>
    <w:p>
      <w:pPr>
        <w:pStyle w:val="BodyText"/>
      </w:pPr>
      <w:r>
        <w:rPr>
          <w:bCs/>
          <w:b/>
        </w:rPr>
        <w:t xml:space="preserve">Exemplo 2, IC claro</w:t>
      </w:r>
    </w:p>
    <w:p>
      <w:pPr>
        <w:pStyle w:val="BodyText"/>
      </w:pPr>
      <w:r>
        <w:rPr>
          <w:bCs/>
          <w:b/>
        </w:rPr>
        <w:t xml:space="preserve">ABSTRACT (composite)</w:t>
      </w:r>
      <w:r>
        <w:t xml:space="preserve"> </w:t>
      </w:r>
      <w:r>
        <w:rPr>
          <w:iCs/>
          <w:i/>
        </w:rPr>
        <w:t xml:space="preserve">Through an 11-month ethnography of a digital transformation program in a city hall, we explore how street-level bureaucrats make sense of and reappropriate a new platform, reshaping its intended scripts in situated practice.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Raciocínio.</w:t>
      </w:r>
      <w:r>
        <w:t xml:space="preserve"> </w:t>
      </w:r>
      <w:r>
        <w:t xml:space="preserve">Etnografia, sensemaking, reapropriação, prática situada; sem hipóteses. Compreensão situada.</w:t>
      </w:r>
    </w:p>
    <w:p>
      <w:pPr>
        <w:pStyle w:val="BodyText"/>
      </w:pPr>
      <w:r>
        <w:t xml:space="preserve">→ epi_positivista=0 · epi_interpretativa=1 · epi_doutrinario_normativa=0</w:t>
      </w:r>
    </w:p>
    <w:p>
      <w:pPr>
        <w:pStyle w:val="BodyText"/>
      </w:pPr>
      <w:r>
        <w:rPr>
          <w:bCs/>
          <w:b/>
        </w:rPr>
        <w:t xml:space="preserve">Exemplo 3, DN claro</w:t>
      </w:r>
    </w:p>
    <w:p>
      <w:pPr>
        <w:pStyle w:val="BodyText"/>
      </w:pPr>
      <w:r>
        <w:rPr>
          <w:bCs/>
          <w:b/>
        </w:rPr>
        <w:t xml:space="preserve">ABSTRACT (composite)</w:t>
      </w:r>
      <w:r>
        <w:t xml:space="preserve"> </w:t>
      </w:r>
      <w:r>
        <w:rPr>
          <w:iCs/>
          <w:i/>
        </w:rPr>
        <w:t xml:space="preserve">This article argues that automated decision-making by the State must respect a right to explanation. Building on the LGPD and constitutional due-process principles, we develop a doctrinal framework specifying the transparency duties such systems ought to satisfy.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Raciocínio.</w:t>
      </w:r>
      <w:r>
        <w:t xml:space="preserve"> </w:t>
      </w:r>
      <w:r>
        <w:t xml:space="preserve">Sem dado empírico; doutrina, LGPD, princípios constitucionais; registro prescritivo (</w:t>
      </w:r>
      <w:r>
        <w:t xml:space="preserve">“</w:t>
      </w:r>
      <w:r>
        <w:t xml:space="preserve">must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ought to</w:t>
      </w:r>
      <w:r>
        <w:t xml:space="preserve">”</w:t>
      </w:r>
      <w:r>
        <w:t xml:space="preserve">). DN marcada diretamente, sem passar por exclusão.</w:t>
      </w:r>
    </w:p>
    <w:p>
      <w:pPr>
        <w:pStyle w:val="BodyText"/>
      </w:pPr>
      <w:r>
        <w:t xml:space="preserve">→ epi_positivista=0 · epi_interpretativa=0 · epi_doutrinario_normativa=1</w:t>
      </w:r>
    </w:p>
    <w:p>
      <w:pPr>
        <w:pStyle w:val="BodyText"/>
      </w:pPr>
      <w:r>
        <w:rPr>
          <w:bCs/>
          <w:b/>
        </w:rPr>
        <w:t xml:space="preserve">Exemplo 4, EE+IC (métodos mistos)</w:t>
      </w:r>
    </w:p>
    <w:p>
      <w:pPr>
        <w:pStyle w:val="BodyText"/>
      </w:pPr>
      <w:r>
        <w:rPr>
          <w:bCs/>
          <w:b/>
        </w:rPr>
        <w:t xml:space="preserve">ABSTRACT (composite)</w:t>
      </w:r>
      <w:r>
        <w:t xml:space="preserve"> </w:t>
      </w:r>
      <w:r>
        <w:rPr>
          <w:iCs/>
          <w:i/>
        </w:rPr>
        <w:t xml:space="preserve">We combine a panel regression on adoption of an open-data portal across 90 municipalities with an interpretive multiple-case study of four of them, hermeneutically analyzing how local actors construe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openness</w:t>
      </w:r>
      <w:r>
        <w:rPr>
          <w:iCs/>
          <w:i/>
        </w:rPr>
        <w:t xml:space="preserve">’</w:t>
      </w:r>
      <w:r>
        <w:rPr>
          <w:iCs/>
          <w:i/>
        </w:rPr>
        <w:t xml:space="preserve">.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Raciocínio.</w:t>
      </w:r>
      <w:r>
        <w:t xml:space="preserve"> </w:t>
      </w:r>
      <w:r>
        <w:t xml:space="preserve">Regressão em painel (EE) somada a estudo de caso interpretativo com análise hermenêutica genuína (IC). Os dois marcadores ativos; sem componente normativo próprio.</w:t>
      </w:r>
    </w:p>
    <w:p>
      <w:pPr>
        <w:pStyle w:val="BodyText"/>
      </w:pPr>
      <w:r>
        <w:t xml:space="preserve">→ epi_positivista=1 · epi_interpretativa=1 · epi_doutrinario_normativa=0</w:t>
      </w:r>
    </w:p>
    <w:p>
      <w:pPr>
        <w:pStyle w:val="BodyText"/>
      </w:pPr>
      <w:r>
        <w:rPr>
          <w:bCs/>
          <w:b/>
        </w:rPr>
        <w:t xml:space="preserve">Exemplo 5, DN+EE (doutrina ancorada em dado)</w:t>
      </w:r>
    </w:p>
    <w:p>
      <w:pPr>
        <w:pStyle w:val="BodyText"/>
      </w:pPr>
      <w:r>
        <w:rPr>
          <w:bCs/>
          <w:b/>
        </w:rPr>
        <w:t xml:space="preserve">ABSTRACT (composite)</w:t>
      </w:r>
      <w:r>
        <w:t xml:space="preserve"> </w:t>
      </w:r>
      <w:r>
        <w:rPr>
          <w:iCs/>
          <w:i/>
        </w:rPr>
        <w:t xml:space="preserve">Analyzing 120 court decisions on data-protection claims, this article systematizes the emerging jurisprudence and argues that courts ought to adopt a proportionality test grounded in the constitutional right to informational self-determination.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Raciocínio.</w:t>
      </w:r>
      <w:r>
        <w:t xml:space="preserve"> </w:t>
      </w:r>
      <w:r>
        <w:t xml:space="preserve">Há análise sistemática de jurisprudência (120 decisões, evidência sistematizada → EE)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uma prescrição doutrinária própria e desenvolvida (o teste de proporcionalidade que as cortes</w:t>
      </w:r>
      <w:r>
        <w:t xml:space="preserve"> </w:t>
      </w:r>
      <w:r>
        <w:t xml:space="preserve">“</w:t>
      </w:r>
      <w:r>
        <w:t xml:space="preserve">ought to adopt</w:t>
      </w:r>
      <w:r>
        <w:t xml:space="preserve">”</w:t>
      </w:r>
      <w:r>
        <w:t xml:space="preserve"> </w:t>
      </w:r>
      <w:r>
        <w:t xml:space="preserve">→ DN). Dois marcadores.</w:t>
      </w:r>
    </w:p>
    <w:p>
      <w:pPr>
        <w:pStyle w:val="BodyText"/>
      </w:pPr>
      <w:r>
        <w:t xml:space="preserve">→ epi_positivista=1 · epi_interpretativa=0 · epi_doutrinario_normativa=1</w:t>
      </w:r>
    </w:p>
    <w:p>
      <w:pPr>
        <w:pStyle w:val="BodyText"/>
      </w:pPr>
      <w:r>
        <w:rPr>
          <w:bCs/>
          <w:b/>
        </w:rPr>
        <w:t xml:space="preserve">Exemplo 6, Fronteira IC vs. IC+DN</w:t>
      </w:r>
    </w:p>
    <w:p>
      <w:pPr>
        <w:pStyle w:val="BodyText"/>
      </w:pPr>
      <w:r>
        <w:rPr>
          <w:bCs/>
          <w:b/>
        </w:rPr>
        <w:t xml:space="preserve">ABSTRACT (composite)</w:t>
      </w:r>
      <w:r>
        <w:t xml:space="preserve"> </w:t>
      </w:r>
      <w:r>
        <w:rPr>
          <w:iCs/>
          <w:i/>
        </w:rPr>
        <w:t xml:space="preserve">This paper critiques 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smart city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discourse. Through a discourse analysis of 30 municipal policy documents, it shows how technocratic framings crowd out citizen voice, and argues for a more democratic model.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Raciocínio.</w:t>
      </w:r>
      <w:r>
        <w:t xml:space="preserve"> </w:t>
      </w:r>
      <w:r>
        <w:t xml:space="preserve">Análise empírica de um corpus (discourse analysis de 30 documentos → IC). O</w:t>
      </w:r>
      <w:r>
        <w:t xml:space="preserve"> </w:t>
      </w:r>
      <w:r>
        <w:t xml:space="preserve">“</w:t>
      </w:r>
      <w:r>
        <w:t xml:space="preserve">argues for a more democratic model</w:t>
      </w:r>
      <w:r>
        <w:t xml:space="preserve">”</w:t>
      </w:r>
      <w:r>
        <w:t xml:space="preserve"> </w:t>
      </w:r>
      <w:r>
        <w:t xml:space="preserve">é fecho da interpretação, não uma elaboração normativa própria com aparato de princípios → DN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 ativa. Se o artigo desenvolvesse um framework normativo próprio, marcaria-se também DN.</w:t>
      </w:r>
    </w:p>
    <w:p>
      <w:pPr>
        <w:pStyle w:val="BodyText"/>
      </w:pPr>
      <w:r>
        <w:t xml:space="preserve">→ epi_positivista=0 · epi_interpretativa=1 · epi_doutrinario_normativa=0</w:t>
      </w:r>
    </w:p>
    <w:bookmarkEnd w:id="35"/>
    <w:bookmarkStart w:id="40" w:name="procedimento-prático-de-anotação"/>
    <w:p>
      <w:pPr>
        <w:pStyle w:val="Heading2"/>
      </w:pPr>
      <w:r>
        <w:t xml:space="preserve">§8 Procedimento prático de anotação</w:t>
      </w:r>
    </w:p>
    <w:p>
      <w:pPr>
        <w:pStyle w:val="FirstParagraph"/>
      </w:pPr>
      <w:r>
        <w:t xml:space="preserve">Para cada artigo você preenche os campos abaixo. Os de identificação já vêm preenchidos.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preencher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artigo (já preenchido)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identificador: ann1 ou ann2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epi_positivista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 há postura empírico-explicativa; senão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epi_interpretativa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 há postura interpretativo-compreensiva; senão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epi_doutrinario_normativa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 há postura doutrinário-normativa; senão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3, confiança global (1 = baixa; 3 = 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breve;</w:t>
            </w:r>
            <w:r>
              <w:t xml:space="preserve"> </w:t>
            </w:r>
            <w:r>
              <w:rPr>
                <w:bCs/>
                <w:b/>
              </w:rPr>
              <w:t xml:space="preserve">obrigatória</w:t>
            </w:r>
            <w:r>
              <w:t xml:space="preserve"> </w:t>
            </w:r>
            <w:r>
              <w:t xml:space="preserve">quando confianca = 1</w:t>
            </w:r>
          </w:p>
        </w:tc>
      </w:tr>
    </w:tbl>
    <w:bookmarkStart w:id="36" w:name="para-cada-artigo-uma-linha"/>
    <w:p>
      <w:pPr>
        <w:pStyle w:val="Heading3"/>
      </w:pPr>
      <w:r>
        <w:t xml:space="preserve">Para cada artigo (uma linha)</w:t>
      </w:r>
    </w:p>
    <w:p>
      <w:pPr>
        <w:numPr>
          <w:ilvl w:val="0"/>
          <w:numId w:val="1009"/>
        </w:numPr>
      </w:pPr>
      <w:r>
        <w:t xml:space="preserve">Leia o abstract na coluna abstract.</w:t>
      </w:r>
    </w:p>
    <w:p>
      <w:pPr>
        <w:numPr>
          <w:ilvl w:val="0"/>
          <w:numId w:val="1009"/>
        </w:numPr>
      </w:pPr>
      <w:r>
        <w:t xml:space="preserve">Avalie as três posturas aplicando a regra de ouro (§2), as definições (§3) e a árvore (§5).</w:t>
      </w:r>
    </w:p>
    <w:p>
      <w:pPr>
        <w:numPr>
          <w:ilvl w:val="0"/>
          <w:numId w:val="1009"/>
        </w:numPr>
      </w:pPr>
      <w:r>
        <w:t xml:space="preserve">Marque cada um dos três marcadores (0 ou 1), registre confianca e, se preciso, notas.</w:t>
      </w:r>
    </w:p>
    <w:p>
      <w:pPr>
        <w:numPr>
          <w:ilvl w:val="0"/>
          <w:numId w:val="1009"/>
        </w:numPr>
      </w:pPr>
      <w:r>
        <w:t xml:space="preserve">Passe para a próxima linha. Não volte para</w:t>
      </w:r>
      <w:r>
        <w:t xml:space="preserve"> </w:t>
      </w:r>
      <w:r>
        <w:t xml:space="preserve">“</w:t>
      </w:r>
      <w:r>
        <w:t xml:space="preserve">alinhar</w:t>
      </w:r>
      <w:r>
        <w:t xml:space="preserve">”</w:t>
      </w:r>
      <w:r>
        <w:t xml:space="preserve"> </w:t>
      </w:r>
      <w:r>
        <w:t xml:space="preserve">com casos anteriores fora do critério.</w:t>
      </w:r>
    </w:p>
    <w:bookmarkEnd w:id="36"/>
    <w:bookmarkStart w:id="37" w:name="regras"/>
    <w:p>
      <w:pPr>
        <w:pStyle w:val="Heading3"/>
      </w:pPr>
      <w:r>
        <w:t xml:space="preserve">Regras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Trabalhe sozinho/a.</w:t>
      </w:r>
      <w:r>
        <w:t xml:space="preserve"> </w:t>
      </w:r>
      <w:r>
        <w:t xml:space="preserve">Não consulte o rótulo de cluster do artigo nem discuta os itens com o outro anotador antes do fechamento, a concordância só tem valor se for independente.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Não marque DN por exclusão.</w:t>
      </w:r>
      <w:r>
        <w:t xml:space="preserve"> </w:t>
      </w:r>
      <w:r>
        <w:t xml:space="preserve">DN é categoria positiva. Três marcadores em 0 vão para confianca = 1 e discussão, nunca para DN automático.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Não deixe células em branco.</w:t>
      </w:r>
      <w:r>
        <w:t xml:space="preserve"> </w:t>
      </w:r>
      <w:r>
        <w:t xml:space="preserve">Em dúvida sobre uma postura, decida 0 ou 1 pela melhor inferência e registre confianca = 1.</w:t>
      </w:r>
    </w:p>
    <w:bookmarkEnd w:id="37"/>
    <w:bookmarkStart w:id="38" w:name="entrega"/>
    <w:p>
      <w:pPr>
        <w:pStyle w:val="Heading3"/>
      </w:pPr>
      <w:r>
        <w:t xml:space="preserve">Entrega</w:t>
      </w:r>
    </w:p>
    <w:p>
      <w:pPr>
        <w:pStyle w:val="FirstParagraph"/>
      </w:pPr>
      <w:r>
        <w:t xml:space="preserve">Ao terminar, exporte a planilha como CSV (Arquivo → Fazer download → .csv no Sheets; Salvar como → CSV no Excel) e nomeie ann1.csv ou ann2.csv, conforme o seu identificador.</w:t>
      </w:r>
    </w:p>
    <w:bookmarkEnd w:id="38"/>
    <w:bookmarkStart w:id="39" w:name="Xc6e1a08c38993db58ba3a84882efda6ecf082c5"/>
    <w:p>
      <w:pPr>
        <w:pStyle w:val="Heading3"/>
      </w:pPr>
      <w:r>
        <w:t xml:space="preserve">Adjudicação (etapa conjunta, depois das duas anotações)</w:t>
      </w:r>
    </w:p>
    <w:p>
      <w:pPr>
        <w:pStyle w:val="FirstParagraph"/>
      </w:pPr>
      <w:r>
        <w:t xml:space="preserve">Os anotadores e o coordenador comparam as duas planilhas, discutem cada divergência e definem a linha de consenso (gold) de cada artigo. O arquivo final, annotations.csv, junta as linhas dos dois anotadores e as linhas gold, acrescentando a coluna annotator (ann1, ann2 ou gold).</w:t>
      </w:r>
    </w:p>
    <w:p>
      <w:pPr>
        <w:pStyle w:val="BodyText"/>
      </w:pPr>
      <w:r>
        <w:t xml:space="preserve">Exemplo de anotação preenchida: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epi_positivista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epi_interpretativa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epi_doutrinario_normativa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Lendo os três casos:</w:t>
      </w:r>
    </w:p>
    <w:p>
      <w:pPr>
        <w:numPr>
          <w:ilvl w:val="0"/>
          <w:numId w:val="1011"/>
        </w:numPr>
      </w:pPr>
      <w:r>
        <w:t xml:space="preserve">art012, EE claro. Os dois anotadores concordam; gold reproduz o consenso.</w:t>
      </w:r>
    </w:p>
    <w:p>
      <w:pPr>
        <w:numPr>
          <w:ilvl w:val="0"/>
          <w:numId w:val="1011"/>
        </w:numPr>
      </w:pPr>
      <w:r>
        <w:t xml:space="preserve">art034, divergência em IC. ann1 viu pretensão hermenêutica na fase qualitativa; ann2 a leu como contagem de códigos. A adjudicação define gold (aqui, IC=1). É o tipo de fronteira que a calibração quer expor.</w:t>
      </w:r>
    </w:p>
    <w:p>
      <w:pPr>
        <w:numPr>
          <w:ilvl w:val="0"/>
          <w:numId w:val="1011"/>
        </w:numPr>
      </w:pPr>
      <w:r>
        <w:t xml:space="preserve">art071, divergência em EE sobre uma doutrina ancorada em jurisprudência. Ambos concordam em DN=1; divergem se a análise jurisprudencial conta como evidência sistematizada (EE). Adjudicação define gold = EE+DN.</w:t>
      </w:r>
    </w:p>
    <w:bookmarkEnd w:id="39"/>
    <w:bookmarkEnd w:id="40"/>
    <w:bookmarkStart w:id="41" w:name="autoavaliação-rápida"/>
    <w:p>
      <w:pPr>
        <w:pStyle w:val="Heading2"/>
      </w:pPr>
      <w:r>
        <w:t xml:space="preserve">§9 Autoavaliação rápida</w:t>
      </w:r>
    </w:p>
    <w:p>
      <w:pPr>
        <w:pStyle w:val="FirstParagraph"/>
      </w:pPr>
      <w:r>
        <w:t xml:space="preserve">Classifique os três marcadores de cada caso antes de conferir. Acerto ≥ 4/5 indica que você pode iniciar a anotação.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Q1.</w:t>
      </w:r>
      <w:r>
        <w:t xml:space="preserve"> </w:t>
      </w:r>
      <w:r>
        <w:t xml:space="preserve">Experimento com 3 condições medindo o efeito do design do portal sobre a confiança; ANOVA.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Q2.</w:t>
      </w:r>
      <w:r>
        <w:t xml:space="preserve"> </w:t>
      </w:r>
      <w:r>
        <w:t xml:space="preserve">Ensaio sobre por que a soberania digital exige um marco regulatório próprio, sem dados.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Q3.</w:t>
      </w:r>
      <w:r>
        <w:t xml:space="preserve"> </w:t>
      </w:r>
      <w:r>
        <w:t xml:space="preserve">Estudo de caso interpretativo de como uma secretaria constrói o sentido de</w:t>
      </w:r>
      <w:r>
        <w:t xml:space="preserve"> </w:t>
      </w:r>
      <w:r>
        <w:t xml:space="preserve">“</w:t>
      </w:r>
      <w:r>
        <w:t xml:space="preserve">governo aberto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Q4.</w:t>
      </w:r>
      <w:r>
        <w:t xml:space="preserve"> </w:t>
      </w:r>
      <w:r>
        <w:t xml:space="preserve">Survey nacional (N=2.400) com SEM testando antecedentes da adoção de e-serviços, seguido de 20 entrevistas analisadas hermeneuticamente.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Q5.</w:t>
      </w:r>
      <w:r>
        <w:t xml:space="preserve"> </w:t>
      </w:r>
      <w:r>
        <w:t xml:space="preserve">Análise de 120 decisões judiciais que sistematiza a jurisprudência e propõe um teste de proporcionalidade que as cortes deveriam adotar.</w:t>
      </w:r>
    </w:p>
    <w:p>
      <w:pPr>
        <w:pStyle w:val="FirstParagraph"/>
      </w:pPr>
      <w:r>
        <w:rPr>
          <w:bCs/>
          <w:b/>
        </w:rPr>
        <w:t xml:space="preserve">Gabarito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Q1 →</w:t>
      </w:r>
      <w:r>
        <w:t xml:space="preserve"> </w:t>
      </w:r>
      <w:r>
        <w:t xml:space="preserve">EE (ee=1, ic=0, dn=0).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Q2 →</w:t>
      </w:r>
      <w:r>
        <w:t xml:space="preserve"> </w:t>
      </w:r>
      <w:r>
        <w:t xml:space="preserve">DN (ee=0, ic=0, dn=1).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Q3 →</w:t>
      </w:r>
      <w:r>
        <w:t xml:space="preserve"> </w:t>
      </w:r>
      <w:r>
        <w:t xml:space="preserve">IC (ee=0, ic=1, dn=0).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Q4 →</w:t>
      </w:r>
      <w:r>
        <w:t xml:space="preserve"> </w:t>
      </w:r>
      <w:r>
        <w:t xml:space="preserve">EE+IC (ee=1, ic=1, dn=0).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Q5 →</w:t>
      </w:r>
      <w:r>
        <w:t xml:space="preserve"> </w:t>
      </w:r>
      <w:r>
        <w:t xml:space="preserve">EE+DN (ee=1, ic=0, dn=1).</w:t>
      </w:r>
    </w:p>
    <w:bookmarkEnd w:id="41"/>
    <w:bookmarkStart w:id="42" w:name="X8fa4e9ad31c1cb235392eda7866b093d85f9def"/>
    <w:p>
      <w:pPr>
        <w:pStyle w:val="Heading2"/>
      </w:pPr>
      <w:r>
        <w:t xml:space="preserve">Anexo A Quadro Comparativo de Posturas Epistemológicas, EE · IC · DN</w:t>
      </w:r>
    </w:p>
    <w:p>
      <w:pPr>
        <w:pStyle w:val="FirstParagraph"/>
      </w:pPr>
      <w:r>
        <w:t xml:space="preserve">*Consulta rápida. Tipo de afirmação · construção do objeto · tensões internas · léxico · doxa fundamental · pontos de fricção. As três posturas são marcadores positivos independentes. A camada epi é</w:t>
      </w:r>
      <w:r>
        <w:t xml:space="preserve"> </w:t>
      </w:r>
      <w:r>
        <w:rPr>
          <w:bCs/>
          <w:b/>
        </w:rPr>
        <w:t xml:space="preserve">anotada</w:t>
      </w:r>
      <w:r>
        <w:t xml:space="preserve"> </w:t>
      </w:r>
      <w:r>
        <w:rPr>
          <w:bCs/>
          <w:b/>
        </w:rPr>
        <w:t xml:space="preserve">independentemente</w:t>
      </w:r>
      <w:r>
        <w:t xml:space="preserve"> </w:t>
      </w:r>
      <w:r>
        <w:t xml:space="preserve">da</w:t>
      </w:r>
      <w:r>
        <w:t xml:space="preserve"> </w:t>
      </w:r>
      <w:r>
        <w:rPr>
          <w:bCs/>
          <w:b/>
        </w:rPr>
        <w:t xml:space="preserve">camada</w:t>
      </w:r>
      <w:r>
        <w:t xml:space="preserve"> </w:t>
      </w:r>
      <w:r>
        <w:t xml:space="preserve">**de cluster.*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afirmação e 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Construção do 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Tensões internas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Léxico Típico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Doxa Fundamental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Pontos de fricção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EE</w:t>
            </w:r>
            <w:r>
              <w:t xml:space="preserve"> </w:t>
            </w:r>
            <w:r>
              <w:rPr>
                <w:iCs/>
                <w:i/>
              </w:rPr>
              <w:t xml:space="preserve">Empírico-Explicativa · epi_positivista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Causal-explicativa / correlacional. Lógica nomotética; generaliza além do caso; visa validade externa e replicabilidade.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decomposto em variáveis e construtos mensuráveis; cidadão = construto operacionalizado; realidade dada e externa.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Teoria de variância vs. de processo; positivismo</w:t>
            </w:r>
            <w:r>
              <w:t xml:space="preserve"> </w:t>
            </w:r>
            <w:r>
              <w:t xml:space="preserve">“</w:t>
            </w:r>
            <w:r>
              <w:t xml:space="preserve">fino</w:t>
            </w:r>
            <w:r>
              <w:t xml:space="preserve">”</w:t>
            </w:r>
            <w:r>
              <w:t xml:space="preserve"> </w:t>
            </w:r>
            <w:r>
              <w:t xml:space="preserve">vs. teórico-confirmatório; validade externa vs. especificidade contextual.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Frameworks.</w:t>
            </w:r>
            <w:r>
              <w:t xml:space="preserve"> </w:t>
            </w:r>
            <w:r>
              <w:t xml:space="preserve">TAM, UTAUT, IS Success, modelos de estágios.</w:t>
            </w:r>
            <w:r>
              <w:t xml:space="preserve"> </w:t>
            </w:r>
            <w:r>
              <w:rPr>
                <w:bCs/>
                <w:b/>
              </w:rPr>
              <w:t xml:space="preserve">Vocabulário.</w:t>
            </w:r>
            <w:r>
              <w:t xml:space="preserve"> </w:t>
            </w:r>
            <w:r>
              <w:t xml:space="preserve">hipótese, variável, construto, efeito, mediação, significância.</w:t>
            </w:r>
            <w:r>
              <w:t xml:space="preserve"> </w:t>
            </w:r>
            <w:r>
              <w:rPr>
                <w:bCs/>
                <w:b/>
              </w:rPr>
              <w:t xml:space="preserve">Métodos.</w:t>
            </w:r>
            <w:r>
              <w:t xml:space="preserve"> </w:t>
            </w:r>
            <w:r>
              <w:t xml:space="preserve">survey, SEM/PLS-SEM, regressão, experimento.</w:t>
            </w:r>
            <w:r>
              <w:t xml:space="preserve"> </w:t>
            </w:r>
            <w:r>
              <w:rPr>
                <w:bCs/>
                <w:b/>
              </w:rPr>
              <w:t xml:space="preserve">Marcadores.</w:t>
            </w:r>
            <w:r>
              <w:t xml:space="preserve"> </w:t>
            </w:r>
            <w:r>
              <w:t xml:space="preserve">H1,H2…; N; p&lt;0,05, β, R².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Ontologia realista + epistemologia dualista-objetivista: o conhecimento válido generaliza e replica; o social é regido por regularidades explicáveis.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vs. IC.</w:t>
            </w:r>
            <w:r>
              <w:t xml:space="preserve"> </w:t>
            </w:r>
            <w:r>
              <w:t xml:space="preserve">estudo de caso sem pretensão hermenêutica fica só em EE.</w:t>
            </w:r>
            <w:r>
              <w:t xml:space="preserve"> </w:t>
            </w:r>
            <w:r>
              <w:rPr>
                <w:bCs/>
                <w:b/>
              </w:rPr>
              <w:t xml:space="preserve">vs. DN.</w:t>
            </w:r>
            <w:r>
              <w:t xml:space="preserve"> </w:t>
            </w:r>
            <w:r>
              <w:t xml:space="preserve">empírico fraco ainda é EE (tem dado).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</w:t>
            </w:r>
            <w:r>
              <w:t xml:space="preserve"> </w:t>
            </w:r>
            <w:r>
              <w:t xml:space="preserve">*Interpretativo-Compreensiv**a · epi_interpretativa*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Compreensiva-situada. Lógica idiográfica; foca o particular; generalização analítica (para a teoria), não estatística.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construído socialmente, indissociável do contexto; significado dos atores é o dado primário; pesquisador participa.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Interpretativismo</w:t>
            </w:r>
            <w:r>
              <w:t xml:space="preserve"> </w:t>
            </w:r>
            <w:r>
              <w:t xml:space="preserve">“</w:t>
            </w:r>
            <w:r>
              <w:t xml:space="preserve">puro</w:t>
            </w:r>
            <w:r>
              <w:t xml:space="preserve">”</w:t>
            </w:r>
            <w:r>
              <w:t xml:space="preserve"> </w:t>
            </w:r>
            <w:r>
              <w:t xml:space="preserve">vs. crítico-emancipatório; generalização analítica vs. estatística; posição minoritária no campo.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Frameworks.</w:t>
            </w:r>
            <w:r>
              <w:t xml:space="preserve"> </w:t>
            </w:r>
            <w:r>
              <w:t xml:space="preserve">Klein &amp; Myers, Walsham, sensemaking, grounded theory.</w:t>
            </w:r>
            <w:r>
              <w:t xml:space="preserve"> </w:t>
            </w:r>
            <w:r>
              <w:rPr>
                <w:bCs/>
                <w:b/>
              </w:rPr>
              <w:t xml:space="preserve">Vocabulário.</w:t>
            </w:r>
            <w:r>
              <w:t xml:space="preserve"> </w:t>
            </w:r>
            <w:r>
              <w:t xml:space="preserve">significado, sentido, apropriação, reflexividade, hermenêutica, enactment.</w:t>
            </w:r>
            <w:r>
              <w:t xml:space="preserve"> </w:t>
            </w:r>
            <w:r>
              <w:rPr>
                <w:bCs/>
                <w:b/>
              </w:rPr>
              <w:t xml:space="preserve">Métodos.</w:t>
            </w:r>
            <w:r>
              <w:t xml:space="preserve"> </w:t>
            </w:r>
            <w:r>
              <w:t xml:space="preserve">etnografia, estudo de caso em profundidade, entrevistas, observação.</w:t>
            </w:r>
            <w:r>
              <w:t xml:space="preserve"> </w:t>
            </w:r>
            <w:r>
              <w:rPr>
                <w:bCs/>
                <w:b/>
              </w:rPr>
              <w:t xml:space="preserve">Marcadores.</w:t>
            </w:r>
            <w:r>
              <w:t xml:space="preserve"> </w:t>
            </w:r>
            <w:r>
              <w:t xml:space="preserve">sem hipóteses; pequeno-N;</w:t>
            </w:r>
            <w:r>
              <w:t xml:space="preserve"> </w:t>
            </w:r>
            <w:r>
              <w:t xml:space="preserve">“</w:t>
            </w:r>
            <w:r>
              <w:t xml:space="preserve">seek to understand how…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Ontologia construtivista + epistemologia subjetivista: conhecimento coproduzido, sem ponto neutro; a compreensão precede a explicação.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vs. EE.</w:t>
            </w:r>
            <w:r>
              <w:t xml:space="preserve"> </w:t>
            </w:r>
            <w:r>
              <w:t xml:space="preserve">fronteira no uso do método qualitativo; sinal IC = pretensão hermenêutica.</w:t>
            </w:r>
            <w:r>
              <w:t xml:space="preserve"> </w:t>
            </w:r>
            <w:r>
              <w:rPr>
                <w:bCs/>
                <w:b/>
              </w:rPr>
              <w:t xml:space="preserve">vs. DN.</w:t>
            </w:r>
            <w:r>
              <w:t xml:space="preserve"> </w:t>
            </w:r>
            <w:r>
              <w:t xml:space="preserve">crítica ancorada em análise empírica é IC; some DN só se houver prescrição própria.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</w:t>
            </w:r>
            <w:r>
              <w:t xml:space="preserve"> </w:t>
            </w:r>
            <w:r>
              <w:rPr>
                <w:iCs/>
                <w:i/>
              </w:rPr>
              <w:t xml:space="preserve">Doutrinário-Normativa · epi_doutrinario_normativa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Normativa-prescritiva / conceitual-filosófica. Inferência por princípio, dever ou coerência normativa, não (apenas) por evidência.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objeto não é só fenômeno a observar, mas norma, princípio, direito ou conceito a elaborar e justificar.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Dogmática jurídica vs. ética principialista vs. filosofia da informação; de lege ferenda vs. interpretação do direito vigente.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Frameworks.</w:t>
            </w:r>
            <w:r>
              <w:t xml:space="preserve"> </w:t>
            </w:r>
            <w:r>
              <w:t xml:space="preserve">método dogmático, principialismo ético, filosofia da informação, value-sensitive design (como norma).</w:t>
            </w:r>
            <w:r>
              <w:t xml:space="preserve"> </w:t>
            </w:r>
            <w:r>
              <w:rPr>
                <w:bCs/>
                <w:b/>
              </w:rPr>
              <w:t xml:space="preserve">Vocabulário.</w:t>
            </w:r>
            <w:r>
              <w:t xml:space="preserve"> </w:t>
            </w:r>
            <w:r>
              <w:t xml:space="preserve">doutrinário, princípio, dever, direito fundamental, axiológico, devido processo, ética.</w:t>
            </w:r>
            <w:r>
              <w:t xml:space="preserve"> </w:t>
            </w:r>
            <w:r>
              <w:rPr>
                <w:bCs/>
                <w:b/>
              </w:rPr>
              <w:t xml:space="preserve">Métodos.</w:t>
            </w:r>
            <w:r>
              <w:t xml:space="preserve"> </w:t>
            </w:r>
            <w:r>
              <w:t xml:space="preserve">análise doutrinária, ensaio teórico-normativo, argumentação por princípio.</w:t>
            </w:r>
            <w:r>
              <w:t xml:space="preserve"> </w:t>
            </w:r>
            <w:r>
              <w:rPr>
                <w:bCs/>
                <w:b/>
              </w:rPr>
              <w:t xml:space="preserve">Marcadores.</w:t>
            </w:r>
            <w:r>
              <w:t xml:space="preserve"> </w:t>
            </w:r>
            <w:r>
              <w:t xml:space="preserve">conclusão como proposição normativa;</w:t>
            </w:r>
            <w:r>
              <w:t xml:space="preserve"> </w:t>
            </w:r>
            <w:r>
              <w:t xml:space="preserve">“</w:t>
            </w:r>
            <w:r>
              <w:t xml:space="preserve">ought to/should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we propose principles for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prescritivo/doutrinário: conhecer não é (só) descrever ou compreender, é prescrever o que deve existir, ou elaborar o que um princípio significa. A autoridade vem da norma.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vs. EE.</w:t>
            </w:r>
            <w:r>
              <w:t xml:space="preserve"> </w:t>
            </w:r>
            <w:r>
              <w:t xml:space="preserve">coexiste com EE quando a doutrina se ancora em dado sistematizado (DN+EE).</w:t>
            </w:r>
            <w:r>
              <w:t xml:space="preserve"> </w:t>
            </w:r>
            <w:r>
              <w:rPr>
                <w:bCs/>
                <w:b/>
              </w:rPr>
              <w:t xml:space="preserve">vs. IC.</w:t>
            </w:r>
            <w:r>
              <w:t xml:space="preserve"> </w:t>
            </w:r>
            <w:r>
              <w:t xml:space="preserve">coexiste com IC quando a prescrição própria se apoia em compreensão situada (DN+IC).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Nota.</w:t>
      </w:r>
      <w:r>
        <w:t xml:space="preserve"> </w:t>
      </w:r>
      <w:r>
        <w:t xml:space="preserve">EE, IC e DN são marcadores binários positivos e independentes; qualquer combinação é válida. Três marcadores em 0 não derivam DN, escalam para calibração (R6). O caso EE+IC corresponde a métodos mistos.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venir Nex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venir N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2026-06-29T04:28:30Z</dcterms:created>
  <dcterms:modified xsi:type="dcterms:W3CDTF">2026-06-29T04:28:30Z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