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The reality of the figures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ImpactCartographyThe reality of the figures The reality of the figures 25  25 of Econocom's internal IT CO2 emissions 493 K refurbished or recycled assets per year TOP 850 of europe's most committed companies to diversity and inclusion 4 pts Ecovadis rating 5  employees with disabilities in France 10 Top 250 of France's most responsible companies Sustained progress Weve delivered on our commitment by refurbishing a growing number of IT hardware units, both professional and consumer reaching 410,000 units in 2021 and 493,000 in 2023. At the same time, we have seen a 2 fall in our groups internal digital energy usage compared to 2022. However, the company has managed to reduce the CO2 eq per kWh generated by the inhouse use of its digital technology by 32, thanks to the use of renewable energies in France and Spain. In addition, by extending the lifespan of almost a third of the devices available to our employees, we were able to avoid 144 TCO2 on an equivalent perimeter.Combining the reduction in electricity consumption with the reduction in CO2 avoided has resulted in a 25 reduction in overall CO2, i.e. a difference of 271 TCO2 compared with 2022 on an equivalent perimeter.The trend towards teleworking has accelerated, with the number of employees benefiting from this option tripling from 30 in 2021 to 63 in 2022 and 87 in 2023.We hired 2235 people in 2022 as part of this drive, however, this figure is slightly down on 2022 4.5 At the same time, the gender equality index in France rose sharply from 86 to 94100, above the national average for companies with more than 1,000 employees. The percentage of disabled employees in France has been increased to 10 by 2022. This represents a doubling in five years. Today it stands at 5. In terms of professional development, 85 of our employees in France have taken cybersecurity and RDPD training. Our commitment to social responsibility and diversity has been recognised in prestigious league tables. We're proud to be one of the 250 most responsible companies in France according to the 2022 and 2023 rankings compiled by Statista for Le Point. Were also ranked among the 850 European companies most committed to diversity and inclusion according to Statista's 2023 ranking for the Financial Times.Weve continued to make progress with regard to our extrafinancial assessment, recording an increase of 4 points to reach a score of 70100 on the EcoVadis rating. This result reflects the quality of our CSR management system. We were honoured to receive the Gold Medal, which recognises the 5 of companies rated as the most committed. Digital responsibility diversity Solidarity Back to map Explore Studies weak signals, strong currents A marker of our difference In the same pillar Responsible A useful assessment Innovative and ambitious Strategic and responsible Boldness Good Faith Responsiveness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