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Responsible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ImpactCartographyResponsible Responsible JeanLouis Bouchard CEO and Chairman Embodiment The notion of responsibility takes on vital importance in a world where the actions of every company have repercussions far beyond their own sphere. We recognise that our impact goes beyond the products and services we offer. Thats why weve made responsibility the cornerstone of our strategy, decisions and corporate culture for 50 years. Were helping to build a desirable future, with common sense, utility and accessibility at the heart of our approach. As responsible digital entrepreneurs, our responsibility is not limited to complying with the standards and regulations in force. It's a commitment to the revolution for a useful, fair and sustainable economy based on Tech, for the benefit of as many people as possible. We comprise 9,000 employees with a common goal, and we serve more than 2 million users. We have ambitious objectives based on our essential values audacity, good faith and responsiveness These are the foundations of our economic results as well as our environmental and social performance. Our impact is measured not just with regard to sales or market share, but also in terms of the positive contributions we make to society, the environment and the lives of each and every one of our employees. Every offering we develop and every initiative we launch is the fruit of indepth reflection on its global impact, based on transparency and the scientific measurement of our performance. Im very proud of the concrete steps weve taken to reduce our environmental footprint and that of our customers. What was an intuition 50 years ago has become a reality the company must be responsible in its actions and effectively contribute to the common good.However, our journey towards greater responsibility is neverending.Were committed to pursuing our mission with perseverance. We encourage each and every one of us to make this vision of responsibility part of our daily lives, because together well shape our impact and leave a positive legacy.Together, let's continue to be the architects of our responsible future, demonstrating that success must be both economic and social. Editorial Boldness Usefulness Back to map Explore Studies weak signals, strong currents Timeline In the same pillar A useful assessment Innovative and ambitious Strategic and responsible Boldness Good Faith Responsiveness The reality of the figures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